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213995</wp:posOffset>
            </wp:positionH>
            <wp:positionV relativeFrom="page">
              <wp:posOffset>657225</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681355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100"/>
        <w:spacing w:after="0"/>
        <w:rPr>
          <w:sz w:val="20"/>
          <w:szCs w:val="20"/>
          <w:color w:val="auto"/>
        </w:rPr>
      </w:pPr>
      <w:r>
        <w:rPr>
          <w:rFonts w:ascii="Arial" w:cs="Arial" w:eastAsia="Arial" w:hAnsi="Arial"/>
          <w:sz w:val="12"/>
          <w:szCs w:val="12"/>
          <w:b w:val="1"/>
          <w:bCs w:val="1"/>
          <w:color w:val="auto"/>
        </w:rPr>
        <w:t>Washington, D.C. 20549</w:t>
      </w:r>
    </w:p>
    <w:p>
      <w:pPr>
        <w:spacing w:after="0" w:line="102" w:lineRule="exact"/>
        <w:rPr>
          <w:sz w:val="24"/>
          <w:szCs w:val="24"/>
          <w:color w:val="auto"/>
        </w:rPr>
      </w:pPr>
    </w:p>
    <w:p>
      <w:pPr>
        <w:jc w:val="center"/>
        <w:ind w:right="120"/>
        <w:spacing w:after="0"/>
        <w:rPr>
          <w:sz w:val="20"/>
          <w:szCs w:val="20"/>
          <w:color w:val="auto"/>
        </w:rPr>
      </w:pPr>
      <w:r>
        <w:rPr>
          <w:rFonts w:ascii="Arial" w:cs="Arial" w:eastAsia="Arial" w:hAnsi="Arial"/>
          <w:sz w:val="24"/>
          <w:szCs w:val="24"/>
          <w:b w:val="1"/>
          <w:bCs w:val="1"/>
          <w:color w:val="auto"/>
        </w:rPr>
        <w:t>FORM 10-Q</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(Mark One)</w:t>
      </w:r>
    </w:p>
    <w:p>
      <w:pPr>
        <w:spacing w:after="0" w:line="96" w:lineRule="exact"/>
        <w:rPr>
          <w:sz w:val="24"/>
          <w:szCs w:val="24"/>
          <w:color w:val="auto"/>
        </w:rPr>
      </w:pPr>
    </w:p>
    <w:p>
      <w:pPr>
        <w:jc w:val="center"/>
        <w:ind w:left="3740" w:right="1200" w:hanging="2628"/>
        <w:spacing w:after="0" w:line="286" w:lineRule="auto"/>
        <w:tabs>
          <w:tab w:leader="none" w:pos="1317"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September 30, 2023</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or</w:t>
      </w:r>
    </w:p>
    <w:p>
      <w:pPr>
        <w:spacing w:after="0" w:line="64" w:lineRule="exact"/>
        <w:rPr>
          <w:sz w:val="24"/>
          <w:szCs w:val="24"/>
          <w:color w:val="auto"/>
        </w:rPr>
      </w:pPr>
    </w:p>
    <w:p>
      <w:pPr>
        <w:ind w:left="1300" w:hanging="195"/>
        <w:spacing w:after="0"/>
        <w:tabs>
          <w:tab w:leader="none" w:pos="1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 (d) OF THE SECURITIES EXCHANGE ACT OF 1934</w:t>
      </w:r>
    </w:p>
    <w:p>
      <w:pPr>
        <w:spacing w:after="0" w:line="32" w:lineRule="exact"/>
        <w:rPr>
          <w:sz w:val="24"/>
          <w:szCs w:val="24"/>
          <w:color w:val="auto"/>
        </w:rPr>
      </w:pPr>
    </w:p>
    <w:tbl>
      <w:tblPr>
        <w:tblLayout w:type="fixed"/>
        <w:tblInd w:w="38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2660" w:type="dxa"/>
            <w:vAlign w:val="bottom"/>
            <w:gridSpan w:val="3"/>
          </w:tcPr>
          <w:p>
            <w:pPr>
              <w:ind w:left="300"/>
              <w:spacing w:after="0"/>
              <w:rPr>
                <w:sz w:val="20"/>
                <w:szCs w:val="20"/>
                <w:color w:val="auto"/>
              </w:rPr>
            </w:pPr>
            <w:r>
              <w:rPr>
                <w:rFonts w:ascii="Arial" w:cs="Arial" w:eastAsia="Arial" w:hAnsi="Arial"/>
                <w:sz w:val="17"/>
                <w:szCs w:val="17"/>
                <w:b w:val="1"/>
                <w:bCs w:val="1"/>
                <w:color w:val="auto"/>
                <w:w w:val="97"/>
              </w:rPr>
              <w:t>For the transition period from</w:t>
            </w:r>
          </w:p>
        </w:tc>
        <w:tc>
          <w:tcPr>
            <w:tcW w:w="4620" w:type="dxa"/>
            <w:vAlign w:val="bottom"/>
            <w:gridSpan w:val="3"/>
          </w:tcPr>
          <w:p>
            <w:pPr>
              <w:ind w:left="80"/>
              <w:spacing w:after="0"/>
              <w:rPr>
                <w:sz w:val="20"/>
                <w:szCs w:val="20"/>
                <w:color w:val="auto"/>
              </w:rPr>
            </w:pPr>
            <w:r>
              <w:rPr>
                <w:rFonts w:ascii="Arial" w:cs="Arial" w:eastAsia="Arial" w:hAnsi="Arial"/>
                <w:sz w:val="17"/>
                <w:szCs w:val="17"/>
                <w:b w:val="1"/>
                <w:bCs w:val="1"/>
                <w:color w:val="auto"/>
              </w:rPr>
              <w:t>to</w:t>
            </w:r>
          </w:p>
        </w:tc>
      </w:tr>
      <w:tr>
        <w:trPr>
          <w:trHeight w:val="216"/>
        </w:trPr>
        <w:tc>
          <w:tcPr>
            <w:tcW w:w="3540" w:type="dxa"/>
            <w:vAlign w:val="bottom"/>
          </w:tcPr>
          <w:p>
            <w:pPr>
              <w:spacing w:after="0"/>
              <w:rPr>
                <w:sz w:val="18"/>
                <w:szCs w:val="18"/>
                <w:color w:val="auto"/>
              </w:rPr>
            </w:pPr>
          </w:p>
        </w:tc>
        <w:tc>
          <w:tcPr>
            <w:tcW w:w="7280" w:type="dxa"/>
            <w:vAlign w:val="bottom"/>
            <w:gridSpan w:val="6"/>
          </w:tcPr>
          <w:p>
            <w:pPr>
              <w:jc w:val="center"/>
              <w:ind w:right="3789"/>
              <w:spacing w:after="0"/>
              <w:rPr>
                <w:sz w:val="20"/>
                <w:szCs w:val="20"/>
                <w:color w:val="auto"/>
              </w:rPr>
            </w:pPr>
            <w:r>
              <w:rPr>
                <w:rFonts w:ascii="Arial" w:cs="Arial" w:eastAsia="Arial" w:hAnsi="Arial"/>
                <w:sz w:val="17"/>
                <w:szCs w:val="17"/>
                <w:b w:val="1"/>
                <w:bCs w:val="1"/>
                <w:color w:val="auto"/>
                <w:w w:val="93"/>
              </w:rPr>
              <w:t>Commission file number: 001-37352</w:t>
            </w:r>
          </w:p>
        </w:tc>
      </w:tr>
      <w:tr>
        <w:trPr>
          <w:trHeight w:val="294"/>
        </w:trPr>
        <w:tc>
          <w:tcPr>
            <w:tcW w:w="3540" w:type="dxa"/>
            <w:vAlign w:val="bottom"/>
          </w:tcPr>
          <w:p>
            <w:pPr>
              <w:spacing w:after="0"/>
              <w:rPr>
                <w:sz w:val="24"/>
                <w:szCs w:val="24"/>
                <w:color w:val="auto"/>
              </w:rPr>
            </w:pPr>
          </w:p>
        </w:tc>
        <w:tc>
          <w:tcPr>
            <w:tcW w:w="7280" w:type="dxa"/>
            <w:vAlign w:val="bottom"/>
            <w:gridSpan w:val="6"/>
          </w:tcPr>
          <w:p>
            <w:pPr>
              <w:jc w:val="center"/>
              <w:ind w:right="3789"/>
              <w:spacing w:after="0"/>
              <w:rPr>
                <w:sz w:val="20"/>
                <w:szCs w:val="20"/>
                <w:color w:val="auto"/>
              </w:rPr>
            </w:pPr>
            <w:r>
              <w:rPr>
                <w:rFonts w:ascii="Arial" w:cs="Arial" w:eastAsia="Arial" w:hAnsi="Arial"/>
                <w:sz w:val="24"/>
                <w:szCs w:val="24"/>
                <w:b w:val="1"/>
                <w:bCs w:val="1"/>
                <w:color w:val="auto"/>
                <w:w w:val="95"/>
              </w:rPr>
              <w:t>Virtu Financial, Inc.</w:t>
            </w:r>
          </w:p>
        </w:tc>
      </w:tr>
      <w:tr>
        <w:trPr>
          <w:trHeight w:val="154"/>
        </w:trPr>
        <w:tc>
          <w:tcPr>
            <w:tcW w:w="3540" w:type="dxa"/>
            <w:vAlign w:val="bottom"/>
          </w:tcPr>
          <w:p>
            <w:pPr>
              <w:spacing w:after="0"/>
              <w:rPr>
                <w:sz w:val="13"/>
                <w:szCs w:val="13"/>
                <w:color w:val="auto"/>
              </w:rPr>
            </w:pPr>
          </w:p>
        </w:tc>
        <w:tc>
          <w:tcPr>
            <w:tcW w:w="7280" w:type="dxa"/>
            <w:vAlign w:val="bottom"/>
            <w:gridSpan w:val="6"/>
          </w:tcPr>
          <w:p>
            <w:pPr>
              <w:jc w:val="center"/>
              <w:ind w:right="3789"/>
              <w:spacing w:after="0"/>
              <w:rPr>
                <w:sz w:val="20"/>
                <w:szCs w:val="20"/>
                <w:color w:val="auto"/>
              </w:rPr>
            </w:pPr>
            <w:r>
              <w:rPr>
                <w:rFonts w:ascii="Arial" w:cs="Arial" w:eastAsia="Arial" w:hAnsi="Arial"/>
                <w:sz w:val="12"/>
                <w:szCs w:val="12"/>
                <w:color w:val="auto"/>
                <w:w w:val="91"/>
              </w:rPr>
              <w:t>(Exact name of registrant as specified in its charter)</w:t>
            </w:r>
          </w:p>
        </w:tc>
      </w:tr>
      <w:tr>
        <w:trPr>
          <w:trHeight w:val="257"/>
        </w:trPr>
        <w:tc>
          <w:tcPr>
            <w:tcW w:w="3540" w:type="dxa"/>
            <w:vAlign w:val="bottom"/>
          </w:tcPr>
          <w:p>
            <w:pPr>
              <w:jc w:val="center"/>
              <w:ind w:left="1287"/>
              <w:spacing w:after="0"/>
              <w:rPr>
                <w:sz w:val="20"/>
                <w:szCs w:val="20"/>
                <w:color w:val="auto"/>
              </w:rPr>
            </w:pPr>
            <w:r>
              <w:rPr>
                <w:rFonts w:ascii="Arial" w:cs="Arial" w:eastAsia="Arial" w:hAnsi="Arial"/>
                <w:sz w:val="17"/>
                <w:szCs w:val="17"/>
                <w:b w:val="1"/>
                <w:bCs w:val="1"/>
                <w:color w:val="auto"/>
                <w:w w:val="93"/>
              </w:rPr>
              <w:t>Delaware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620" w:type="dxa"/>
            <w:vAlign w:val="bottom"/>
            <w:gridSpan w:val="3"/>
          </w:tcPr>
          <w:p>
            <w:pPr>
              <w:jc w:val="right"/>
              <w:ind w:right="2289"/>
              <w:spacing w:after="0"/>
              <w:rPr>
                <w:sz w:val="20"/>
                <w:szCs w:val="20"/>
                <w:color w:val="auto"/>
              </w:rPr>
            </w:pPr>
            <w:r>
              <w:rPr>
                <w:rFonts w:ascii="Arial" w:cs="Arial" w:eastAsia="Arial" w:hAnsi="Arial"/>
                <w:sz w:val="17"/>
                <w:szCs w:val="17"/>
                <w:b w:val="1"/>
                <w:bCs w:val="1"/>
                <w:color w:val="auto"/>
              </w:rPr>
              <w:t>32-0420206</w:t>
            </w:r>
          </w:p>
        </w:tc>
      </w:tr>
      <w:tr>
        <w:trPr>
          <w:trHeight w:val="175"/>
        </w:trPr>
        <w:tc>
          <w:tcPr>
            <w:tcW w:w="6200" w:type="dxa"/>
            <w:vAlign w:val="bottom"/>
            <w:gridSpan w:val="4"/>
          </w:tcPr>
          <w:p>
            <w:pPr>
              <w:jc w:val="center"/>
              <w:ind w:right="1227"/>
              <w:spacing w:after="0"/>
              <w:rPr>
                <w:sz w:val="20"/>
                <w:szCs w:val="20"/>
                <w:color w:val="auto"/>
              </w:rPr>
            </w:pPr>
            <w:r>
              <w:rPr>
                <w:rFonts w:ascii="Arial" w:cs="Arial" w:eastAsia="Arial" w:hAnsi="Arial"/>
                <w:sz w:val="14"/>
                <w:szCs w:val="14"/>
                <w:color w:val="auto"/>
                <w:w w:val="91"/>
              </w:rPr>
              <w:t>(State or other jurisdiction of incorporation or organization)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jc w:val="center"/>
              <w:ind w:right="1409"/>
              <w:spacing w:after="0"/>
              <w:rPr>
                <w:sz w:val="20"/>
                <w:szCs w:val="20"/>
                <w:color w:val="auto"/>
              </w:rPr>
            </w:pPr>
            <w:r>
              <w:rPr>
                <w:rFonts w:ascii="Arial" w:cs="Arial" w:eastAsia="Arial" w:hAnsi="Arial"/>
                <w:sz w:val="14"/>
                <w:szCs w:val="14"/>
                <w:color w:val="auto"/>
                <w:w w:val="92"/>
              </w:rPr>
              <w:t>(I.R.S. Employer Identification No.)</w:t>
            </w:r>
          </w:p>
        </w:tc>
      </w:tr>
      <w:tr>
        <w:trPr>
          <w:trHeight w:val="545"/>
        </w:trPr>
        <w:tc>
          <w:tcPr>
            <w:tcW w:w="3540" w:type="dxa"/>
            <w:vAlign w:val="bottom"/>
          </w:tcPr>
          <w:p>
            <w:pPr>
              <w:jc w:val="center"/>
              <w:ind w:left="2207"/>
              <w:spacing w:after="0"/>
              <w:rPr>
                <w:sz w:val="20"/>
                <w:szCs w:val="20"/>
                <w:color w:val="auto"/>
              </w:rPr>
            </w:pPr>
            <w:r>
              <w:rPr>
                <w:rFonts w:ascii="Arial" w:cs="Arial" w:eastAsia="Arial" w:hAnsi="Arial"/>
                <w:sz w:val="14"/>
                <w:szCs w:val="14"/>
                <w:b w:val="1"/>
                <w:bCs w:val="1"/>
                <w:color w:val="auto"/>
                <w:w w:val="88"/>
              </w:rPr>
              <w:t>1633 Broadway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94"/>
        </w:trPr>
        <w:tc>
          <w:tcPr>
            <w:tcW w:w="3540" w:type="dxa"/>
            <w:vAlign w:val="bottom"/>
          </w:tcPr>
          <w:p>
            <w:pPr>
              <w:ind w:left="2260"/>
              <w:spacing w:after="0"/>
              <w:rPr>
                <w:sz w:val="20"/>
                <w:szCs w:val="20"/>
                <w:color w:val="auto"/>
              </w:rPr>
            </w:pPr>
            <w:r>
              <w:rPr>
                <w:rFonts w:ascii="Arial" w:cs="Arial" w:eastAsia="Arial" w:hAnsi="Arial"/>
                <w:sz w:val="14"/>
                <w:szCs w:val="14"/>
                <w:b w:val="1"/>
                <w:bCs w:val="1"/>
                <w:color w:val="auto"/>
                <w:w w:val="93"/>
              </w:rPr>
              <w:t>New York, New York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620" w:type="dxa"/>
            <w:vAlign w:val="bottom"/>
            <w:gridSpan w:val="3"/>
          </w:tcPr>
          <w:p>
            <w:pPr>
              <w:jc w:val="right"/>
              <w:ind w:right="2989"/>
              <w:spacing w:after="0"/>
              <w:rPr>
                <w:sz w:val="20"/>
                <w:szCs w:val="20"/>
                <w:color w:val="auto"/>
              </w:rPr>
            </w:pPr>
            <w:r>
              <w:rPr>
                <w:rFonts w:ascii="Arial" w:cs="Arial" w:eastAsia="Arial" w:hAnsi="Arial"/>
                <w:sz w:val="14"/>
                <w:szCs w:val="14"/>
                <w:b w:val="1"/>
                <w:bCs w:val="1"/>
                <w:color w:val="auto"/>
              </w:rPr>
              <w:t>10019</w:t>
            </w:r>
          </w:p>
        </w:tc>
      </w:tr>
      <w:tr>
        <w:trPr>
          <w:trHeight w:val="194"/>
        </w:trPr>
        <w:tc>
          <w:tcPr>
            <w:tcW w:w="6200" w:type="dxa"/>
            <w:vAlign w:val="bottom"/>
            <w:gridSpan w:val="4"/>
          </w:tcPr>
          <w:p>
            <w:pPr>
              <w:jc w:val="center"/>
              <w:ind w:right="307"/>
              <w:spacing w:after="0"/>
              <w:rPr>
                <w:sz w:val="20"/>
                <w:szCs w:val="20"/>
                <w:color w:val="auto"/>
              </w:rPr>
            </w:pPr>
            <w:r>
              <w:rPr>
                <w:rFonts w:ascii="Arial" w:cs="Arial" w:eastAsia="Arial" w:hAnsi="Arial"/>
                <w:sz w:val="14"/>
                <w:szCs w:val="14"/>
                <w:color w:val="auto"/>
                <w:w w:val="90"/>
              </w:rPr>
              <w:t>(Address of principal executive offices)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Pr>
          <w:p>
            <w:pPr>
              <w:jc w:val="center"/>
              <w:ind w:right="2289"/>
              <w:spacing w:after="0"/>
              <w:rPr>
                <w:sz w:val="20"/>
                <w:szCs w:val="20"/>
                <w:color w:val="auto"/>
              </w:rPr>
            </w:pPr>
            <w:r>
              <w:rPr>
                <w:rFonts w:ascii="Arial" w:cs="Arial" w:eastAsia="Arial" w:hAnsi="Arial"/>
                <w:sz w:val="14"/>
                <w:szCs w:val="14"/>
                <w:color w:val="auto"/>
                <w:w w:val="90"/>
              </w:rPr>
              <w:t>(Zip Code)</w:t>
            </w:r>
          </w:p>
        </w:tc>
      </w:tr>
      <w:tr>
        <w:trPr>
          <w:trHeight w:val="421"/>
        </w:trPr>
        <w:tc>
          <w:tcPr>
            <w:tcW w:w="3540" w:type="dxa"/>
            <w:vAlign w:val="bottom"/>
          </w:tcPr>
          <w:p>
            <w:pPr>
              <w:spacing w:after="0"/>
              <w:rPr>
                <w:sz w:val="24"/>
                <w:szCs w:val="24"/>
                <w:color w:val="auto"/>
              </w:rPr>
            </w:pPr>
          </w:p>
        </w:tc>
        <w:tc>
          <w:tcPr>
            <w:tcW w:w="2660" w:type="dxa"/>
            <w:vAlign w:val="bottom"/>
            <w:gridSpan w:val="3"/>
          </w:tcPr>
          <w:p>
            <w:pPr>
              <w:jc w:val="center"/>
              <w:ind w:left="676"/>
              <w:spacing w:after="0"/>
              <w:rPr>
                <w:sz w:val="20"/>
                <w:szCs w:val="20"/>
                <w:color w:val="auto"/>
              </w:rPr>
            </w:pPr>
            <w:r>
              <w:rPr>
                <w:rFonts w:ascii="Arial" w:cs="Arial" w:eastAsia="Arial" w:hAnsi="Arial"/>
                <w:sz w:val="16"/>
                <w:szCs w:val="16"/>
                <w:b w:val="1"/>
                <w:bCs w:val="1"/>
                <w:color w:val="auto"/>
                <w:w w:val="89"/>
              </w:rPr>
              <w:t>(212) 418-0100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20"/>
        </w:trPr>
        <w:tc>
          <w:tcPr>
            <w:tcW w:w="3540" w:type="dxa"/>
            <w:vAlign w:val="bottom"/>
          </w:tcPr>
          <w:p>
            <w:pPr>
              <w:spacing w:after="0"/>
              <w:rPr>
                <w:sz w:val="19"/>
                <w:szCs w:val="19"/>
                <w:color w:val="auto"/>
              </w:rPr>
            </w:pPr>
          </w:p>
        </w:tc>
        <w:tc>
          <w:tcPr>
            <w:tcW w:w="7280" w:type="dxa"/>
            <w:vAlign w:val="bottom"/>
            <w:gridSpan w:val="6"/>
          </w:tcPr>
          <w:p>
            <w:pPr>
              <w:jc w:val="center"/>
              <w:ind w:right="3829"/>
              <w:spacing w:after="0"/>
              <w:rPr>
                <w:sz w:val="20"/>
                <w:szCs w:val="20"/>
                <w:color w:val="auto"/>
              </w:rPr>
            </w:pPr>
            <w:r>
              <w:rPr>
                <w:rFonts w:ascii="Arial" w:cs="Arial" w:eastAsia="Arial" w:hAnsi="Arial"/>
                <w:sz w:val="16"/>
                <w:szCs w:val="16"/>
                <w:color w:val="auto"/>
                <w:w w:val="87"/>
              </w:rPr>
              <w:t>(Registrant’s telephone number, including area code)</w:t>
            </w:r>
          </w:p>
        </w:tc>
      </w:tr>
      <w:tr>
        <w:trPr>
          <w:trHeight w:val="220"/>
        </w:trPr>
        <w:tc>
          <w:tcPr>
            <w:tcW w:w="3540" w:type="dxa"/>
            <w:vAlign w:val="bottom"/>
          </w:tcPr>
          <w:p>
            <w:pPr>
              <w:spacing w:after="0"/>
              <w:rPr>
                <w:sz w:val="19"/>
                <w:szCs w:val="19"/>
                <w:color w:val="auto"/>
              </w:rPr>
            </w:pPr>
          </w:p>
        </w:tc>
        <w:tc>
          <w:tcPr>
            <w:tcW w:w="7280" w:type="dxa"/>
            <w:vAlign w:val="bottom"/>
            <w:gridSpan w:val="6"/>
          </w:tcPr>
          <w:p>
            <w:pPr>
              <w:ind w:left="6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188"/>
        </w:trPr>
        <w:tc>
          <w:tcPr>
            <w:tcW w:w="3540" w:type="dxa"/>
            <w:vAlign w:val="bottom"/>
          </w:tcPr>
          <w:p>
            <w:pPr>
              <w:ind w:left="1680"/>
              <w:spacing w:after="0"/>
              <w:rPr>
                <w:sz w:val="20"/>
                <w:szCs w:val="20"/>
                <w:color w:val="auto"/>
              </w:rPr>
            </w:pPr>
            <w:r>
              <w:rPr>
                <w:rFonts w:ascii="Arial" w:cs="Arial" w:eastAsia="Arial" w:hAnsi="Arial"/>
                <w:sz w:val="14"/>
                <w:szCs w:val="14"/>
                <w:b w:val="1"/>
                <w:bCs w:val="1"/>
                <w:color w:val="auto"/>
              </w:rPr>
              <w:t>Title of each class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ind w:left="367"/>
              <w:spacing w:after="0"/>
              <w:rPr>
                <w:sz w:val="20"/>
                <w:szCs w:val="20"/>
                <w:color w:val="auto"/>
              </w:rPr>
            </w:pPr>
            <w:r>
              <w:rPr>
                <w:rFonts w:ascii="Arial" w:cs="Arial" w:eastAsia="Arial" w:hAnsi="Arial"/>
                <w:sz w:val="14"/>
                <w:szCs w:val="14"/>
                <w:b w:val="1"/>
                <w:bCs w:val="1"/>
                <w:color w:val="auto"/>
                <w:w w:val="88"/>
              </w:rPr>
              <w:t>Trading symbol(s)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5"/>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Class A common stock, par value $0.00001 per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ind w:left="367"/>
              <w:spacing w:after="0"/>
              <w:rPr>
                <w:sz w:val="20"/>
                <w:szCs w:val="20"/>
                <w:color w:val="auto"/>
              </w:rPr>
            </w:pPr>
            <w:r>
              <w:rPr>
                <w:rFonts w:ascii="Arial" w:cs="Arial" w:eastAsia="Arial" w:hAnsi="Arial"/>
                <w:sz w:val="16"/>
                <w:szCs w:val="16"/>
                <w:color w:val="auto"/>
                <w:w w:val="98"/>
              </w:rPr>
              <w:t>VIRT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The Nasdaq Stock Market LLC</w:t>
            </w:r>
          </w:p>
        </w:tc>
      </w:tr>
    </w:tbl>
    <w:p>
      <w:pPr>
        <w:spacing w:after="0" w:line="94" w:lineRule="exact"/>
        <w:rPr>
          <w:sz w:val="24"/>
          <w:szCs w:val="24"/>
          <w:color w:val="auto"/>
        </w:rPr>
      </w:pPr>
    </w:p>
    <w:p>
      <w:pPr>
        <w:ind w:right="200" w:firstLine="311"/>
        <w:spacing w:after="0" w:line="21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620" w:firstLine="311"/>
        <w:spacing w:after="0" w:line="21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3" w:lineRule="exact"/>
        <w:rPr>
          <w:sz w:val="24"/>
          <w:szCs w:val="24"/>
          <w:color w:val="auto"/>
        </w:rPr>
      </w:pPr>
    </w:p>
    <w:p>
      <w:pPr>
        <w:ind w:right="360" w:firstLine="311"/>
        <w:spacing w:after="0" w:line="32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p>
      <w:pPr>
        <w:jc w:val="right"/>
        <w:ind w:left="1200" w:right="860"/>
        <w:spacing w:after="0" w:line="242"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87" w:lineRule="exact"/>
        <w:rPr>
          <w:sz w:val="24"/>
          <w:szCs w:val="24"/>
          <w:color w:val="auto"/>
        </w:rPr>
      </w:pPr>
    </w:p>
    <w:p>
      <w:pPr>
        <w:ind w:right="220" w:firstLine="311"/>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4"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of Stock</w:t>
            </w:r>
          </w:p>
        </w:tc>
        <w:tc>
          <w:tcPr>
            <w:tcW w:w="120" w:type="dxa"/>
            <w:vAlign w:val="bottom"/>
            <w:vMerge w:val="restart"/>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outstanding as of</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4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November 2, 2023</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par value $0.00001 per share</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90,476,855</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60" w:type="dxa"/>
            <w:vAlign w:val="bottom"/>
          </w:tcPr>
          <w:p>
            <w:pPr>
              <w:spacing w:after="0"/>
              <w:rPr>
                <w:sz w:val="17"/>
                <w:szCs w:val="17"/>
                <w:color w:val="auto"/>
              </w:rPr>
            </w:pPr>
          </w:p>
        </w:tc>
        <w:tc>
          <w:tcPr>
            <w:tcW w:w="4400" w:type="dxa"/>
            <w:vAlign w:val="bottom"/>
            <w:gridSpan w:val="2"/>
          </w:tcPr>
          <w:p>
            <w:pPr>
              <w:ind w:left="20"/>
              <w:spacing w:after="0"/>
              <w:rPr>
                <w:sz w:val="20"/>
                <w:szCs w:val="20"/>
                <w:color w:val="auto"/>
              </w:rPr>
            </w:pPr>
            <w:r>
              <w:rPr>
                <w:rFonts w:ascii="Arial" w:cs="Arial" w:eastAsia="Arial" w:hAnsi="Arial"/>
                <w:sz w:val="16"/>
                <w:szCs w:val="16"/>
                <w:color w:val="auto"/>
              </w:rPr>
              <w:t>Class C common stock, par value $0.00001 per share</w:t>
            </w:r>
          </w:p>
        </w:tc>
        <w:tc>
          <w:tcPr>
            <w:tcW w:w="2020" w:type="dxa"/>
            <w:vAlign w:val="bottom"/>
          </w:tcPr>
          <w:p>
            <w:pPr>
              <w:jc w:val="center"/>
              <w:spacing w:after="0"/>
              <w:rPr>
                <w:sz w:val="20"/>
                <w:szCs w:val="20"/>
                <w:color w:val="auto"/>
              </w:rPr>
            </w:pPr>
            <w:r>
              <w:rPr>
                <w:rFonts w:ascii="Arial" w:cs="Arial" w:eastAsia="Arial" w:hAnsi="Arial"/>
                <w:sz w:val="16"/>
                <w:szCs w:val="16"/>
                <w:color w:val="auto"/>
                <w:w w:val="87"/>
              </w:rPr>
              <w:t>8,607,998</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D common stock, par value $0.00001 per share</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60,091,740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6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54"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FORM 10-Q</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 ENDED September 30, 2023</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PAGE</w:t>
            </w:r>
          </w:p>
        </w:tc>
      </w:tr>
      <w:tr>
        <w:trPr>
          <w:trHeight w:val="184"/>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NUMBER</w:t>
            </w:r>
          </w:p>
        </w:tc>
      </w:tr>
      <w:tr>
        <w:trPr>
          <w:trHeight w:val="402"/>
        </w:trPr>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PART I -</w:t>
            </w:r>
          </w:p>
        </w:tc>
        <w:tc>
          <w:tcPr>
            <w:tcW w:w="740" w:type="dxa"/>
            <w:vAlign w:val="bottom"/>
            <w:gridSpan w:val="2"/>
          </w:tcPr>
          <w:p>
            <w:pPr>
              <w:spacing w:after="0"/>
              <w:rPr>
                <w:sz w:val="24"/>
                <w:szCs w:val="24"/>
                <w:color w:val="auto"/>
              </w:rPr>
            </w:pPr>
          </w:p>
        </w:tc>
        <w:tc>
          <w:tcPr>
            <w:tcW w:w="216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FINANCIAL INFORMATION</w:t>
            </w:r>
          </w:p>
        </w:tc>
        <w:tc>
          <w:tcPr>
            <w:tcW w:w="640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r>
      <w:tr>
        <w:trPr>
          <w:trHeight w:val="421"/>
        </w:trPr>
        <w:tc>
          <w:tcPr>
            <w:tcW w:w="5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9"/>
              </w:rPr>
              <w:t>Item 1.</w:t>
            </w:r>
          </w:p>
        </w:tc>
        <w:tc>
          <w:tcPr>
            <w:tcW w:w="880" w:type="dxa"/>
            <w:vAlign w:val="bottom"/>
            <w:gridSpan w:val="4"/>
          </w:tcPr>
          <w:p>
            <w:pPr>
              <w:spacing w:after="0"/>
              <w:rPr>
                <w:sz w:val="24"/>
                <w:szCs w:val="24"/>
                <w:color w:val="auto"/>
              </w:rPr>
            </w:pPr>
          </w:p>
        </w:tc>
        <w:tc>
          <w:tcPr>
            <w:tcW w:w="14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Financial Statements</w:t>
            </w:r>
          </w:p>
        </w:tc>
        <w:tc>
          <w:tcPr>
            <w:tcW w:w="7120" w:type="dxa"/>
            <w:vAlign w:val="bottom"/>
            <w:gridSpan w:val="13"/>
          </w:tcPr>
          <w:p>
            <w:pPr>
              <w:spacing w:after="0"/>
              <w:rPr>
                <w:sz w:val="24"/>
                <w:szCs w:val="24"/>
                <w:color w:val="auto"/>
              </w:rPr>
            </w:pPr>
          </w:p>
        </w:tc>
        <w:tc>
          <w:tcPr>
            <w:tcW w:w="1160" w:type="dxa"/>
            <w:vAlign w:val="bottom"/>
          </w:tcPr>
          <w:p>
            <w:pPr>
              <w:spacing w:after="0"/>
              <w:rPr>
                <w:sz w:val="24"/>
                <w:szCs w:val="24"/>
                <w:color w:val="auto"/>
              </w:rPr>
            </w:pPr>
          </w:p>
        </w:tc>
      </w:tr>
      <w:tr>
        <w:trPr>
          <w:trHeight w:val="42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Financial Condition (Unaudited)</w:t>
            </w:r>
          </w:p>
        </w:tc>
        <w:tc>
          <w:tcPr>
            <w:tcW w:w="1160" w:type="dxa"/>
            <w:vAlign w:val="bottom"/>
          </w:tcPr>
          <w:p>
            <w:pPr>
              <w:jc w:val="right"/>
              <w:spacing w:after="0"/>
              <w:rPr>
                <w:sz w:val="20"/>
                <w:szCs w:val="20"/>
                <w:color w:val="auto"/>
              </w:rPr>
            </w:pPr>
            <w:r>
              <w:rPr>
                <w:rFonts w:ascii="Arial" w:cs="Arial" w:eastAsia="Arial" w:hAnsi="Arial"/>
                <w:sz w:val="17"/>
                <w:szCs w:val="17"/>
                <w:color w:val="0000FF"/>
              </w:rPr>
              <w:t>3</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0"/>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8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0"/>
              </w:rPr>
              <w:t>Condensed Consolidated Statements of Comprehensive Income (Unaudited)</w:t>
            </w:r>
          </w:p>
        </w:tc>
        <w:tc>
          <w:tcPr>
            <w:tcW w:w="328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5</w:t>
            </w:r>
          </w:p>
        </w:tc>
      </w:tr>
      <w:tr>
        <w:trPr>
          <w:trHeight w:val="200"/>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Changes in Equity (Unaudited)</w:t>
            </w:r>
          </w:p>
        </w:tc>
        <w:tc>
          <w:tcPr>
            <w:tcW w:w="1160" w:type="dxa"/>
            <w:vAlign w:val="bottom"/>
          </w:tcPr>
          <w:p>
            <w:pPr>
              <w:jc w:val="right"/>
              <w:spacing w:after="0"/>
              <w:rPr>
                <w:sz w:val="20"/>
                <w:szCs w:val="20"/>
                <w:color w:val="auto"/>
              </w:rPr>
            </w:pPr>
            <w:r>
              <w:rPr>
                <w:rFonts w:ascii="Arial" w:cs="Arial" w:eastAsia="Arial" w:hAnsi="Arial"/>
                <w:sz w:val="17"/>
                <w:szCs w:val="17"/>
                <w:color w:val="0000FF"/>
              </w:rPr>
              <w:t>6</w:t>
            </w:r>
          </w:p>
        </w:tc>
      </w:tr>
      <w:tr>
        <w:trPr>
          <w:trHeight w:val="200"/>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7"/>
                <w:szCs w:val="17"/>
                <w:color w:val="0000FF"/>
                <w:w w:val="90"/>
              </w:rPr>
              <w:t>Condensed Consolidated Statements of Cash Flows (Unaudited)</w:t>
            </w:r>
          </w:p>
        </w:tc>
        <w:tc>
          <w:tcPr>
            <w:tcW w:w="460" w:type="dxa"/>
            <w:vAlign w:val="bottom"/>
            <w:tcBorders>
              <w:top w:val="single" w:sz="8" w:color="0000FF"/>
            </w:tcBorders>
            <w:gridSpan w:val="2"/>
          </w:tcPr>
          <w:p>
            <w:pPr>
              <w:spacing w:after="0"/>
              <w:rPr>
                <w:sz w:val="17"/>
                <w:szCs w:val="17"/>
                <w:color w:val="auto"/>
              </w:rPr>
            </w:pPr>
          </w:p>
        </w:tc>
        <w:tc>
          <w:tcPr>
            <w:tcW w:w="3660" w:type="dxa"/>
            <w:vAlign w:val="bottom"/>
            <w:gridSpan w:val="4"/>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9</w:t>
            </w:r>
          </w:p>
        </w:tc>
      </w:tr>
      <w:tr>
        <w:trPr>
          <w:trHeight w:val="200"/>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Notes to Condensed Consolidated Financial Statements (Unaudited)</w:t>
            </w:r>
          </w:p>
        </w:tc>
        <w:tc>
          <w:tcPr>
            <w:tcW w:w="1160" w:type="dxa"/>
            <w:vAlign w:val="bottom"/>
          </w:tcPr>
          <w:p>
            <w:pPr>
              <w:jc w:val="right"/>
              <w:spacing w:after="0"/>
              <w:rPr>
                <w:sz w:val="20"/>
                <w:szCs w:val="20"/>
                <w:color w:val="auto"/>
              </w:rPr>
            </w:pPr>
            <w:r>
              <w:rPr>
                <w:rFonts w:ascii="Arial" w:cs="Arial" w:eastAsia="Arial" w:hAnsi="Arial"/>
                <w:sz w:val="17"/>
                <w:szCs w:val="17"/>
                <w:color w:val="0000FF"/>
              </w:rPr>
              <w:t>11</w:t>
            </w:r>
          </w:p>
        </w:tc>
      </w:tr>
      <w:tr>
        <w:trPr>
          <w:trHeight w:val="20"/>
        </w:trPr>
        <w:tc>
          <w:tcPr>
            <w:tcW w:w="6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1"/>
        </w:trPr>
        <w:tc>
          <w:tcPr>
            <w:tcW w:w="5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9"/>
              </w:rPr>
              <w:t>Item 2.</w:t>
            </w:r>
          </w:p>
        </w:tc>
        <w:tc>
          <w:tcPr>
            <w:tcW w:w="880" w:type="dxa"/>
            <w:vAlign w:val="bottom"/>
            <w:gridSpan w:val="4"/>
          </w:tcPr>
          <w:p>
            <w:pPr>
              <w:spacing w:after="0"/>
              <w:rPr>
                <w:sz w:val="24"/>
                <w:szCs w:val="24"/>
                <w:color w:val="auto"/>
              </w:rPr>
            </w:pPr>
          </w:p>
        </w:tc>
        <w:tc>
          <w:tcPr>
            <w:tcW w:w="620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2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49</w:t>
            </w:r>
          </w:p>
        </w:tc>
      </w:tr>
      <w:tr>
        <w:trPr>
          <w:trHeight w:val="421"/>
        </w:trPr>
        <w:tc>
          <w:tcPr>
            <w:tcW w:w="5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9"/>
              </w:rPr>
              <w:t>Item 3.</w:t>
            </w:r>
          </w:p>
        </w:tc>
        <w:tc>
          <w:tcPr>
            <w:tcW w:w="880" w:type="dxa"/>
            <w:vAlign w:val="bottom"/>
            <w:gridSpan w:val="4"/>
          </w:tcPr>
          <w:p>
            <w:pPr>
              <w:spacing w:after="0"/>
              <w:rPr>
                <w:sz w:val="24"/>
                <w:szCs w:val="24"/>
                <w:color w:val="auto"/>
              </w:rPr>
            </w:pPr>
          </w:p>
        </w:tc>
        <w:tc>
          <w:tcPr>
            <w:tcW w:w="418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438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78</w:t>
            </w:r>
          </w:p>
        </w:tc>
      </w:tr>
      <w:tr>
        <w:trPr>
          <w:trHeight w:val="421"/>
        </w:trPr>
        <w:tc>
          <w:tcPr>
            <w:tcW w:w="5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9"/>
              </w:rPr>
              <w:t>Item 4.</w:t>
            </w:r>
          </w:p>
        </w:tc>
        <w:tc>
          <w:tcPr>
            <w:tcW w:w="880" w:type="dxa"/>
            <w:vAlign w:val="bottom"/>
            <w:gridSpan w:val="4"/>
          </w:tcPr>
          <w:p>
            <w:pPr>
              <w:spacing w:after="0"/>
              <w:rPr>
                <w:sz w:val="24"/>
                <w:szCs w:val="24"/>
                <w:color w:val="auto"/>
              </w:rPr>
            </w:pPr>
          </w:p>
        </w:tc>
        <w:tc>
          <w:tcPr>
            <w:tcW w:w="17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89"/>
              </w:rPr>
              <w:t>Controls and Procedures</w:t>
            </w:r>
          </w:p>
        </w:tc>
        <w:tc>
          <w:tcPr>
            <w:tcW w:w="686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80</w:t>
            </w:r>
          </w:p>
        </w:tc>
      </w:tr>
      <w:tr>
        <w:trPr>
          <w:trHeight w:val="421"/>
        </w:trPr>
        <w:tc>
          <w:tcPr>
            <w:tcW w:w="720" w:type="dxa"/>
            <w:vAlign w:val="bottom"/>
            <w:gridSpan w:val="4"/>
          </w:tcPr>
          <w:p>
            <w:pPr>
              <w:spacing w:after="0"/>
              <w:rPr>
                <w:sz w:val="20"/>
                <w:szCs w:val="20"/>
                <w:color w:val="auto"/>
              </w:rPr>
            </w:pPr>
            <w:r>
              <w:rPr>
                <w:rFonts w:ascii="Arial" w:cs="Arial" w:eastAsia="Arial" w:hAnsi="Arial"/>
                <w:sz w:val="17"/>
                <w:szCs w:val="17"/>
                <w:color w:val="0000FF"/>
              </w:rPr>
              <w:t>PART II -</w:t>
            </w: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OTHER INFORMATION</w:t>
            </w:r>
          </w:p>
        </w:tc>
        <w:tc>
          <w:tcPr>
            <w:tcW w:w="1160" w:type="dxa"/>
            <w:vAlign w:val="bottom"/>
          </w:tcPr>
          <w:p>
            <w:pPr>
              <w:spacing w:after="0"/>
              <w:rPr>
                <w:sz w:val="24"/>
                <w:szCs w:val="24"/>
                <w:color w:val="auto"/>
              </w:rPr>
            </w:pPr>
          </w:p>
        </w:tc>
      </w:tr>
      <w:tr>
        <w:trPr>
          <w:trHeight w:val="421"/>
        </w:trPr>
        <w:tc>
          <w:tcPr>
            <w:tcW w:w="5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9"/>
              </w:rPr>
              <w:t>Item 1.</w:t>
            </w:r>
          </w:p>
        </w:tc>
        <w:tc>
          <w:tcPr>
            <w:tcW w:w="180" w:type="dxa"/>
            <w:vAlign w:val="bottom"/>
            <w:tcBorders>
              <w:top w:val="single" w:sz="8" w:color="0000FF"/>
            </w:tcBorders>
            <w:gridSpan w:val="3"/>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89"/>
              </w:rPr>
              <w:t>Legal Proceedings</w:t>
            </w:r>
          </w:p>
        </w:tc>
        <w:tc>
          <w:tcPr>
            <w:tcW w:w="520" w:type="dxa"/>
            <w:vAlign w:val="bottom"/>
            <w:tcBorders>
              <w:top w:val="single" w:sz="8" w:color="0000FF"/>
            </w:tcBorders>
            <w:gridSpan w:val="3"/>
          </w:tcPr>
          <w:p>
            <w:pPr>
              <w:spacing w:after="0"/>
              <w:rPr>
                <w:sz w:val="24"/>
                <w:szCs w:val="24"/>
                <w:color w:val="auto"/>
              </w:rPr>
            </w:pPr>
          </w:p>
        </w:tc>
        <w:tc>
          <w:tcPr>
            <w:tcW w:w="676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81</w:t>
            </w:r>
          </w:p>
        </w:tc>
      </w:tr>
      <w:tr>
        <w:trPr>
          <w:trHeight w:val="421"/>
        </w:trPr>
        <w:tc>
          <w:tcPr>
            <w:tcW w:w="660" w:type="dxa"/>
            <w:vAlign w:val="bottom"/>
            <w:gridSpan w:val="2"/>
          </w:tcPr>
          <w:p>
            <w:pPr>
              <w:spacing w:after="0"/>
              <w:rPr>
                <w:sz w:val="20"/>
                <w:szCs w:val="20"/>
                <w:color w:val="auto"/>
              </w:rPr>
            </w:pPr>
            <w:r>
              <w:rPr>
                <w:rFonts w:ascii="Arial" w:cs="Arial" w:eastAsia="Arial" w:hAnsi="Arial"/>
                <w:sz w:val="17"/>
                <w:szCs w:val="17"/>
                <w:color w:val="0000FF"/>
              </w:rPr>
              <w:t>Item 1A.</w:t>
            </w:r>
          </w:p>
        </w:tc>
        <w:tc>
          <w:tcPr>
            <w:tcW w:w="760" w:type="dxa"/>
            <w:vAlign w:val="bottom"/>
            <w:gridSpan w:val="3"/>
          </w:tcPr>
          <w:p>
            <w:pPr>
              <w:spacing w:after="0"/>
              <w:rPr>
                <w:sz w:val="24"/>
                <w:szCs w:val="24"/>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Risk Factors</w:t>
            </w:r>
          </w:p>
        </w:tc>
        <w:tc>
          <w:tcPr>
            <w:tcW w:w="1160" w:type="dxa"/>
            <w:vAlign w:val="bottom"/>
          </w:tcPr>
          <w:p>
            <w:pPr>
              <w:jc w:val="right"/>
              <w:spacing w:after="0"/>
              <w:rPr>
                <w:sz w:val="20"/>
                <w:szCs w:val="20"/>
                <w:color w:val="auto"/>
              </w:rPr>
            </w:pPr>
            <w:r>
              <w:rPr>
                <w:rFonts w:ascii="Arial" w:cs="Arial" w:eastAsia="Arial" w:hAnsi="Arial"/>
                <w:sz w:val="17"/>
                <w:szCs w:val="17"/>
                <w:color w:val="0000FF"/>
              </w:rPr>
              <w:t>81</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1"/>
        </w:trPr>
        <w:tc>
          <w:tcPr>
            <w:tcW w:w="540" w:type="dxa"/>
            <w:vAlign w:val="bottom"/>
          </w:tcPr>
          <w:p>
            <w:pPr>
              <w:spacing w:after="0"/>
              <w:rPr>
                <w:sz w:val="20"/>
                <w:szCs w:val="20"/>
                <w:color w:val="auto"/>
              </w:rPr>
            </w:pPr>
            <w:r>
              <w:rPr>
                <w:rFonts w:ascii="Arial" w:cs="Arial" w:eastAsia="Arial" w:hAnsi="Arial"/>
                <w:sz w:val="17"/>
                <w:szCs w:val="17"/>
                <w:color w:val="0000FF"/>
                <w:w w:val="99"/>
              </w:rPr>
              <w:t>Item 2.</w:t>
            </w:r>
          </w:p>
        </w:tc>
        <w:tc>
          <w:tcPr>
            <w:tcW w:w="12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1160" w:type="dxa"/>
            <w:vAlign w:val="bottom"/>
          </w:tcPr>
          <w:p>
            <w:pPr>
              <w:jc w:val="right"/>
              <w:spacing w:after="0"/>
              <w:rPr>
                <w:sz w:val="20"/>
                <w:szCs w:val="20"/>
                <w:color w:val="auto"/>
              </w:rPr>
            </w:pPr>
            <w:r>
              <w:rPr>
                <w:rFonts w:ascii="Arial" w:cs="Arial" w:eastAsia="Arial" w:hAnsi="Arial"/>
                <w:sz w:val="17"/>
                <w:szCs w:val="17"/>
                <w:color w:val="0000FF"/>
              </w:rPr>
              <w:t>81</w:t>
            </w:r>
          </w:p>
        </w:tc>
      </w:tr>
      <w:tr>
        <w:trPr>
          <w:trHeight w:val="421"/>
        </w:trPr>
        <w:tc>
          <w:tcPr>
            <w:tcW w:w="54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9"/>
              </w:rPr>
              <w:t>Item 3.</w:t>
            </w:r>
          </w:p>
        </w:tc>
        <w:tc>
          <w:tcPr>
            <w:tcW w:w="880" w:type="dxa"/>
            <w:vAlign w:val="bottom"/>
            <w:gridSpan w:val="4"/>
          </w:tcPr>
          <w:p>
            <w:pPr>
              <w:spacing w:after="0"/>
              <w:rPr>
                <w:sz w:val="24"/>
                <w:szCs w:val="24"/>
                <w:color w:val="auto"/>
              </w:rPr>
            </w:pPr>
          </w:p>
        </w:tc>
        <w:tc>
          <w:tcPr>
            <w:tcW w:w="4160" w:type="dxa"/>
            <w:vAlign w:val="bottom"/>
            <w:tcBorders>
              <w:top w:val="single" w:sz="8" w:color="0000FF"/>
            </w:tcBorders>
            <w:gridSpan w:val="11"/>
          </w:tcPr>
          <w:p>
            <w:pPr>
              <w:spacing w:after="0"/>
              <w:rPr>
                <w:sz w:val="20"/>
                <w:szCs w:val="20"/>
                <w:color w:val="auto"/>
              </w:rPr>
            </w:pPr>
            <w:r>
              <w:rPr>
                <w:rFonts w:ascii="Arial" w:cs="Arial" w:eastAsia="Arial" w:hAnsi="Arial"/>
                <w:sz w:val="17"/>
                <w:szCs w:val="17"/>
                <w:color w:val="0000FF"/>
              </w:rPr>
              <w:t>Defaults Upon Senior Securities</w:t>
            </w:r>
          </w:p>
        </w:tc>
        <w:tc>
          <w:tcPr>
            <w:tcW w:w="440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82</w:t>
            </w:r>
          </w:p>
        </w:tc>
      </w:tr>
      <w:tr>
        <w:trPr>
          <w:trHeight w:val="421"/>
        </w:trPr>
        <w:tc>
          <w:tcPr>
            <w:tcW w:w="5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9"/>
              </w:rPr>
              <w:t>Item 4.</w:t>
            </w:r>
          </w:p>
        </w:tc>
        <w:tc>
          <w:tcPr>
            <w:tcW w:w="880" w:type="dxa"/>
            <w:vAlign w:val="bottom"/>
            <w:gridSpan w:val="4"/>
          </w:tcPr>
          <w:p>
            <w:pPr>
              <w:spacing w:after="0"/>
              <w:rPr>
                <w:sz w:val="24"/>
                <w:szCs w:val="24"/>
                <w:color w:val="auto"/>
              </w:rPr>
            </w:pPr>
          </w:p>
        </w:tc>
        <w:tc>
          <w:tcPr>
            <w:tcW w:w="17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7"/>
                <w:szCs w:val="17"/>
                <w:color w:val="0000FF"/>
                <w:w w:val="92"/>
              </w:rPr>
              <w:t>Mine Safety Disclosures</w:t>
            </w:r>
          </w:p>
        </w:tc>
        <w:tc>
          <w:tcPr>
            <w:tcW w:w="520" w:type="dxa"/>
            <w:vAlign w:val="bottom"/>
            <w:tcBorders>
              <w:top w:val="single" w:sz="8" w:color="0000FF"/>
            </w:tcBorders>
            <w:gridSpan w:val="3"/>
          </w:tcPr>
          <w:p>
            <w:pPr>
              <w:spacing w:after="0"/>
              <w:rPr>
                <w:sz w:val="24"/>
                <w:szCs w:val="24"/>
                <w:color w:val="auto"/>
              </w:rPr>
            </w:pPr>
          </w:p>
        </w:tc>
        <w:tc>
          <w:tcPr>
            <w:tcW w:w="634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82</w:t>
            </w:r>
          </w:p>
        </w:tc>
      </w:tr>
      <w:tr>
        <w:trPr>
          <w:trHeight w:val="421"/>
        </w:trPr>
        <w:tc>
          <w:tcPr>
            <w:tcW w:w="5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9"/>
              </w:rPr>
              <w:t>Item 5.</w:t>
            </w:r>
          </w:p>
        </w:tc>
        <w:tc>
          <w:tcPr>
            <w:tcW w:w="880" w:type="dxa"/>
            <w:vAlign w:val="bottom"/>
            <w:gridSpan w:val="4"/>
          </w:tcPr>
          <w:p>
            <w:pPr>
              <w:spacing w:after="0"/>
              <w:rPr>
                <w:sz w:val="24"/>
                <w:szCs w:val="24"/>
                <w:color w:val="auto"/>
              </w:rPr>
            </w:pPr>
          </w:p>
        </w:tc>
        <w:tc>
          <w:tcPr>
            <w:tcW w:w="12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3"/>
              </w:rPr>
              <w:t>Other Information</w:t>
            </w:r>
          </w:p>
        </w:tc>
        <w:tc>
          <w:tcPr>
            <w:tcW w:w="730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0000FF"/>
              </w:rPr>
              <w:t>82</w:t>
            </w:r>
          </w:p>
        </w:tc>
      </w:tr>
      <w:tr>
        <w:trPr>
          <w:trHeight w:val="421"/>
        </w:trPr>
        <w:tc>
          <w:tcPr>
            <w:tcW w:w="540" w:type="dxa"/>
            <w:vAlign w:val="bottom"/>
          </w:tcPr>
          <w:p>
            <w:pPr>
              <w:spacing w:after="0"/>
              <w:rPr>
                <w:sz w:val="20"/>
                <w:szCs w:val="20"/>
                <w:color w:val="auto"/>
              </w:rPr>
            </w:pPr>
            <w:r>
              <w:rPr>
                <w:rFonts w:ascii="Arial" w:cs="Arial" w:eastAsia="Arial" w:hAnsi="Arial"/>
                <w:sz w:val="17"/>
                <w:szCs w:val="17"/>
                <w:color w:val="0000FF"/>
                <w:w w:val="99"/>
              </w:rPr>
              <w:t>Item 6.</w:t>
            </w:r>
          </w:p>
        </w:tc>
        <w:tc>
          <w:tcPr>
            <w:tcW w:w="880" w:type="dxa"/>
            <w:vAlign w:val="bottom"/>
            <w:gridSpan w:val="4"/>
          </w:tcPr>
          <w:p>
            <w:pPr>
              <w:spacing w:after="0"/>
              <w:rPr>
                <w:sz w:val="24"/>
                <w:szCs w:val="24"/>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Exhibits</w:t>
            </w:r>
          </w:p>
        </w:tc>
        <w:tc>
          <w:tcPr>
            <w:tcW w:w="1160" w:type="dxa"/>
            <w:vAlign w:val="bottom"/>
          </w:tcPr>
          <w:p>
            <w:pPr>
              <w:jc w:val="right"/>
              <w:spacing w:after="0"/>
              <w:rPr>
                <w:sz w:val="20"/>
                <w:szCs w:val="20"/>
                <w:color w:val="auto"/>
              </w:rPr>
            </w:pPr>
            <w:r>
              <w:rPr>
                <w:rFonts w:ascii="Arial" w:cs="Arial" w:eastAsia="Arial" w:hAnsi="Arial"/>
                <w:sz w:val="17"/>
                <w:szCs w:val="17"/>
                <w:color w:val="0000FF"/>
              </w:rPr>
              <w:t>82</w:t>
            </w: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520" w:type="dxa"/>
            <w:vAlign w:val="bottom"/>
            <w:gridSpan w:val="1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Arial" w:cs="Arial" w:eastAsia="Arial" w:hAnsi="Arial"/>
                <w:sz w:val="17"/>
                <w:szCs w:val="17"/>
                <w:color w:val="0000FF"/>
              </w:rPr>
              <w:t>SIGNATURES</w:t>
            </w:r>
          </w:p>
        </w:tc>
        <w:tc>
          <w:tcPr>
            <w:tcW w:w="1160" w:type="dxa"/>
            <w:vAlign w:val="bottom"/>
          </w:tcPr>
          <w:p>
            <w:pPr>
              <w:jc w:val="right"/>
              <w:spacing w:after="0"/>
              <w:rPr>
                <w:sz w:val="20"/>
                <w:szCs w:val="20"/>
                <w:color w:val="auto"/>
              </w:rPr>
            </w:pPr>
            <w:r>
              <w:rPr>
                <w:rFonts w:ascii="Arial" w:cs="Arial" w:eastAsia="Arial" w:hAnsi="Arial"/>
                <w:sz w:val="17"/>
                <w:szCs w:val="17"/>
                <w:color w:val="0000FF"/>
              </w:rPr>
              <w:t>83</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Condensed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r>
      <w:tr>
        <w:trPr>
          <w:trHeight w:val="184"/>
        </w:trPr>
        <w:tc>
          <w:tcPr>
            <w:tcW w:w="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NUMBER</w:t>
            </w:r>
          </w:p>
        </w:tc>
      </w:tr>
      <w:tr>
        <w:trPr>
          <w:trHeight w:val="182"/>
        </w:trPr>
        <w:tc>
          <w:tcPr>
            <w:tcW w:w="40" w:type="dxa"/>
            <w:vAlign w:val="bottom"/>
          </w:tcPr>
          <w:p>
            <w:pPr>
              <w:spacing w:after="0"/>
              <w:rPr>
                <w:sz w:val="15"/>
                <w:szCs w:val="15"/>
                <w:color w:val="auto"/>
              </w:rPr>
            </w:pPr>
          </w:p>
        </w:tc>
        <w:tc>
          <w:tcPr>
            <w:tcW w:w="5020" w:type="dxa"/>
            <w:vAlign w:val="bottom"/>
            <w:gridSpan w:val="4"/>
          </w:tcPr>
          <w:p>
            <w:pPr>
              <w:spacing w:after="0" w:line="181" w:lineRule="exact"/>
              <w:rPr>
                <w:sz w:val="20"/>
                <w:szCs w:val="20"/>
                <w:color w:val="auto"/>
              </w:rPr>
            </w:pPr>
            <w:r>
              <w:rPr>
                <w:rFonts w:ascii="Arial" w:cs="Arial" w:eastAsia="Arial" w:hAnsi="Arial"/>
                <w:sz w:val="17"/>
                <w:szCs w:val="17"/>
                <w:color w:val="0000FF"/>
                <w:w w:val="92"/>
              </w:rPr>
              <w:t>Condensed Consolidated Statements of Financial Condition (Unaudited)</w:t>
            </w:r>
          </w:p>
        </w:tc>
        <w:tc>
          <w:tcPr>
            <w:tcW w:w="400" w:type="dxa"/>
            <w:vAlign w:val="bottom"/>
            <w:gridSpan w:val="2"/>
          </w:tcPr>
          <w:p>
            <w:pPr>
              <w:spacing w:after="0"/>
              <w:rPr>
                <w:sz w:val="15"/>
                <w:szCs w:val="15"/>
                <w:color w:val="auto"/>
              </w:rPr>
            </w:pPr>
          </w:p>
        </w:tc>
        <w:tc>
          <w:tcPr>
            <w:tcW w:w="5660" w:type="dxa"/>
            <w:vAlign w:val="bottom"/>
            <w:gridSpan w:val="3"/>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3</w:t>
            </w:r>
          </w:p>
        </w:tc>
      </w:tr>
      <w:tr>
        <w:trPr>
          <w:trHeight w:val="20"/>
        </w:trPr>
        <w:tc>
          <w:tcPr>
            <w:tcW w:w="4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7"/>
                <w:szCs w:val="17"/>
                <w:color w:val="0000FF"/>
                <w:w w:val="93"/>
              </w:rPr>
              <w:t>Condensed Consolidated Statements of Comprehensive Income (Unaudited)</w:t>
            </w:r>
          </w:p>
        </w:tc>
        <w:tc>
          <w:tcPr>
            <w:tcW w:w="5660" w:type="dxa"/>
            <w:vAlign w:val="bottom"/>
            <w:gridSpan w:val="3"/>
          </w:tcPr>
          <w:p>
            <w:pPr>
              <w:spacing w:after="0"/>
              <w:rPr>
                <w:sz w:val="24"/>
                <w:szCs w:val="2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5</w:t>
            </w:r>
          </w:p>
        </w:tc>
      </w:tr>
      <w:tr>
        <w:trPr>
          <w:trHeight w:val="20"/>
        </w:trPr>
        <w:tc>
          <w:tcPr>
            <w:tcW w:w="4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7"/>
                <w:szCs w:val="17"/>
                <w:color w:val="0000FF"/>
              </w:rPr>
              <w:t>Condensed Consolidated Statements of Changes in Equity (Unaudited)</w:t>
            </w:r>
          </w:p>
        </w:tc>
        <w:tc>
          <w:tcPr>
            <w:tcW w:w="5660" w:type="dxa"/>
            <w:vAlign w:val="bottom"/>
            <w:gridSpan w:val="3"/>
          </w:tcPr>
          <w:p>
            <w:pPr>
              <w:spacing w:after="0"/>
              <w:rPr>
                <w:sz w:val="24"/>
                <w:szCs w:val="2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6</w:t>
            </w:r>
          </w:p>
        </w:tc>
      </w:tr>
      <w:tr>
        <w:trPr>
          <w:trHeight w:val="20"/>
        </w:trPr>
        <w:tc>
          <w:tcPr>
            <w:tcW w:w="4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7"/>
                <w:szCs w:val="17"/>
                <w:color w:val="0000FF"/>
              </w:rPr>
              <w:t>Condensed Consolidated Statements of Cash Flows (Unaudited)</w:t>
            </w:r>
          </w:p>
        </w:tc>
        <w:tc>
          <w:tcPr>
            <w:tcW w:w="5660" w:type="dxa"/>
            <w:vAlign w:val="bottom"/>
            <w:gridSpan w:val="3"/>
          </w:tcPr>
          <w:p>
            <w:pPr>
              <w:spacing w:after="0"/>
              <w:rPr>
                <w:sz w:val="24"/>
                <w:szCs w:val="2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9</w:t>
            </w:r>
          </w:p>
        </w:tc>
      </w:tr>
      <w:tr>
        <w:trPr>
          <w:trHeight w:val="20"/>
        </w:trPr>
        <w:tc>
          <w:tcPr>
            <w:tcW w:w="4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7"/>
                <w:szCs w:val="17"/>
                <w:color w:val="0000FF"/>
              </w:rPr>
              <w:t>Notes to Condensed Consolidated Financial Statements (Unaudited)</w:t>
            </w:r>
          </w:p>
        </w:tc>
        <w:tc>
          <w:tcPr>
            <w:tcW w:w="5740" w:type="dxa"/>
            <w:vAlign w:val="bottom"/>
            <w:gridSpan w:val="4"/>
          </w:tcPr>
          <w:p>
            <w:pPr>
              <w:jc w:val="right"/>
              <w:spacing w:after="0"/>
              <w:rPr>
                <w:sz w:val="20"/>
                <w:szCs w:val="20"/>
                <w:color w:val="auto"/>
              </w:rPr>
            </w:pPr>
            <w:r>
              <w:rPr>
                <w:rFonts w:ascii="Arial" w:cs="Arial" w:eastAsia="Arial" w:hAnsi="Arial"/>
                <w:sz w:val="17"/>
                <w:szCs w:val="17"/>
                <w:color w:val="0000FF"/>
              </w:rPr>
              <w:t>11</w:t>
            </w:r>
          </w:p>
        </w:tc>
        <w:tc>
          <w:tcPr>
            <w:tcW w:w="40" w:type="dxa"/>
            <w:vAlign w:val="bottom"/>
          </w:tcPr>
          <w:p>
            <w:pPr>
              <w:spacing w:after="0"/>
              <w:rPr>
                <w:sz w:val="24"/>
                <w:szCs w:val="24"/>
                <w:color w:val="auto"/>
              </w:rPr>
            </w:pPr>
          </w:p>
        </w:tc>
      </w:tr>
      <w:tr>
        <w:trPr>
          <w:trHeight w:val="862"/>
        </w:trPr>
        <w:tc>
          <w:tcPr>
            <w:tcW w:w="40" w:type="dxa"/>
            <w:vAlign w:val="bottom"/>
          </w:tcPr>
          <w:p>
            <w:pPr>
              <w:spacing w:after="0"/>
              <w:rPr>
                <w:sz w:val="24"/>
                <w:szCs w:val="24"/>
                <w:color w:val="auto"/>
              </w:rPr>
            </w:pPr>
          </w:p>
        </w:tc>
        <w:tc>
          <w:tcPr>
            <w:tcW w:w="4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jc w:val="right"/>
              <w:ind w:right="4294"/>
              <w:spacing w:after="0"/>
              <w:rPr>
                <w:sz w:val="20"/>
                <w:szCs w:val="20"/>
                <w:color w:val="auto"/>
              </w:rPr>
            </w:pPr>
            <w:r>
              <w:rPr>
                <w:rFonts w:ascii="Arial" w:cs="Arial" w:eastAsia="Arial" w:hAnsi="Arial"/>
                <w:sz w:val="17"/>
                <w:szCs w:val="17"/>
                <w:color w:val="auto"/>
              </w:rPr>
              <w:t>2</w:t>
            </w: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5"/>
        </w:trPr>
        <w:tc>
          <w:tcPr>
            <w:tcW w:w="8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8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688,790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981,580</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Cash restricted or segregated under regulations and other</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37,565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56,662</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borrowed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1,524,177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1,187,674</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3,127,072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336,999</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broker-dealers and clearing organizations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1,696,495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1,115,185</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Trading assets, at fair value: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Financial instruments owned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6,889,825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3,667,481</w:t>
            </w:r>
          </w:p>
        </w:tc>
        <w:tc>
          <w:tcPr>
            <w:tcW w:w="0" w:type="dxa"/>
            <w:vAlign w:val="bottom"/>
          </w:tcPr>
          <w:p>
            <w:pPr>
              <w:spacing w:after="0"/>
              <w:rPr>
                <w:sz w:val="1"/>
                <w:szCs w:val="1"/>
                <w:color w:val="auto"/>
              </w:rPr>
            </w:pPr>
          </w:p>
        </w:tc>
      </w:tr>
      <w:tr>
        <w:trPr>
          <w:trHeight w:val="205"/>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owned and pledged</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1,397,700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963,071</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customers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148,445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80,830</w:t>
            </w:r>
          </w:p>
        </w:tc>
        <w:tc>
          <w:tcPr>
            <w:tcW w:w="0" w:type="dxa"/>
            <w:vAlign w:val="bottom"/>
          </w:tcPr>
          <w:p>
            <w:pPr>
              <w:spacing w:after="0"/>
              <w:rPr>
                <w:sz w:val="1"/>
                <w:szCs w:val="1"/>
                <w:color w:val="auto"/>
              </w:rPr>
            </w:pPr>
          </w:p>
        </w:tc>
      </w:tr>
      <w:tr>
        <w:trPr>
          <w:trHeight w:val="159"/>
        </w:trPr>
        <w:tc>
          <w:tcPr>
            <w:tcW w:w="8560" w:type="dxa"/>
            <w:vAlign w:val="bottom"/>
            <w:gridSpan w:val="2"/>
          </w:tcPr>
          <w:p>
            <w:pPr>
              <w:ind w:left="140"/>
              <w:spacing w:after="0" w:line="158" w:lineRule="exact"/>
              <w:rPr>
                <w:sz w:val="20"/>
                <w:szCs w:val="20"/>
                <w:color w:val="auto"/>
              </w:rPr>
            </w:pPr>
            <w:r>
              <w:rPr>
                <w:rFonts w:ascii="Arial" w:cs="Arial" w:eastAsia="Arial" w:hAnsi="Arial"/>
                <w:sz w:val="16"/>
                <w:szCs w:val="16"/>
                <w:color w:val="auto"/>
                <w:w w:val="89"/>
              </w:rPr>
              <w:t>Property, equipment and capitalized software (net of accumulated depreciation of $350,220 and $460,763 as of September 30, 2023</w:t>
            </w:r>
          </w:p>
        </w:tc>
        <w:tc>
          <w:tcPr>
            <w:tcW w:w="120" w:type="dxa"/>
            <w:vAlign w:val="bottom"/>
          </w:tcPr>
          <w:p>
            <w:pPr>
              <w:spacing w:after="0"/>
              <w:rPr>
                <w:sz w:val="13"/>
                <w:szCs w:val="13"/>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92,124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85,194</w:t>
            </w:r>
          </w:p>
        </w:tc>
        <w:tc>
          <w:tcPr>
            <w:tcW w:w="0" w:type="dxa"/>
            <w:vAlign w:val="bottom"/>
          </w:tcPr>
          <w:p>
            <w:pPr>
              <w:spacing w:after="0"/>
              <w:rPr>
                <w:sz w:val="1"/>
                <w:szCs w:val="1"/>
                <w:color w:val="auto"/>
              </w:rPr>
            </w:pPr>
          </w:p>
        </w:tc>
      </w:tr>
      <w:tr>
        <w:trPr>
          <w:trHeight w:val="202"/>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and December 31, 2022, respectively)</w:t>
            </w: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187,442</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1,148,926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1,148,926</w:t>
            </w:r>
          </w:p>
        </w:tc>
        <w:tc>
          <w:tcPr>
            <w:tcW w:w="0" w:type="dxa"/>
            <w:vAlign w:val="bottom"/>
          </w:tcPr>
          <w:p>
            <w:pPr>
              <w:spacing w:after="0"/>
              <w:rPr>
                <w:sz w:val="1"/>
                <w:szCs w:val="1"/>
                <w:color w:val="auto"/>
              </w:rPr>
            </w:pPr>
          </w:p>
        </w:tc>
      </w:tr>
      <w:tr>
        <w:trPr>
          <w:trHeight w:val="161"/>
        </w:trPr>
        <w:tc>
          <w:tcPr>
            <w:tcW w:w="8560" w:type="dxa"/>
            <w:vAlign w:val="bottom"/>
            <w:gridSpan w:val="2"/>
            <w:shd w:val="clear" w:color="auto" w:fill="CCEEFF"/>
          </w:tcPr>
          <w:p>
            <w:pPr>
              <w:ind w:left="140"/>
              <w:spacing w:after="0" w:line="161" w:lineRule="exact"/>
              <w:rPr>
                <w:sz w:val="20"/>
                <w:szCs w:val="20"/>
                <w:color w:val="auto"/>
              </w:rPr>
            </w:pPr>
            <w:r>
              <w:rPr>
                <w:rFonts w:ascii="Arial" w:cs="Arial" w:eastAsia="Arial" w:hAnsi="Arial"/>
                <w:sz w:val="16"/>
                <w:szCs w:val="16"/>
                <w:color w:val="auto"/>
                <w:w w:val="96"/>
              </w:rPr>
              <w:t>Intangibles (net of accumulated amortization of $366,020 and $318,013 as of September 30, 2023 and December 31, 2022,</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273,473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321,480</w:t>
            </w:r>
          </w:p>
        </w:tc>
        <w:tc>
          <w:tcPr>
            <w:tcW w:w="0" w:type="dxa"/>
            <w:vAlign w:val="bottom"/>
          </w:tcPr>
          <w:p>
            <w:pPr>
              <w:spacing w:after="0"/>
              <w:rPr>
                <w:sz w:val="1"/>
                <w:szCs w:val="1"/>
                <w:color w:val="auto"/>
              </w:rPr>
            </w:pPr>
          </w:p>
        </w:tc>
      </w:tr>
      <w:tr>
        <w:trPr>
          <w:trHeight w:val="204"/>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132,361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146,801</w:t>
            </w: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assets ($74,911 and $78,965, at fair value, as of September 30, 2023 and December 31, 2022, respectively)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299,664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303,916</w:t>
            </w:r>
          </w:p>
        </w:tc>
        <w:tc>
          <w:tcPr>
            <w:tcW w:w="0" w:type="dxa"/>
            <w:vAlign w:val="bottom"/>
          </w:tcPr>
          <w:p>
            <w:pPr>
              <w:spacing w:after="0"/>
              <w:rPr>
                <w:sz w:val="1"/>
                <w:szCs w:val="1"/>
                <w:color w:val="auto"/>
              </w:rPr>
            </w:pPr>
          </w:p>
        </w:tc>
      </w:tr>
      <w:tr>
        <w:trPr>
          <w:trHeight w:val="203"/>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17,618,428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10,583,241</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97,217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3,944</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1,459,980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1,060,432</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3,376,948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627,549</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Payables to broker-dealers and clearing organizations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540,464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273,843</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Payables to customers</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74,374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46,525</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Trading liabilities, at fair value: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sold, not yet purchased</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7,941,472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4,196,974</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receivable agreement obligations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238,758</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411,848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448,635</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239,202</w:t>
            </w:r>
          </w:p>
        </w:tc>
        <w:tc>
          <w:tcPr>
            <w:tcW w:w="0" w:type="dxa"/>
            <w:vAlign w:val="bottom"/>
          </w:tcPr>
          <w:p>
            <w:pPr>
              <w:spacing w:after="0"/>
              <w:rPr>
                <w:sz w:val="1"/>
                <w:szCs w:val="1"/>
                <w:color w:val="auto"/>
              </w:rPr>
            </w:pPr>
          </w:p>
        </w:tc>
      </w:tr>
      <w:tr>
        <w:trPr>
          <w:trHeight w:val="205"/>
        </w:trPr>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borrowings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1,778,743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1,795,952</w:t>
            </w: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16,107,778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8,931,814</w:t>
            </w:r>
          </w:p>
        </w:tc>
        <w:tc>
          <w:tcPr>
            <w:tcW w:w="0" w:type="dxa"/>
            <w:vAlign w:val="bottom"/>
          </w:tcPr>
          <w:p>
            <w:pPr>
              <w:spacing w:after="0"/>
              <w:rPr>
                <w:sz w:val="1"/>
                <w:szCs w:val="1"/>
                <w:color w:val="auto"/>
              </w:rPr>
            </w:pPr>
          </w:p>
        </w:tc>
      </w:tr>
      <w:tr>
        <w:trPr>
          <w:trHeight w:val="156"/>
        </w:trPr>
        <w:tc>
          <w:tcPr>
            <w:tcW w:w="8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tcPr>
          <w:p>
            <w:pPr>
              <w:ind w:left="140"/>
              <w:spacing w:after="0" w:line="158" w:lineRule="exact"/>
              <w:rPr>
                <w:sz w:val="20"/>
                <w:szCs w:val="20"/>
                <w:color w:val="auto"/>
              </w:rPr>
            </w:pPr>
            <w:r>
              <w:rPr>
                <w:rFonts w:ascii="Arial" w:cs="Arial" w:eastAsia="Arial" w:hAnsi="Arial"/>
                <w:sz w:val="16"/>
                <w:szCs w:val="16"/>
                <w:color w:val="auto"/>
                <w:w w:val="91"/>
              </w:rPr>
              <w:t>Class A common stock (par value $0.00001), Authorized — 1,000,000,000 and 1,000,000,000 shares, Issued — 134,865,978 and</w:t>
            </w:r>
          </w:p>
        </w:tc>
        <w:tc>
          <w:tcPr>
            <w:tcW w:w="120" w:type="dxa"/>
            <w:vAlign w:val="bottom"/>
          </w:tcPr>
          <w:p>
            <w:pPr>
              <w:spacing w:after="0"/>
              <w:rPr>
                <w:sz w:val="13"/>
                <w:szCs w:val="13"/>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2"/>
        </w:trPr>
        <w:tc>
          <w:tcPr>
            <w:tcW w:w="8560" w:type="dxa"/>
            <w:vAlign w:val="bottom"/>
            <w:gridSpan w:val="2"/>
          </w:tcPr>
          <w:p>
            <w:pPr>
              <w:ind w:left="140"/>
              <w:spacing w:after="0"/>
              <w:rPr>
                <w:sz w:val="20"/>
                <w:szCs w:val="20"/>
                <w:color w:val="auto"/>
              </w:rPr>
            </w:pPr>
            <w:r>
              <w:rPr>
                <w:rFonts w:ascii="Arial" w:cs="Arial" w:eastAsia="Arial" w:hAnsi="Arial"/>
                <w:sz w:val="16"/>
                <w:szCs w:val="16"/>
                <w:color w:val="auto"/>
                <w:w w:val="88"/>
              </w:rPr>
              <w:t>133,071,754 shares, Outstanding — 91,455,446 and 98,549,464 shares at September 30, 2023 and December 31, 2022, respectively</w:t>
            </w: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560" w:type="dxa"/>
            <w:vAlign w:val="bottom"/>
            <w:gridSpan w:val="2"/>
            <w:shd w:val="clear" w:color="auto" w:fill="CCEEFF"/>
          </w:tcPr>
          <w:p>
            <w:pPr>
              <w:ind w:left="140"/>
              <w:spacing w:after="0" w:line="161" w:lineRule="exact"/>
              <w:rPr>
                <w:sz w:val="20"/>
                <w:szCs w:val="20"/>
                <w:color w:val="auto"/>
              </w:rPr>
            </w:pPr>
            <w:r>
              <w:rPr>
                <w:rFonts w:ascii="Arial" w:cs="Arial" w:eastAsia="Arial" w:hAnsi="Arial"/>
                <w:sz w:val="16"/>
                <w:szCs w:val="16"/>
                <w:color w:val="auto"/>
                <w:w w:val="88"/>
              </w:rPr>
              <w:t>Class B common stock (par value $0.00001), Authorized — 175,000,000 and 175,000,000 shares, Issued and Outstanding — 0 and 0</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shares at September 30, 2023 and December 31, 2022, respectively</w:t>
            </w: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8560" w:type="dxa"/>
            <w:vAlign w:val="bottom"/>
            <w:gridSpan w:val="2"/>
          </w:tcPr>
          <w:p>
            <w:pPr>
              <w:ind w:left="140"/>
              <w:spacing w:after="0" w:line="158" w:lineRule="exact"/>
              <w:rPr>
                <w:sz w:val="20"/>
                <w:szCs w:val="20"/>
                <w:color w:val="auto"/>
              </w:rPr>
            </w:pPr>
            <w:r>
              <w:rPr>
                <w:rFonts w:ascii="Arial" w:cs="Arial" w:eastAsia="Arial" w:hAnsi="Arial"/>
                <w:sz w:val="16"/>
                <w:szCs w:val="16"/>
                <w:color w:val="auto"/>
                <w:w w:val="96"/>
              </w:rPr>
              <w:t>Class C common stock (par value $0.00001), Authorized — 90,000,000 and 90,000,000 shares, Issued and Outstanding —</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8,607,998 and 9,030,066 shares at September 30, 2023 and December 31, 2022, respectively</w:t>
            </w: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560" w:type="dxa"/>
            <w:vAlign w:val="bottom"/>
            <w:gridSpan w:val="2"/>
            <w:shd w:val="clear" w:color="auto" w:fill="CCEEFF"/>
          </w:tcPr>
          <w:p>
            <w:pPr>
              <w:ind w:left="140"/>
              <w:spacing w:after="0" w:line="161" w:lineRule="exact"/>
              <w:rPr>
                <w:sz w:val="20"/>
                <w:szCs w:val="20"/>
                <w:color w:val="auto"/>
              </w:rPr>
            </w:pPr>
            <w:r>
              <w:rPr>
                <w:rFonts w:ascii="Arial" w:cs="Arial" w:eastAsia="Arial" w:hAnsi="Arial"/>
                <w:sz w:val="16"/>
                <w:szCs w:val="16"/>
                <w:color w:val="auto"/>
                <w:w w:val="94"/>
              </w:rPr>
              <w:t>Class D common stock (par value $0.00001), Authorized — 175,000,000 and 175,000,000 shares, Issued and Outstanding —</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60,091,740 and 60,091,740 shares at September 30, 2023 and December 31, 2022, respectively</w:t>
            </w: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w w:val="98"/>
              </w:rPr>
              <w:t>Treasury stock, at cost, 43,410,532 and 34,522,290 shares at September 30, 2023 and December 31, 2022, respectively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(1,120,501)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(954,637)</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1,343,307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1,292,613</w:t>
            </w:r>
          </w:p>
        </w:tc>
        <w:tc>
          <w:tcPr>
            <w:tcW w:w="0" w:type="dxa"/>
            <w:vAlign w:val="bottom"/>
          </w:tcPr>
          <w:p>
            <w:pPr>
              <w:spacing w:after="0"/>
              <w:rPr>
                <w:sz w:val="1"/>
                <w:szCs w:val="1"/>
                <w:color w:val="auto"/>
              </w:rPr>
            </w:pPr>
          </w:p>
        </w:tc>
      </w:tr>
      <w:tr>
        <w:trPr>
          <w:trHeight w:val="205"/>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1,018,201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972,317</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24,327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31,604</w:t>
            </w:r>
          </w:p>
        </w:tc>
        <w:tc>
          <w:tcPr>
            <w:tcW w:w="0" w:type="dxa"/>
            <w:vAlign w:val="bottom"/>
          </w:tcPr>
          <w:p>
            <w:pPr>
              <w:spacing w:after="0"/>
              <w:rPr>
                <w:sz w:val="1"/>
                <w:szCs w:val="1"/>
                <w:color w:val="auto"/>
              </w:rPr>
            </w:pPr>
          </w:p>
        </w:tc>
      </w:tr>
      <w:tr>
        <w:trPr>
          <w:trHeight w:val="197"/>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1,265,336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1,341,899</w:t>
            </w: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245,314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22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8"/>
              </w:rPr>
              <w:t>(in thousands, except share data)</w:t>
            </w:r>
          </w:p>
        </w:tc>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2280" w:type="dxa"/>
            <w:vAlign w:val="bottom"/>
            <w:tcBorders>
              <w:bottom w:val="single" w:sz="8" w:color="auto"/>
            </w:tcBorders>
            <w:vMerge w:val="continue"/>
          </w:tcPr>
          <w:p>
            <w:pPr>
              <w:spacing w:after="0"/>
              <w:rPr>
                <w:sz w:val="17"/>
                <w:szCs w:val="17"/>
                <w:color w:val="auto"/>
              </w:rPr>
            </w:pPr>
          </w:p>
        </w:tc>
        <w:tc>
          <w:tcPr>
            <w:tcW w:w="6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1,510,650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1,651,427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64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17,618,428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10,583,241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20" w:type="dxa"/>
            <w:vAlign w:val="bottom"/>
            <w:gridSpan w:val="5"/>
          </w:tcPr>
          <w:p>
            <w:pPr>
              <w:jc w:val="center"/>
              <w:ind w:right="1100"/>
              <w:spacing w:after="0"/>
              <w:rPr>
                <w:sz w:val="20"/>
                <w:szCs w:val="20"/>
                <w:color w:val="auto"/>
              </w:rPr>
            </w:pPr>
            <w:r>
              <w:rPr>
                <w:rFonts w:ascii="Arial" w:cs="Arial" w:eastAsia="Arial" w:hAnsi="Arial"/>
                <w:sz w:val="17"/>
                <w:szCs w:val="17"/>
                <w:color w:val="auto"/>
                <w:w w:val="91"/>
              </w:rPr>
              <w:t>See accompanying Notes to the Condensed Consolidated Financial Statements (Unaudited).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9"/>
        </w:trPr>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180" w:type="dxa"/>
            <w:vAlign w:val="bottom"/>
          </w:tcPr>
          <w:p>
            <w:pPr>
              <w:jc w:val="right"/>
              <w:ind w:right="2796"/>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6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313" w:lineRule="exact"/>
        <w:rPr>
          <w:sz w:val="20"/>
          <w:szCs w:val="20"/>
          <w:color w:val="auto"/>
        </w:rPr>
      </w:pPr>
    </w:p>
    <w:tbl>
      <w:tblPr>
        <w:tblLayout w:type="fixed"/>
        <w:tblInd w:w="320" w:type="dxa"/>
        <w:tblCellMar>
          <w:top w:w="0" w:type="dxa"/>
          <w:left w:w="0" w:type="dxa"/>
          <w:bottom w:w="0" w:type="dxa"/>
          <w:right w:w="0" w:type="dxa"/>
        </w:tblCellMar>
      </w:tblPr>
      <w:tr>
        <w:trPr>
          <w:trHeight w:val="179"/>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5"/>
                <w:szCs w:val="15"/>
                <w:color w:val="auto"/>
              </w:rPr>
            </w:pPr>
          </w:p>
        </w:tc>
        <w:tc>
          <w:tcPr>
            <w:tcW w:w="2160" w:type="dxa"/>
            <w:vAlign w:val="bottom"/>
            <w:gridSpan w:val="4"/>
          </w:tcPr>
          <w:p>
            <w:pPr>
              <w:jc w:val="right"/>
              <w:ind w:right="22"/>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25"/>
        </w:trPr>
        <w:tc>
          <w:tcPr>
            <w:tcW w:w="6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8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3"/>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Trading income, net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316,085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397,383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1,034,764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1,315,618</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and dividends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307,916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95,435</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Commissions, net and technology services</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110,276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120,986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341,223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411,981</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73,493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44,010</w:t>
            </w:r>
          </w:p>
        </w:tc>
        <w:tc>
          <w:tcPr>
            <w:tcW w:w="0" w:type="dxa"/>
            <w:vAlign w:val="bottom"/>
          </w:tcPr>
          <w:p>
            <w:pPr>
              <w:spacing w:after="0"/>
              <w:rPr>
                <w:sz w:val="1"/>
                <w:szCs w:val="1"/>
                <w:color w:val="auto"/>
              </w:rPr>
            </w:pPr>
          </w:p>
        </w:tc>
      </w:tr>
      <w:tr>
        <w:trPr>
          <w:trHeight w:val="197"/>
        </w:trPr>
        <w:tc>
          <w:tcPr>
            <w:tcW w:w="6040" w:type="dxa"/>
            <w:vAlign w:val="bottom"/>
            <w:gridSpan w:val="2"/>
          </w:tcPr>
          <w:p>
            <w:pPr>
              <w:ind w:left="320"/>
              <w:spacing w:after="0"/>
              <w:rPr>
                <w:sz w:val="20"/>
                <w:szCs w:val="20"/>
                <w:color w:val="auto"/>
              </w:rPr>
            </w:pPr>
            <w:r>
              <w:rPr>
                <w:rFonts w:ascii="Arial" w:cs="Arial" w:eastAsia="Arial" w:hAnsi="Arial"/>
                <w:sz w:val="16"/>
                <w:szCs w:val="16"/>
                <w:color w:val="auto"/>
              </w:rPr>
              <w:t>Total revenue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630,164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561,044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1,757,396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1,867,044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Brokerage, exchange, clearance fees and payments for order flow, net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391,238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476,235</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Communication and data processing</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57,066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52,907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170,837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164,441</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Employee compensation and payroll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305,338</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Interest and dividends expense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132,802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61,989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342,896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153,243</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Operations and administrative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72,204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53,110</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16,658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47,076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50,470</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48,817</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Termination of office leases</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issue cost related to debt refinancing, prepayment and commitment fees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28,525</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Transaction advisory fees and expenses</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interest expense on 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23,483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74,499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66,905</w:t>
            </w:r>
          </w:p>
        </w:tc>
        <w:tc>
          <w:tcPr>
            <w:tcW w:w="0" w:type="dxa"/>
            <w:vAlign w:val="bottom"/>
          </w:tcPr>
          <w:p>
            <w:pPr>
              <w:spacing w:after="0"/>
              <w:rPr>
                <w:sz w:val="1"/>
                <w:szCs w:val="1"/>
                <w:color w:val="auto"/>
              </w:rPr>
            </w:pPr>
          </w:p>
        </w:tc>
      </w:tr>
      <w:tr>
        <w:trPr>
          <w:trHeight w:val="197"/>
        </w:trPr>
        <w:tc>
          <w:tcPr>
            <w:tcW w:w="60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492,059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459,438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1,449,059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1,349,941</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before income taxes and noncontrolling interest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101,606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308,337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517,103</w:t>
            </w:r>
          </w:p>
        </w:tc>
        <w:tc>
          <w:tcPr>
            <w:tcW w:w="0" w:type="dxa"/>
            <w:vAlign w:val="bottom"/>
          </w:tcPr>
          <w:p>
            <w:pPr>
              <w:spacing w:after="0"/>
              <w:rPr>
                <w:sz w:val="1"/>
                <w:szCs w:val="1"/>
                <w:color w:val="auto"/>
              </w:rPr>
            </w:pPr>
          </w:p>
        </w:tc>
      </w:tr>
      <w:tr>
        <w:trPr>
          <w:trHeight w:val="205"/>
        </w:trPr>
        <w:tc>
          <w:tcPr>
            <w:tcW w:w="6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21,732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51,117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88,405</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79,874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257,220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428,698</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(55,678)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(120,722)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(191,264)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stockholders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40,007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136,498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237,434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Earnings per share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93,408,537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2"/>
              </w:rPr>
              <w:t>102,289,172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95,376,590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2"/>
              </w:rPr>
              <w:t>105,500,700</w:t>
            </w:r>
          </w:p>
        </w:tc>
        <w:tc>
          <w:tcPr>
            <w:tcW w:w="0" w:type="dxa"/>
            <w:vAlign w:val="bottom"/>
          </w:tcPr>
          <w:p>
            <w:pPr>
              <w:spacing w:after="0"/>
              <w:rPr>
                <w:sz w:val="1"/>
                <w:szCs w:val="1"/>
                <w:color w:val="auto"/>
              </w:rPr>
            </w:pPr>
          </w:p>
        </w:tc>
      </w:tr>
      <w:tr>
        <w:trPr>
          <w:trHeight w:val="205"/>
        </w:trPr>
        <w:tc>
          <w:tcPr>
            <w:tcW w:w="604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93,408,537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w w:val="92"/>
              </w:rPr>
              <w:t>102,550,852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95,376,590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w w:val="92"/>
              </w:rPr>
              <w:t>106,004,393</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117,593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79,874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257,220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428,698</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gridSpan w:val="2"/>
          </w:tcPr>
          <w:p>
            <w:pPr>
              <w:ind w:left="120"/>
              <w:spacing w:after="0"/>
              <w:rPr>
                <w:sz w:val="20"/>
                <w:szCs w:val="20"/>
                <w:color w:val="auto"/>
              </w:rPr>
            </w:pPr>
            <w:r>
              <w:rPr>
                <w:rFonts w:ascii="Arial" w:cs="Arial" w:eastAsia="Arial" w:hAnsi="Arial"/>
                <w:sz w:val="16"/>
                <w:szCs w:val="16"/>
                <w:color w:val="auto"/>
              </w:rPr>
              <w:t>Foreign exchange translation adjustment, net of taxes</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(43,505)</w:t>
            </w: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change in unrealized cash flow hedges gain (loss), net of taxes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30,731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92,666</w:t>
            </w:r>
          </w:p>
        </w:tc>
        <w:tc>
          <w:tcPr>
            <w:tcW w:w="0" w:type="dxa"/>
            <w:vAlign w:val="bottom"/>
          </w:tcPr>
          <w:p>
            <w:pPr>
              <w:spacing w:after="0"/>
              <w:rPr>
                <w:sz w:val="1"/>
                <w:szCs w:val="1"/>
                <w:color w:val="auto"/>
              </w:rPr>
            </w:pPr>
          </w:p>
        </w:tc>
      </w:tr>
      <w:tr>
        <w:trPr>
          <w:trHeight w:val="197"/>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105,942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92,078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244,778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477,859</w:t>
            </w:r>
          </w:p>
        </w:tc>
        <w:tc>
          <w:tcPr>
            <w:tcW w:w="0" w:type="dxa"/>
            <w:vAlign w:val="bottom"/>
          </w:tcPr>
          <w:p>
            <w:pPr>
              <w:spacing w:after="0"/>
              <w:rPr>
                <w:sz w:val="1"/>
                <w:szCs w:val="1"/>
                <w:color w:val="auto"/>
              </w:rPr>
            </w:pPr>
          </w:p>
        </w:tc>
      </w:tr>
      <w:tr>
        <w:trPr>
          <w:trHeight w:val="207"/>
        </w:trPr>
        <w:tc>
          <w:tcPr>
            <w:tcW w:w="6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(44,719)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(209,051)</w:t>
            </w:r>
          </w:p>
        </w:tc>
        <w:tc>
          <w:tcPr>
            <w:tcW w:w="0" w:type="dxa"/>
            <w:vAlign w:val="bottom"/>
          </w:tcPr>
          <w:p>
            <w:pPr>
              <w:spacing w:after="0"/>
              <w:rPr>
                <w:sz w:val="1"/>
                <w:szCs w:val="1"/>
                <w:color w:val="auto"/>
              </w:rPr>
            </w:pPr>
          </w:p>
        </w:tc>
      </w:tr>
      <w:tr>
        <w:trPr>
          <w:trHeight w:val="20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55,110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47,359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129,221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268,808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40"/>
          </w:cols>
          <w:pgMar w:left="320" w:top="127" w:right="639" w:bottom="1440" w:gutter="0" w:footer="0" w:header="0"/>
        </w:sectPr>
      </w:pPr>
    </w:p>
    <w:bookmarkStart w:id="6" w:name="page7"/>
    <w:bookmarkEnd w:id="6"/>
    <w:p>
      <w:pPr>
        <w:ind w:left="260"/>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Three and Nine Months Ended September 30, 2023, and 2022</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60" w:type="dxa"/>
            <w:vAlign w:val="bottom"/>
          </w:tcPr>
          <w:p>
            <w:pPr>
              <w:spacing w:after="0"/>
              <w:rPr>
                <w:sz w:val="9"/>
                <w:szCs w:val="9"/>
                <w:color w:val="auto"/>
              </w:rPr>
            </w:pPr>
          </w:p>
        </w:tc>
        <w:tc>
          <w:tcPr>
            <w:tcW w:w="12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A Common Stock</w:t>
            </w:r>
          </w:p>
        </w:tc>
        <w:tc>
          <w:tcPr>
            <w:tcW w:w="1240" w:type="dxa"/>
            <w:vAlign w:val="bottom"/>
            <w:gridSpan w:val="5"/>
            <w:vMerge w:val="restart"/>
          </w:tcPr>
          <w:p>
            <w:pPr>
              <w:jc w:val="right"/>
              <w:ind w:right="140"/>
              <w:spacing w:after="0"/>
              <w:rPr>
                <w:sz w:val="20"/>
                <w:szCs w:val="20"/>
                <w:color w:val="auto"/>
              </w:rPr>
            </w:pPr>
            <w:r>
              <w:rPr>
                <w:rFonts w:ascii="Arial" w:cs="Arial" w:eastAsia="Arial" w:hAnsi="Arial"/>
                <w:sz w:val="10"/>
                <w:szCs w:val="10"/>
                <w:b w:val="1"/>
                <w:bCs w:val="1"/>
                <w:color w:val="auto"/>
                <w:w w:val="95"/>
              </w:rPr>
              <w:t>Class C Common Stock</w:t>
            </w:r>
          </w:p>
        </w:tc>
        <w:tc>
          <w:tcPr>
            <w:tcW w:w="12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D Common Stock</w:t>
            </w:r>
          </w:p>
        </w:tc>
        <w:tc>
          <w:tcPr>
            <w:tcW w:w="1360" w:type="dxa"/>
            <w:vAlign w:val="bottom"/>
            <w:gridSpan w:val="5"/>
            <w:vMerge w:val="restart"/>
          </w:tcPr>
          <w:p>
            <w:pPr>
              <w:ind w:left="30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9"/>
                <w:szCs w:val="9"/>
                <w:color w:val="auto"/>
              </w:rPr>
            </w:pPr>
          </w:p>
        </w:tc>
        <w:tc>
          <w:tcPr>
            <w:tcW w:w="5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9"/>
                <w:szCs w:val="9"/>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6"/>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5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60"/>
              <w:spacing w:after="0" w:line="71"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6"/>
                <w:szCs w:val="6"/>
                <w:color w:val="auto"/>
              </w:rPr>
            </w:pPr>
          </w:p>
        </w:tc>
        <w:tc>
          <w:tcPr>
            <w:tcW w:w="720" w:type="dxa"/>
            <w:vAlign w:val="bottom"/>
            <w:gridSpan w:val="2"/>
          </w:tcPr>
          <w:p>
            <w:pPr>
              <w:jc w:val="center"/>
              <w:ind w:right="140"/>
              <w:spacing w:after="0" w:line="71"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6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Amounts</w:t>
            </w:r>
          </w:p>
        </w:tc>
        <w:tc>
          <w:tcPr>
            <w:tcW w:w="62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9"/>
                <w:szCs w:val="9"/>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6"/>
              </w:rPr>
              <w:t>Amounts</w:t>
            </w:r>
          </w:p>
        </w:tc>
        <w:tc>
          <w:tcPr>
            <w:tcW w:w="74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(Accumulated</w:t>
            </w:r>
          </w:p>
        </w:tc>
        <w:tc>
          <w:tcPr>
            <w:tcW w:w="80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40"/>
              <w:spacing w:after="0" w:line="104" w:lineRule="exact"/>
              <w:rPr>
                <w:sz w:val="20"/>
                <w:szCs w:val="20"/>
                <w:color w:val="auto"/>
              </w:rPr>
            </w:pPr>
            <w:r>
              <w:rPr>
                <w:rFonts w:ascii="Arial" w:cs="Arial" w:eastAsia="Arial" w:hAnsi="Arial"/>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97"/>
              </w:rPr>
              <w:t>Total Equity</w:t>
            </w:r>
          </w:p>
        </w:tc>
        <w:tc>
          <w:tcPr>
            <w:tcW w:w="0" w:type="dxa"/>
            <w:vAlign w:val="bottom"/>
          </w:tcPr>
          <w:p>
            <w:pPr>
              <w:spacing w:after="0"/>
              <w:rPr>
                <w:sz w:val="1"/>
                <w:szCs w:val="1"/>
                <w:color w:val="auto"/>
              </w:rPr>
            </w:pPr>
          </w:p>
        </w:tc>
      </w:tr>
      <w:tr>
        <w:trPr>
          <w:trHeight w:val="134"/>
        </w:trPr>
        <w:tc>
          <w:tcPr>
            <w:tcW w:w="156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80" w:type="dxa"/>
            <w:vAlign w:val="bottom"/>
            <w:gridSpan w:val="2"/>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Deficit)</w:t>
            </w:r>
          </w:p>
        </w:tc>
        <w:tc>
          <w:tcPr>
            <w:tcW w:w="8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14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0"/>
                <w:szCs w:val="10"/>
                <w:b w:val="1"/>
                <w:bCs w:val="1"/>
                <w:color w:val="auto"/>
              </w:rPr>
              <w:t>Interest</w:t>
            </w: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5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2022</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3"/>
              </w:rPr>
              <w:t>133,071,754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9,030,066</w:t>
            </w: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(34,522,290)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(954,637)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1,292,613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972,317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31,604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1,341,899</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309,528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1,651,427</w:t>
            </w:r>
          </w:p>
        </w:tc>
        <w:tc>
          <w:tcPr>
            <w:tcW w:w="0" w:type="dxa"/>
            <w:vAlign w:val="bottom"/>
          </w:tcPr>
          <w:p>
            <w:pPr>
              <w:spacing w:after="0"/>
              <w:rPr>
                <w:sz w:val="1"/>
                <w:szCs w:val="1"/>
                <w:color w:val="auto"/>
              </w:rPr>
            </w:pPr>
          </w:p>
        </w:tc>
      </w:tr>
      <w:tr>
        <w:trPr>
          <w:trHeight w:val="134"/>
        </w:trPr>
        <w:tc>
          <w:tcPr>
            <w:tcW w:w="1560" w:type="dxa"/>
            <w:vAlign w:val="bottom"/>
          </w:tcPr>
          <w:p>
            <w:pPr>
              <w:ind w:left="120"/>
              <w:spacing w:after="0"/>
              <w:rPr>
                <w:sz w:val="20"/>
                <w:szCs w:val="20"/>
                <w:color w:val="auto"/>
              </w:rPr>
            </w:pPr>
            <w:r>
              <w:rPr>
                <w:rFonts w:ascii="Arial" w:cs="Arial" w:eastAsia="Arial" w:hAnsi="Arial"/>
                <w:sz w:val="10"/>
                <w:szCs w:val="10"/>
                <w:color w:val="auto"/>
              </w:rPr>
              <w:t>Share based compensation</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2,393,550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31,030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31,030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31,030</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w w:val="98"/>
              </w:rPr>
              <w:t>Repurchase of Class C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(21,498)</w:t>
            </w: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(424)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(424)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(424)</w:t>
            </w:r>
          </w:p>
        </w:tc>
        <w:tc>
          <w:tcPr>
            <w:tcW w:w="0" w:type="dxa"/>
            <w:vAlign w:val="bottom"/>
          </w:tcPr>
          <w:p>
            <w:pPr>
              <w:spacing w:after="0"/>
              <w:rPr>
                <w:sz w:val="1"/>
                <w:szCs w:val="1"/>
                <w:color w:val="auto"/>
              </w:rPr>
            </w:pPr>
          </w:p>
        </w:tc>
      </w:tr>
      <w:tr>
        <w:trPr>
          <w:trHeight w:val="13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stock</w:t>
            </w: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60" w:type="dxa"/>
            <w:vAlign w:val="bottom"/>
          </w:tcPr>
          <w:p>
            <w:pPr>
              <w:ind w:left="120"/>
              <w:spacing w:after="0"/>
              <w:rPr>
                <w:sz w:val="20"/>
                <w:szCs w:val="20"/>
                <w:color w:val="auto"/>
              </w:rPr>
            </w:pPr>
            <w:r>
              <w:rPr>
                <w:rFonts w:ascii="Arial" w:cs="Arial" w:eastAsia="Arial" w:hAnsi="Arial"/>
                <w:sz w:val="10"/>
                <w:szCs w:val="10"/>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10"/>
                <w:szCs w:val="10"/>
                <w:color w:val="auto"/>
              </w:rPr>
              <w:t>(902,947)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(3,932,499)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(75,568)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(17,650)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(93,218)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(93,218)</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Net income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57,881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57,881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52,202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110,083</w:t>
            </w:r>
          </w:p>
        </w:tc>
        <w:tc>
          <w:tcPr>
            <w:tcW w:w="0" w:type="dxa"/>
            <w:vAlign w:val="bottom"/>
          </w:tcPr>
          <w:p>
            <w:pPr>
              <w:spacing w:after="0"/>
              <w:rPr>
                <w:sz w:val="1"/>
                <w:szCs w:val="1"/>
                <w:color w:val="auto"/>
              </w:rPr>
            </w:pPr>
          </w:p>
        </w:tc>
      </w:tr>
      <w:tr>
        <w:trPr>
          <w:trHeight w:val="107"/>
        </w:trPr>
        <w:tc>
          <w:tcPr>
            <w:tcW w:w="1560" w:type="dxa"/>
            <w:vAlign w:val="bottom"/>
          </w:tcPr>
          <w:p>
            <w:pPr>
              <w:ind w:left="120"/>
              <w:spacing w:after="0" w:line="107"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980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980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668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1,648</w:t>
            </w:r>
          </w:p>
        </w:tc>
        <w:tc>
          <w:tcPr>
            <w:tcW w:w="0" w:type="dxa"/>
            <w:vAlign w:val="bottom"/>
          </w:tcPr>
          <w:p>
            <w:pPr>
              <w:spacing w:after="0"/>
              <w:rPr>
                <w:sz w:val="1"/>
                <w:szCs w:val="1"/>
                <w:color w:val="auto"/>
              </w:rPr>
            </w:pPr>
          </w:p>
        </w:tc>
      </w:tr>
      <w:tr>
        <w:trPr>
          <w:trHeight w:val="130"/>
        </w:trPr>
        <w:tc>
          <w:tcPr>
            <w:tcW w:w="1560" w:type="dxa"/>
            <w:vAlign w:val="bottom"/>
          </w:tcPr>
          <w:p>
            <w:pPr>
              <w:ind w:left="120"/>
              <w:spacing w:after="0"/>
              <w:rPr>
                <w:sz w:val="20"/>
                <w:szCs w:val="20"/>
                <w:color w:val="auto"/>
              </w:rPr>
            </w:pPr>
            <w:r>
              <w:rPr>
                <w:rFonts w:ascii="Arial" w:cs="Arial" w:eastAsia="Arial" w:hAnsi="Arial"/>
                <w:sz w:val="10"/>
                <w:szCs w:val="10"/>
                <w:color w:val="auto"/>
              </w:rPr>
              <w:t>adjustment</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(7,834)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(7,834)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(5,334)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(13,168)</w:t>
            </w:r>
          </w:p>
        </w:tc>
        <w:tc>
          <w:tcPr>
            <w:tcW w:w="0" w:type="dxa"/>
            <w:vAlign w:val="bottom"/>
          </w:tcPr>
          <w:p>
            <w:pPr>
              <w:spacing w:after="0"/>
              <w:rPr>
                <w:sz w:val="1"/>
                <w:szCs w:val="1"/>
                <w:color w:val="auto"/>
              </w:rPr>
            </w:pPr>
          </w:p>
        </w:tc>
      </w:tr>
      <w:tr>
        <w:trPr>
          <w:trHeight w:val="13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flow hedges gains</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60" w:type="dxa"/>
            <w:vAlign w:val="bottom"/>
          </w:tcPr>
          <w:p>
            <w:pPr>
              <w:ind w:left="120"/>
              <w:spacing w:after="0" w:line="107" w:lineRule="exact"/>
              <w:rPr>
                <w:sz w:val="20"/>
                <w:szCs w:val="20"/>
                <w:color w:val="auto"/>
              </w:rPr>
            </w:pPr>
            <w:r>
              <w:rPr>
                <w:rFonts w:ascii="Arial" w:cs="Arial" w:eastAsia="Arial" w:hAnsi="Arial"/>
                <w:sz w:val="10"/>
                <w:szCs w:val="10"/>
                <w:color w:val="auto"/>
              </w:rPr>
              <w:t>Dividends ($0.24 per share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Class A common stock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participating Restricted Stock</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Unit and Restricted Stock</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Awards) and distributions from</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Virtu Financial to</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(24,696)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(24,696)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(27,308)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(52,004)</w:t>
            </w:r>
          </w:p>
        </w:tc>
        <w:tc>
          <w:tcPr>
            <w:tcW w:w="0" w:type="dxa"/>
            <w:vAlign w:val="bottom"/>
          </w:tcPr>
          <w:p>
            <w:pPr>
              <w:spacing w:after="0"/>
              <w:rPr>
                <w:sz w:val="1"/>
                <w:szCs w:val="1"/>
                <w:color w:val="auto"/>
              </w:rPr>
            </w:pPr>
          </w:p>
        </w:tc>
      </w:tr>
      <w:tr>
        <w:trPr>
          <w:trHeight w:val="130"/>
        </w:trPr>
        <w:tc>
          <w:tcPr>
            <w:tcW w:w="1560" w:type="dxa"/>
            <w:vAlign w:val="bottom"/>
          </w:tcPr>
          <w:p>
            <w:pPr>
              <w:ind w:left="120"/>
              <w:spacing w:after="0"/>
              <w:rPr>
                <w:sz w:val="20"/>
                <w:szCs w:val="20"/>
                <w:color w:val="auto"/>
              </w:rPr>
            </w:pPr>
            <w:r>
              <w:rPr>
                <w:rFonts w:ascii="Arial" w:cs="Arial" w:eastAsia="Arial" w:hAnsi="Arial"/>
                <w:sz w:val="10"/>
                <w:szCs w:val="10"/>
                <w:color w:val="auto"/>
              </w:rPr>
              <w:t>noncontrolling interest</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Issuance of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152,037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exchanges</w:t>
            </w: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60" w:type="dxa"/>
            <w:vAlign w:val="bottom"/>
          </w:tcPr>
          <w:p>
            <w:pPr>
              <w:ind w:left="120"/>
              <w:spacing w:after="0" w:line="107" w:lineRule="exact"/>
              <w:rPr>
                <w:sz w:val="20"/>
                <w:szCs w:val="20"/>
                <w:color w:val="auto"/>
              </w:rPr>
            </w:pPr>
            <w:r>
              <w:rPr>
                <w:rFonts w:ascii="Arial" w:cs="Arial" w:eastAsia="Arial" w:hAnsi="Arial"/>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Units and corresponding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number of Class C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stock in connection with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(152,037)</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1560" w:type="dxa"/>
            <w:vAlign w:val="bottom"/>
          </w:tcPr>
          <w:p>
            <w:pPr>
              <w:ind w:left="120"/>
              <w:spacing w:after="0"/>
              <w:rPr>
                <w:sz w:val="20"/>
                <w:szCs w:val="20"/>
                <w:color w:val="auto"/>
              </w:rPr>
            </w:pPr>
            <w:r>
              <w:rPr>
                <w:rFonts w:ascii="Arial" w:cs="Arial" w:eastAsia="Arial" w:hAnsi="Arial"/>
                <w:sz w:val="10"/>
                <w:szCs w:val="10"/>
                <w:color w:val="auto"/>
              </w:rPr>
              <w:t>employee exchanges</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March 31, 2023</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3"/>
              </w:rPr>
              <w:t>134,714,394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8,856,531</w:t>
            </w: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(38,454,789)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(1,030,205)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1,323,219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987,852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24,750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1,305,618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329,756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1,635,374</w:t>
            </w:r>
          </w:p>
        </w:tc>
        <w:tc>
          <w:tcPr>
            <w:tcW w:w="0" w:type="dxa"/>
            <w:vAlign w:val="bottom"/>
          </w:tcPr>
          <w:p>
            <w:pPr>
              <w:spacing w:after="0"/>
              <w:rPr>
                <w:sz w:val="1"/>
                <w:szCs w:val="1"/>
                <w:color w:val="auto"/>
              </w:rPr>
            </w:pPr>
          </w:p>
        </w:tc>
      </w:tr>
      <w:tr>
        <w:trPr>
          <w:trHeight w:val="134"/>
        </w:trPr>
        <w:tc>
          <w:tcPr>
            <w:tcW w:w="1560" w:type="dxa"/>
            <w:vAlign w:val="bottom"/>
          </w:tcPr>
          <w:p>
            <w:pPr>
              <w:ind w:left="120"/>
              <w:spacing w:after="0"/>
              <w:rPr>
                <w:sz w:val="20"/>
                <w:szCs w:val="20"/>
                <w:color w:val="auto"/>
              </w:rPr>
            </w:pPr>
            <w:r>
              <w:rPr>
                <w:rFonts w:ascii="Arial" w:cs="Arial" w:eastAsia="Arial" w:hAnsi="Arial"/>
                <w:sz w:val="10"/>
                <w:szCs w:val="10"/>
                <w:color w:val="auto"/>
              </w:rPr>
              <w:t>Share based compensation</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20,000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12,050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12,050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12,050</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Treasury stock purchases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(9,147)</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(2,265,811)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(41,579)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(41,744)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(41,744)</w:t>
            </w:r>
          </w:p>
        </w:tc>
        <w:tc>
          <w:tcPr>
            <w:tcW w:w="0" w:type="dxa"/>
            <w:vAlign w:val="bottom"/>
          </w:tcPr>
          <w:p>
            <w:pPr>
              <w:spacing w:after="0"/>
              <w:rPr>
                <w:sz w:val="1"/>
                <w:szCs w:val="1"/>
                <w:color w:val="auto"/>
              </w:rPr>
            </w:pPr>
          </w:p>
        </w:tc>
      </w:tr>
      <w:tr>
        <w:trPr>
          <w:trHeight w:val="134"/>
        </w:trPr>
        <w:tc>
          <w:tcPr>
            <w:tcW w:w="1560" w:type="dxa"/>
            <w:vAlign w:val="bottom"/>
          </w:tcPr>
          <w:p>
            <w:pPr>
              <w:ind w:left="12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16,702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16,702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12,842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29,544</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1,503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1,503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1,024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2,527</w:t>
            </w:r>
          </w:p>
        </w:tc>
        <w:tc>
          <w:tcPr>
            <w:tcW w:w="0" w:type="dxa"/>
            <w:vAlign w:val="bottom"/>
          </w:tcPr>
          <w:p>
            <w:pPr>
              <w:spacing w:after="0"/>
              <w:rPr>
                <w:sz w:val="1"/>
                <w:szCs w:val="1"/>
                <w:color w:val="auto"/>
              </w:rPr>
            </w:pPr>
          </w:p>
        </w:tc>
      </w:tr>
      <w:tr>
        <w:trPr>
          <w:trHeight w:val="13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60" w:type="dxa"/>
            <w:vAlign w:val="bottom"/>
          </w:tcPr>
          <w:p>
            <w:pPr>
              <w:ind w:left="120"/>
              <w:spacing w:after="0" w:line="107"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4,879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4,879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3,323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8,202</w:t>
            </w:r>
          </w:p>
        </w:tc>
        <w:tc>
          <w:tcPr>
            <w:tcW w:w="0" w:type="dxa"/>
            <w:vAlign w:val="bottom"/>
          </w:tcPr>
          <w:p>
            <w:pPr>
              <w:spacing w:after="0"/>
              <w:rPr>
                <w:sz w:val="1"/>
                <w:szCs w:val="1"/>
                <w:color w:val="auto"/>
              </w:rPr>
            </w:pPr>
          </w:p>
        </w:tc>
      </w:tr>
      <w:tr>
        <w:trPr>
          <w:trHeight w:val="130"/>
        </w:trPr>
        <w:tc>
          <w:tcPr>
            <w:tcW w:w="1560" w:type="dxa"/>
            <w:vAlign w:val="bottom"/>
          </w:tcPr>
          <w:p>
            <w:pPr>
              <w:ind w:left="120"/>
              <w:spacing w:after="0"/>
              <w:rPr>
                <w:sz w:val="20"/>
                <w:szCs w:val="20"/>
                <w:color w:val="auto"/>
              </w:rPr>
            </w:pPr>
            <w:r>
              <w:rPr>
                <w:rFonts w:ascii="Arial" w:cs="Arial" w:eastAsia="Arial" w:hAnsi="Arial"/>
                <w:sz w:val="10"/>
                <w:szCs w:val="10"/>
                <w:color w:val="auto"/>
              </w:rPr>
              <w:t>flow hedges gains</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Class A and Class B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stock and participating</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Restricted Stock Unit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Restricted Stock Awards)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distributions from Virtu</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Financial to noncontrolling</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(23,908)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(23,908)</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(69,744)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(93,652)</w:t>
            </w:r>
          </w:p>
        </w:tc>
        <w:tc>
          <w:tcPr>
            <w:tcW w:w="0" w:type="dxa"/>
            <w:vAlign w:val="bottom"/>
          </w:tcPr>
          <w:p>
            <w:pPr>
              <w:spacing w:after="0"/>
              <w:rPr>
                <w:sz w:val="1"/>
                <w:szCs w:val="1"/>
                <w:color w:val="auto"/>
              </w:rPr>
            </w:pPr>
          </w:p>
        </w:tc>
      </w:tr>
      <w:tr>
        <w:trPr>
          <w:trHeight w:val="15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interest</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60" w:type="dxa"/>
            <w:vAlign w:val="bottom"/>
          </w:tcPr>
          <w:p>
            <w:pPr>
              <w:ind w:left="20"/>
              <w:spacing w:after="0"/>
              <w:rPr>
                <w:sz w:val="20"/>
                <w:szCs w:val="20"/>
                <w:color w:val="auto"/>
              </w:rPr>
            </w:pPr>
            <w:r>
              <w:rPr>
                <w:rFonts w:ascii="Arial" w:cs="Arial" w:eastAsia="Arial" w:hAnsi="Arial"/>
                <w:sz w:val="10"/>
                <w:szCs w:val="10"/>
                <w:color w:val="auto"/>
              </w:rPr>
              <w:t>Balance at June 30, 2023</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3"/>
              </w:rPr>
              <w:t>134,725,247</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8,856,531</w:t>
            </w:r>
          </w:p>
        </w:tc>
        <w:tc>
          <w:tcPr>
            <w:tcW w:w="60" w:type="dxa"/>
            <w:vAlign w:val="bottom"/>
          </w:tcPr>
          <w:p>
            <w:pPr>
              <w:spacing w:after="0"/>
              <w:rPr>
                <w:sz w:val="11"/>
                <w:szCs w:val="11"/>
                <w:color w:val="auto"/>
              </w:rPr>
            </w:pPr>
          </w:p>
        </w:tc>
        <w:tc>
          <w:tcPr>
            <w:tcW w:w="24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(40,720,600)</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3"/>
              </w:rPr>
              <w:t>(1,071,784)</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1,335,269</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980,481</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31,132</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1,275,100</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277,201</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1,552,301</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Share based compensation</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144,783</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11,634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11,634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11,634</w:t>
            </w:r>
          </w:p>
        </w:tc>
        <w:tc>
          <w:tcPr>
            <w:tcW w:w="0" w:type="dxa"/>
            <w:vAlign w:val="bottom"/>
          </w:tcPr>
          <w:p>
            <w:pPr>
              <w:spacing w:after="0"/>
              <w:rPr>
                <w:sz w:val="1"/>
                <w:szCs w:val="1"/>
                <w:color w:val="auto"/>
              </w:rPr>
            </w:pPr>
          </w:p>
        </w:tc>
      </w:tr>
      <w:tr>
        <w:trPr>
          <w:trHeight w:val="107"/>
        </w:trPr>
        <w:tc>
          <w:tcPr>
            <w:tcW w:w="1560" w:type="dxa"/>
            <w:vAlign w:val="bottom"/>
          </w:tcPr>
          <w:p>
            <w:pPr>
              <w:ind w:left="120"/>
              <w:spacing w:after="0" w:line="107" w:lineRule="exact"/>
              <w:rPr>
                <w:sz w:val="20"/>
                <w:szCs w:val="20"/>
                <w:color w:val="auto"/>
              </w:rPr>
            </w:pPr>
            <w:r>
              <w:rPr>
                <w:rFonts w:ascii="Arial" w:cs="Arial" w:eastAsia="Arial" w:hAnsi="Arial"/>
                <w:sz w:val="10"/>
                <w:szCs w:val="10"/>
                <w:color w:val="auto"/>
                <w:w w:val="98"/>
              </w:rPr>
              <w:t>Repurchase of Class C common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(214,176)</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(3,596)</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(3,596)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(3,596)</w:t>
            </w:r>
          </w:p>
        </w:tc>
        <w:tc>
          <w:tcPr>
            <w:tcW w:w="0" w:type="dxa"/>
            <w:vAlign w:val="bottom"/>
          </w:tcPr>
          <w:p>
            <w:pPr>
              <w:spacing w:after="0"/>
              <w:rPr>
                <w:sz w:val="1"/>
                <w:szCs w:val="1"/>
                <w:color w:val="auto"/>
              </w:rPr>
            </w:pPr>
          </w:p>
        </w:tc>
      </w:tr>
      <w:tr>
        <w:trPr>
          <w:trHeight w:val="130"/>
        </w:trPr>
        <w:tc>
          <w:tcPr>
            <w:tcW w:w="1560" w:type="dxa"/>
            <w:vAlign w:val="bottom"/>
          </w:tcPr>
          <w:p>
            <w:pPr>
              <w:ind w:left="120"/>
              <w:spacing w:after="0"/>
              <w:rPr>
                <w:sz w:val="20"/>
                <w:szCs w:val="20"/>
                <w:color w:val="auto"/>
              </w:rPr>
            </w:pPr>
            <w:r>
              <w:rPr>
                <w:rFonts w:ascii="Arial" w:cs="Arial" w:eastAsia="Arial" w:hAnsi="Arial"/>
                <w:sz w:val="10"/>
                <w:szCs w:val="10"/>
                <w:color w:val="auto"/>
              </w:rPr>
              <w:t>stock</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Treasury stock purchases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(38,409)</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(2,689,932)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(48,717)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(49,420)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(49,420)</w:t>
            </w:r>
          </w:p>
        </w:tc>
        <w:tc>
          <w:tcPr>
            <w:tcW w:w="0" w:type="dxa"/>
            <w:vAlign w:val="bottom"/>
          </w:tcPr>
          <w:p>
            <w:pPr>
              <w:spacing w:after="0"/>
              <w:rPr>
                <w:sz w:val="1"/>
                <w:szCs w:val="1"/>
                <w:color w:val="auto"/>
              </w:rPr>
            </w:pPr>
          </w:p>
        </w:tc>
      </w:tr>
      <w:tr>
        <w:trPr>
          <w:trHeight w:val="134"/>
        </w:trPr>
        <w:tc>
          <w:tcPr>
            <w:tcW w:w="1560" w:type="dxa"/>
            <w:vAlign w:val="bottom"/>
          </w:tcPr>
          <w:p>
            <w:pPr>
              <w:ind w:left="12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61,915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61,915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55,678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117,593</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(2,339)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(2,339)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(1,666)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(4,005)</w:t>
            </w:r>
          </w:p>
        </w:tc>
        <w:tc>
          <w:tcPr>
            <w:tcW w:w="0" w:type="dxa"/>
            <w:vAlign w:val="bottom"/>
          </w:tcPr>
          <w:p>
            <w:pPr>
              <w:spacing w:after="0"/>
              <w:rPr>
                <w:sz w:val="1"/>
                <w:szCs w:val="1"/>
                <w:color w:val="auto"/>
              </w:rPr>
            </w:pPr>
          </w:p>
        </w:tc>
      </w:tr>
      <w:tr>
        <w:trPr>
          <w:trHeight w:val="13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60" w:type="dxa"/>
            <w:vAlign w:val="bottom"/>
          </w:tcPr>
          <w:p>
            <w:pPr>
              <w:ind w:left="120"/>
              <w:spacing w:after="0" w:line="107"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(4,466)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(4,466)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(3,180)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(7,646)</w:t>
            </w:r>
          </w:p>
        </w:tc>
        <w:tc>
          <w:tcPr>
            <w:tcW w:w="0" w:type="dxa"/>
            <w:vAlign w:val="bottom"/>
          </w:tcPr>
          <w:p>
            <w:pPr>
              <w:spacing w:after="0"/>
              <w:rPr>
                <w:sz w:val="1"/>
                <w:szCs w:val="1"/>
                <w:color w:val="auto"/>
              </w:rPr>
            </w:pPr>
          </w:p>
        </w:tc>
      </w:tr>
      <w:tr>
        <w:trPr>
          <w:trHeight w:val="130"/>
        </w:trPr>
        <w:tc>
          <w:tcPr>
            <w:tcW w:w="1560" w:type="dxa"/>
            <w:vAlign w:val="bottom"/>
          </w:tcPr>
          <w:p>
            <w:pPr>
              <w:ind w:left="120"/>
              <w:spacing w:after="0"/>
              <w:rPr>
                <w:sz w:val="20"/>
                <w:szCs w:val="20"/>
                <w:color w:val="auto"/>
              </w:rPr>
            </w:pPr>
            <w:r>
              <w:rPr>
                <w:rFonts w:ascii="Arial" w:cs="Arial" w:eastAsia="Arial" w:hAnsi="Arial"/>
                <w:sz w:val="10"/>
                <w:szCs w:val="10"/>
                <w:color w:val="auto"/>
              </w:rPr>
              <w:t>flow hedges gains</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Class A and Class B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stock and participating</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Restricted Stock Unit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Restricted Stock Award)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distributions from Virtu</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Financial to noncontrolling</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(23,492)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(23,492)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(82,719)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(106,211)</w:t>
            </w:r>
          </w:p>
        </w:tc>
        <w:tc>
          <w:tcPr>
            <w:tcW w:w="0" w:type="dxa"/>
            <w:vAlign w:val="bottom"/>
          </w:tcPr>
          <w:p>
            <w:pPr>
              <w:spacing w:after="0"/>
              <w:rPr>
                <w:sz w:val="1"/>
                <w:szCs w:val="1"/>
                <w:color w:val="auto"/>
              </w:rPr>
            </w:pPr>
          </w:p>
        </w:tc>
      </w:tr>
      <w:tr>
        <w:trPr>
          <w:trHeight w:val="13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interest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60" w:type="dxa"/>
            <w:vAlign w:val="bottom"/>
          </w:tcPr>
          <w:p>
            <w:pPr>
              <w:ind w:left="120"/>
              <w:spacing w:after="0" w:line="107" w:lineRule="exact"/>
              <w:rPr>
                <w:sz w:val="20"/>
                <w:szCs w:val="20"/>
                <w:color w:val="auto"/>
              </w:rPr>
            </w:pPr>
            <w:r>
              <w:rPr>
                <w:rFonts w:ascii="Arial" w:cs="Arial" w:eastAsia="Arial" w:hAnsi="Arial"/>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Units and corresponding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number of Class C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tcPr>
          <w:p>
            <w:pPr>
              <w:ind w:left="120"/>
              <w:spacing w:after="0" w:line="104" w:lineRule="exact"/>
              <w:rPr>
                <w:sz w:val="20"/>
                <w:szCs w:val="20"/>
                <w:color w:val="auto"/>
              </w:rPr>
            </w:pPr>
            <w:r>
              <w:rPr>
                <w:rFonts w:ascii="Arial" w:cs="Arial" w:eastAsia="Arial" w:hAnsi="Arial"/>
                <w:sz w:val="10"/>
                <w:szCs w:val="10"/>
                <w:color w:val="auto"/>
              </w:rPr>
              <w:t>stock in connection with</w:t>
            </w:r>
          </w:p>
        </w:tc>
        <w:tc>
          <w:tcPr>
            <w:tcW w:w="600" w:type="dxa"/>
            <w:vAlign w:val="bottom"/>
            <w:vMerge w:val="restart"/>
          </w:tcPr>
          <w:p>
            <w:pPr>
              <w:jc w:val="right"/>
              <w:ind w:right="8"/>
              <w:spacing w:after="0"/>
              <w:rPr>
                <w:sz w:val="20"/>
                <w:szCs w:val="20"/>
                <w:color w:val="auto"/>
              </w:rPr>
            </w:pPr>
            <w:r>
              <w:rPr>
                <w:rFonts w:ascii="Arial" w:cs="Arial" w:eastAsia="Arial" w:hAnsi="Arial"/>
                <w:sz w:val="10"/>
                <w:szCs w:val="10"/>
                <w:color w:val="auto"/>
              </w:rPr>
              <w:t>34,357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1560" w:type="dxa"/>
            <w:vAlign w:val="bottom"/>
          </w:tcPr>
          <w:p>
            <w:pPr>
              <w:ind w:left="120"/>
              <w:spacing w:after="0"/>
              <w:rPr>
                <w:sz w:val="20"/>
                <w:szCs w:val="20"/>
                <w:color w:val="auto"/>
              </w:rPr>
            </w:pPr>
            <w:r>
              <w:rPr>
                <w:rFonts w:ascii="Arial" w:cs="Arial" w:eastAsia="Arial" w:hAnsi="Arial"/>
                <w:sz w:val="10"/>
                <w:szCs w:val="10"/>
                <w:color w:val="auto"/>
              </w:rPr>
              <w:t>employee 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6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Issuance of tax receivable</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6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agreements in connection with</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(34,357)</w:t>
            </w: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1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employee exchange</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7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rPr>
                <w:sz w:val="20"/>
                <w:szCs w:val="20"/>
                <w:color w:val="auto"/>
              </w:rPr>
            </w:pPr>
            <w:r>
              <w:rPr>
                <w:rFonts w:ascii="Arial" w:cs="Arial" w:eastAsia="Arial" w:hAnsi="Arial"/>
                <w:sz w:val="10"/>
                <w:szCs w:val="10"/>
                <w:color w:val="auto"/>
              </w:rPr>
              <w:t>Balance at September 30, 2023</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3"/>
              </w:rPr>
              <w:t>134,865,978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8,607,998</w:t>
            </w: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5"/>
              </w:rPr>
              <w:t>(43,410,532)</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3"/>
              </w:rPr>
              <w:t>(1,120,501)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8"/>
              </w:rPr>
              <w:t>1,343,307</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1,018,201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24,327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1,265,336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245,314</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4"/>
              </w:rPr>
              <w:t>1,510,650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68580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420" w:top="127" w:right="41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Three and Nine Months Ended September 30, 2023, and 2022</w:t>
      </w:r>
    </w:p>
    <w:p>
      <w:pPr>
        <w:spacing w:after="0" w:line="377"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A Common Stock</w:t>
            </w:r>
          </w:p>
        </w:tc>
        <w:tc>
          <w:tcPr>
            <w:tcW w:w="1260" w:type="dxa"/>
            <w:vAlign w:val="bottom"/>
            <w:gridSpan w:val="5"/>
            <w:vMerge w:val="restart"/>
          </w:tcPr>
          <w:p>
            <w:pPr>
              <w:jc w:val="right"/>
              <w:ind w:right="140"/>
              <w:spacing w:after="0"/>
              <w:rPr>
                <w:sz w:val="20"/>
                <w:szCs w:val="20"/>
                <w:color w:val="auto"/>
              </w:rPr>
            </w:pPr>
            <w:r>
              <w:rPr>
                <w:rFonts w:ascii="Arial" w:cs="Arial" w:eastAsia="Arial" w:hAnsi="Arial"/>
                <w:sz w:val="10"/>
                <w:szCs w:val="10"/>
                <w:b w:val="1"/>
                <w:bCs w:val="1"/>
                <w:color w:val="auto"/>
                <w:w w:val="97"/>
              </w:rPr>
              <w:t>Class C Common Stock</w:t>
            </w:r>
          </w:p>
        </w:tc>
        <w:tc>
          <w:tcPr>
            <w:tcW w:w="130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D Common Stock</w:t>
            </w:r>
          </w:p>
        </w:tc>
        <w:tc>
          <w:tcPr>
            <w:tcW w:w="1280" w:type="dxa"/>
            <w:vAlign w:val="bottom"/>
            <w:gridSpan w:val="5"/>
            <w:vMerge w:val="restart"/>
          </w:tcPr>
          <w:p>
            <w:pPr>
              <w:ind w:left="26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9"/>
                <w:szCs w:val="9"/>
                <w:color w:val="auto"/>
              </w:rPr>
            </w:pPr>
          </w:p>
        </w:tc>
        <w:tc>
          <w:tcPr>
            <w:tcW w:w="5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9"/>
                <w:szCs w:val="9"/>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6"/>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5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60"/>
              <w:spacing w:after="0" w:line="71"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6"/>
                <w:szCs w:val="6"/>
                <w:color w:val="auto"/>
              </w:rPr>
            </w:pPr>
          </w:p>
        </w:tc>
        <w:tc>
          <w:tcPr>
            <w:tcW w:w="720" w:type="dxa"/>
            <w:vAlign w:val="bottom"/>
            <w:gridSpan w:val="2"/>
          </w:tcPr>
          <w:p>
            <w:pPr>
              <w:jc w:val="center"/>
              <w:ind w:right="140"/>
              <w:spacing w:after="0" w:line="71"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6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7"/>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6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9"/>
                <w:szCs w:val="9"/>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6"/>
              </w:rPr>
              <w:t>Amounts</w:t>
            </w:r>
          </w:p>
        </w:tc>
        <w:tc>
          <w:tcPr>
            <w:tcW w:w="74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(Accumulated</w:t>
            </w:r>
          </w:p>
        </w:tc>
        <w:tc>
          <w:tcPr>
            <w:tcW w:w="80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40"/>
              <w:spacing w:after="0" w:line="104" w:lineRule="exact"/>
              <w:rPr>
                <w:sz w:val="20"/>
                <w:szCs w:val="20"/>
                <w:color w:val="auto"/>
              </w:rPr>
            </w:pPr>
            <w:r>
              <w:rPr>
                <w:rFonts w:ascii="Arial" w:cs="Arial" w:eastAsia="Arial" w:hAnsi="Arial"/>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97"/>
              </w:rPr>
              <w:t>Total Equity</w:t>
            </w:r>
          </w:p>
        </w:tc>
        <w:tc>
          <w:tcPr>
            <w:tcW w:w="0" w:type="dxa"/>
            <w:vAlign w:val="bottom"/>
          </w:tcPr>
          <w:p>
            <w:pPr>
              <w:spacing w:after="0"/>
              <w:rPr>
                <w:sz w:val="1"/>
                <w:szCs w:val="1"/>
                <w:color w:val="auto"/>
              </w:rPr>
            </w:pPr>
          </w:p>
        </w:tc>
      </w:tr>
      <w:tr>
        <w:trPr>
          <w:trHeight w:val="134"/>
        </w:trPr>
        <w:tc>
          <w:tcPr>
            <w:tcW w:w="158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Deficit)</w:t>
            </w:r>
          </w:p>
        </w:tc>
        <w:tc>
          <w:tcPr>
            <w:tcW w:w="8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14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0"/>
                <w:szCs w:val="10"/>
                <w:b w:val="1"/>
                <w:bCs w:val="1"/>
                <w:color w:val="auto"/>
              </w:rPr>
              <w:t>Interest</w:t>
            </w: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2021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7"/>
              </w:rPr>
              <w:t>131,497,645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9,359,065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(18,326,863)</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(494,075)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1,223,119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830,538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(10,196)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1,549,388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314,230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1,863,618</w:t>
            </w:r>
          </w:p>
        </w:tc>
        <w:tc>
          <w:tcPr>
            <w:tcW w:w="0" w:type="dxa"/>
            <w:vAlign w:val="bottom"/>
          </w:tcPr>
          <w:p>
            <w:pPr>
              <w:spacing w:after="0"/>
              <w:rPr>
                <w:sz w:val="1"/>
                <w:szCs w:val="1"/>
                <w:color w:val="auto"/>
              </w:rPr>
            </w:pPr>
          </w:p>
        </w:tc>
      </w:tr>
      <w:tr>
        <w:trPr>
          <w:trHeight w:val="134"/>
        </w:trPr>
        <w:tc>
          <w:tcPr>
            <w:tcW w:w="1580" w:type="dxa"/>
            <w:vAlign w:val="bottom"/>
          </w:tcPr>
          <w:p>
            <w:pPr>
              <w:ind w:left="120"/>
              <w:spacing w:after="0"/>
              <w:rPr>
                <w:sz w:val="20"/>
                <w:szCs w:val="20"/>
                <w:color w:val="auto"/>
              </w:rPr>
            </w:pPr>
            <w:r>
              <w:rPr>
                <w:rFonts w:ascii="Arial" w:cs="Arial" w:eastAsia="Arial" w:hAnsi="Arial"/>
                <w:sz w:val="10"/>
                <w:szCs w:val="10"/>
                <w:color w:val="auto"/>
              </w:rPr>
              <w:t>Share based compensation</w:t>
            </w:r>
          </w:p>
        </w:tc>
        <w:tc>
          <w:tcPr>
            <w:tcW w:w="600" w:type="dxa"/>
            <w:vAlign w:val="bottom"/>
          </w:tcPr>
          <w:p>
            <w:pPr>
              <w:jc w:val="right"/>
              <w:spacing w:after="0"/>
              <w:rPr>
                <w:sz w:val="20"/>
                <w:szCs w:val="20"/>
                <w:color w:val="auto"/>
              </w:rPr>
            </w:pPr>
            <w:r>
              <w:rPr>
                <w:rFonts w:ascii="Arial" w:cs="Arial" w:eastAsia="Arial" w:hAnsi="Arial"/>
                <w:sz w:val="10"/>
                <w:szCs w:val="10"/>
                <w:color w:val="auto"/>
              </w:rPr>
              <w:t>1,669,030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27,377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27,377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27,377</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Repurchase of Class C common</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(234,269)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(8,204)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(8,204)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(8,204)</w:t>
            </w:r>
          </w:p>
        </w:tc>
        <w:tc>
          <w:tcPr>
            <w:tcW w:w="0" w:type="dxa"/>
            <w:vAlign w:val="bottom"/>
          </w:tcPr>
          <w:p>
            <w:pPr>
              <w:spacing w:after="0"/>
              <w:rPr>
                <w:sz w:val="1"/>
                <w:szCs w:val="1"/>
                <w:color w:val="auto"/>
              </w:rPr>
            </w:pPr>
          </w:p>
        </w:tc>
      </w:tr>
      <w:tr>
        <w:trPr>
          <w:trHeight w:val="13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stock</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tcPr>
          <w:p>
            <w:pPr>
              <w:ind w:left="120"/>
              <w:spacing w:after="0"/>
              <w:rPr>
                <w:sz w:val="20"/>
                <w:szCs w:val="20"/>
                <w:color w:val="auto"/>
              </w:rPr>
            </w:pPr>
            <w:r>
              <w:rPr>
                <w:rFonts w:ascii="Arial" w:cs="Arial" w:eastAsia="Arial" w:hAnsi="Arial"/>
                <w:sz w:val="10"/>
                <w:szCs w:val="10"/>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10"/>
                <w:szCs w:val="10"/>
                <w:color w:val="auto"/>
              </w:rPr>
              <w:t>(612,844)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(8,908,544)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98"/>
              </w:rPr>
              <w:t>(287,211)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(18,354)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(305,565)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(305,565)</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Stock options exercised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246,879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4,691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4,691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4,691</w:t>
            </w:r>
          </w:p>
        </w:tc>
        <w:tc>
          <w:tcPr>
            <w:tcW w:w="0" w:type="dxa"/>
            <w:vAlign w:val="bottom"/>
          </w:tcPr>
          <w:p>
            <w:pPr>
              <w:spacing w:after="0"/>
              <w:rPr>
                <w:sz w:val="1"/>
                <w:szCs w:val="1"/>
                <w:color w:val="auto"/>
              </w:rPr>
            </w:pPr>
          </w:p>
        </w:tc>
      </w:tr>
      <w:tr>
        <w:trPr>
          <w:trHeight w:val="134"/>
        </w:trPr>
        <w:tc>
          <w:tcPr>
            <w:tcW w:w="1580" w:type="dxa"/>
            <w:vAlign w:val="bottom"/>
          </w:tcPr>
          <w:p>
            <w:pPr>
              <w:ind w:left="12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112,257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112,257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87,668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199,925</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(3,172)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(3,172)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(1,996)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(5,168)</w:t>
            </w:r>
          </w:p>
        </w:tc>
        <w:tc>
          <w:tcPr>
            <w:tcW w:w="0" w:type="dxa"/>
            <w:vAlign w:val="bottom"/>
          </w:tcPr>
          <w:p>
            <w:pPr>
              <w:spacing w:after="0"/>
              <w:rPr>
                <w:sz w:val="1"/>
                <w:szCs w:val="1"/>
                <w:color w:val="auto"/>
              </w:rPr>
            </w:pPr>
          </w:p>
        </w:tc>
      </w:tr>
      <w:tr>
        <w:trPr>
          <w:trHeight w:val="13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80" w:type="dxa"/>
            <w:vAlign w:val="bottom"/>
          </w:tcPr>
          <w:p>
            <w:pPr>
              <w:ind w:left="120"/>
              <w:spacing w:after="0" w:line="107"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29,387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29,387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18,486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47,873</w:t>
            </w:r>
          </w:p>
        </w:tc>
        <w:tc>
          <w:tcPr>
            <w:tcW w:w="0" w:type="dxa"/>
            <w:vAlign w:val="bottom"/>
          </w:tcPr>
          <w:p>
            <w:pPr>
              <w:spacing w:after="0"/>
              <w:rPr>
                <w:sz w:val="1"/>
                <w:szCs w:val="1"/>
                <w:color w:val="auto"/>
              </w:rPr>
            </w:pPr>
          </w:p>
        </w:tc>
      </w:tr>
      <w:tr>
        <w:trPr>
          <w:trHeight w:val="130"/>
        </w:trPr>
        <w:tc>
          <w:tcPr>
            <w:tcW w:w="1580" w:type="dxa"/>
            <w:vAlign w:val="bottom"/>
          </w:tcPr>
          <w:p>
            <w:pPr>
              <w:ind w:left="120"/>
              <w:spacing w:after="0"/>
              <w:rPr>
                <w:sz w:val="20"/>
                <w:szCs w:val="20"/>
                <w:color w:val="auto"/>
              </w:rPr>
            </w:pPr>
            <w:r>
              <w:rPr>
                <w:rFonts w:ascii="Arial" w:cs="Arial" w:eastAsia="Arial" w:hAnsi="Arial"/>
                <w:sz w:val="10"/>
                <w:szCs w:val="10"/>
                <w:color w:val="auto"/>
              </w:rPr>
              <w:t>flow hedges gains</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Class A common stock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participating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Units and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Awards) and distributions from</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Virtu Financial to</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(27,054)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(27,054)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(98,751)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(125,805)</w:t>
            </w:r>
          </w:p>
        </w:tc>
        <w:tc>
          <w:tcPr>
            <w:tcW w:w="0" w:type="dxa"/>
            <w:vAlign w:val="bottom"/>
          </w:tcPr>
          <w:p>
            <w:pPr>
              <w:spacing w:after="0"/>
              <w:rPr>
                <w:sz w:val="1"/>
                <w:szCs w:val="1"/>
                <w:color w:val="auto"/>
              </w:rPr>
            </w:pPr>
          </w:p>
        </w:tc>
      </w:tr>
      <w:tr>
        <w:trPr>
          <w:trHeight w:val="13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noncontrolling interest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80" w:type="dxa"/>
            <w:vAlign w:val="bottom"/>
          </w:tcPr>
          <w:p>
            <w:pPr>
              <w:ind w:left="120"/>
              <w:spacing w:after="0" w:line="107" w:lineRule="exact"/>
              <w:rPr>
                <w:sz w:val="20"/>
                <w:szCs w:val="20"/>
                <w:color w:val="auto"/>
              </w:rPr>
            </w:pPr>
            <w:r>
              <w:rPr>
                <w:rFonts w:ascii="Arial" w:cs="Arial" w:eastAsia="Arial" w:hAnsi="Arial"/>
                <w:sz w:val="10"/>
                <w:szCs w:val="10"/>
                <w:color w:val="auto"/>
              </w:rPr>
              <w:t>Issuance of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71,641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1580" w:type="dxa"/>
            <w:vAlign w:val="bottom"/>
          </w:tcPr>
          <w:p>
            <w:pPr>
              <w:ind w:left="120"/>
              <w:spacing w:after="0"/>
              <w:rPr>
                <w:sz w:val="20"/>
                <w:szCs w:val="20"/>
                <w:color w:val="auto"/>
              </w:rPr>
            </w:pPr>
            <w:r>
              <w:rPr>
                <w:rFonts w:ascii="Arial" w:cs="Arial" w:eastAsia="Arial" w:hAnsi="Arial"/>
                <w:sz w:val="10"/>
                <w:szCs w:val="10"/>
                <w:color w:val="auto"/>
              </w:rPr>
              <w:t>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Repurchase of Virtu Financial</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w w:val="99"/>
              </w:rPr>
              <w:t>Units and corresponding number</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of Class C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(71,641)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exchanges</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ind w:left="20"/>
              <w:spacing w:after="0"/>
              <w:rPr>
                <w:sz w:val="20"/>
                <w:szCs w:val="20"/>
                <w:color w:val="auto"/>
              </w:rPr>
            </w:pPr>
            <w:r>
              <w:rPr>
                <w:rFonts w:ascii="Arial" w:cs="Arial" w:eastAsia="Arial" w:hAnsi="Arial"/>
                <w:sz w:val="10"/>
                <w:szCs w:val="10"/>
                <w:color w:val="auto"/>
              </w:rPr>
              <w:t>Balance at March 31, 2022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7"/>
              </w:rPr>
              <w:t>132,872,351</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9,053,155</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(27,235,407)</w:t>
            </w:r>
          </w:p>
        </w:tc>
        <w:tc>
          <w:tcPr>
            <w:tcW w:w="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(781,286)</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1,246,983</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897,387</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16,019</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1,379,105</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319,637</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1,698,742</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Share based compensation</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9,411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9,411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9,411</w:t>
            </w:r>
          </w:p>
        </w:tc>
        <w:tc>
          <w:tcPr>
            <w:tcW w:w="0" w:type="dxa"/>
            <w:vAlign w:val="bottom"/>
          </w:tcPr>
          <w:p>
            <w:pPr>
              <w:spacing w:after="0"/>
              <w:rPr>
                <w:sz w:val="1"/>
                <w:szCs w:val="1"/>
                <w:color w:val="auto"/>
              </w:rPr>
            </w:pPr>
          </w:p>
        </w:tc>
      </w:tr>
      <w:tr>
        <w:trPr>
          <w:trHeight w:val="107"/>
        </w:trPr>
        <w:tc>
          <w:tcPr>
            <w:tcW w:w="1580" w:type="dxa"/>
            <w:vAlign w:val="bottom"/>
          </w:tcPr>
          <w:p>
            <w:pPr>
              <w:ind w:left="120"/>
              <w:spacing w:after="0" w:line="107" w:lineRule="exact"/>
              <w:rPr>
                <w:sz w:val="20"/>
                <w:szCs w:val="20"/>
                <w:color w:val="auto"/>
              </w:rPr>
            </w:pPr>
            <w:r>
              <w:rPr>
                <w:rFonts w:ascii="Arial" w:cs="Arial" w:eastAsia="Arial" w:hAnsi="Arial"/>
                <w:sz w:val="10"/>
                <w:szCs w:val="10"/>
                <w:color w:val="auto"/>
              </w:rPr>
              <w:t>Repurchase of Class C common</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(1,800)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(52)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(52)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(52)</w:t>
            </w:r>
          </w:p>
        </w:tc>
        <w:tc>
          <w:tcPr>
            <w:tcW w:w="0" w:type="dxa"/>
            <w:vAlign w:val="bottom"/>
          </w:tcPr>
          <w:p>
            <w:pPr>
              <w:spacing w:after="0"/>
              <w:rPr>
                <w:sz w:val="1"/>
                <w:szCs w:val="1"/>
                <w:color w:val="auto"/>
              </w:rPr>
            </w:pPr>
          </w:p>
        </w:tc>
      </w:tr>
      <w:tr>
        <w:trPr>
          <w:trHeight w:val="130"/>
        </w:trPr>
        <w:tc>
          <w:tcPr>
            <w:tcW w:w="1580" w:type="dxa"/>
            <w:vAlign w:val="bottom"/>
          </w:tcPr>
          <w:p>
            <w:pPr>
              <w:ind w:left="120"/>
              <w:spacing w:after="0"/>
              <w:rPr>
                <w:sz w:val="20"/>
                <w:szCs w:val="20"/>
                <w:color w:val="auto"/>
              </w:rPr>
            </w:pPr>
            <w:r>
              <w:rPr>
                <w:rFonts w:ascii="Arial" w:cs="Arial" w:eastAsia="Arial" w:hAnsi="Arial"/>
                <w:sz w:val="10"/>
                <w:szCs w:val="10"/>
                <w:color w:val="auto"/>
              </w:rPr>
              <w:t>stock</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Treasury stock purchases</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(1,762,756)</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(47,486)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(47,486)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(47,486)</w:t>
            </w:r>
          </w:p>
        </w:tc>
        <w:tc>
          <w:tcPr>
            <w:tcW w:w="0" w:type="dxa"/>
            <w:vAlign w:val="bottom"/>
          </w:tcPr>
          <w:p>
            <w:pPr>
              <w:spacing w:after="0"/>
              <w:rPr>
                <w:sz w:val="1"/>
                <w:szCs w:val="1"/>
                <w:color w:val="auto"/>
              </w:rPr>
            </w:pPr>
          </w:p>
        </w:tc>
      </w:tr>
      <w:tr>
        <w:trPr>
          <w:trHeight w:val="134"/>
        </w:trPr>
        <w:tc>
          <w:tcPr>
            <w:tcW w:w="1580" w:type="dxa"/>
            <w:vAlign w:val="bottom"/>
          </w:tcPr>
          <w:p>
            <w:pPr>
              <w:ind w:left="120"/>
              <w:spacing w:after="0"/>
              <w:rPr>
                <w:sz w:val="20"/>
                <w:szCs w:val="20"/>
                <w:color w:val="auto"/>
              </w:rPr>
            </w:pPr>
            <w:r>
              <w:rPr>
                <w:rFonts w:ascii="Arial" w:cs="Arial" w:eastAsia="Arial" w:hAnsi="Arial"/>
                <w:sz w:val="10"/>
                <w:szCs w:val="10"/>
                <w:color w:val="auto"/>
              </w:rPr>
              <w:t>Stock options exercised</w:t>
            </w:r>
          </w:p>
        </w:tc>
        <w:tc>
          <w:tcPr>
            <w:tcW w:w="600" w:type="dxa"/>
            <w:vAlign w:val="bottom"/>
          </w:tcPr>
          <w:p>
            <w:pPr>
              <w:jc w:val="right"/>
              <w:spacing w:after="0"/>
              <w:rPr>
                <w:sz w:val="20"/>
                <w:szCs w:val="20"/>
                <w:color w:val="auto"/>
              </w:rPr>
            </w:pPr>
            <w:r>
              <w:rPr>
                <w:rFonts w:ascii="Arial" w:cs="Arial" w:eastAsia="Arial" w:hAnsi="Arial"/>
                <w:sz w:val="10"/>
                <w:szCs w:val="10"/>
                <w:color w:val="auto"/>
              </w:rPr>
              <w:t>22,000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418</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Net income</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85,167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85,167</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63,729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148,896</w:t>
            </w:r>
          </w:p>
        </w:tc>
        <w:tc>
          <w:tcPr>
            <w:tcW w:w="0" w:type="dxa"/>
            <w:vAlign w:val="bottom"/>
          </w:tcPr>
          <w:p>
            <w:pPr>
              <w:spacing w:after="0"/>
              <w:rPr>
                <w:sz w:val="1"/>
                <w:szCs w:val="1"/>
                <w:color w:val="auto"/>
              </w:rPr>
            </w:pPr>
          </w:p>
        </w:tc>
      </w:tr>
      <w:tr>
        <w:trPr>
          <w:trHeight w:val="107"/>
        </w:trPr>
        <w:tc>
          <w:tcPr>
            <w:tcW w:w="1580" w:type="dxa"/>
            <w:vAlign w:val="bottom"/>
          </w:tcPr>
          <w:p>
            <w:pPr>
              <w:ind w:left="120"/>
              <w:spacing w:after="0" w:line="107"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(10,773)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(10,773)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(9,037)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(19,810)</w:t>
            </w:r>
          </w:p>
        </w:tc>
        <w:tc>
          <w:tcPr>
            <w:tcW w:w="0" w:type="dxa"/>
            <w:vAlign w:val="bottom"/>
          </w:tcPr>
          <w:p>
            <w:pPr>
              <w:spacing w:after="0"/>
              <w:rPr>
                <w:sz w:val="1"/>
                <w:szCs w:val="1"/>
                <w:color w:val="auto"/>
              </w:rPr>
            </w:pPr>
          </w:p>
        </w:tc>
      </w:tr>
      <w:tr>
        <w:trPr>
          <w:trHeight w:val="130"/>
        </w:trPr>
        <w:tc>
          <w:tcPr>
            <w:tcW w:w="1580" w:type="dxa"/>
            <w:vAlign w:val="bottom"/>
          </w:tcPr>
          <w:p>
            <w:pPr>
              <w:ind w:left="120"/>
              <w:spacing w:after="0"/>
              <w:rPr>
                <w:sz w:val="20"/>
                <w:szCs w:val="20"/>
                <w:color w:val="auto"/>
              </w:rPr>
            </w:pPr>
            <w:r>
              <w:rPr>
                <w:rFonts w:ascii="Arial" w:cs="Arial" w:eastAsia="Arial" w:hAnsi="Arial"/>
                <w:sz w:val="10"/>
                <w:szCs w:val="10"/>
                <w:color w:val="auto"/>
              </w:rPr>
              <w:t>adjustment</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8,580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8,580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5,482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14,062</w:t>
            </w:r>
          </w:p>
        </w:tc>
        <w:tc>
          <w:tcPr>
            <w:tcW w:w="0" w:type="dxa"/>
            <w:vAlign w:val="bottom"/>
          </w:tcPr>
          <w:p>
            <w:pPr>
              <w:spacing w:after="0"/>
              <w:rPr>
                <w:sz w:val="1"/>
                <w:szCs w:val="1"/>
                <w:color w:val="auto"/>
              </w:rPr>
            </w:pPr>
          </w:p>
        </w:tc>
      </w:tr>
      <w:tr>
        <w:trPr>
          <w:trHeight w:val="13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flow hedges losses</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80" w:type="dxa"/>
            <w:vAlign w:val="bottom"/>
          </w:tcPr>
          <w:p>
            <w:pPr>
              <w:ind w:left="120"/>
              <w:spacing w:after="0" w:line="107" w:lineRule="exact"/>
              <w:rPr>
                <w:sz w:val="20"/>
                <w:szCs w:val="20"/>
                <w:color w:val="auto"/>
              </w:rPr>
            </w:pPr>
            <w:r>
              <w:rPr>
                <w:rFonts w:ascii="Arial" w:cs="Arial" w:eastAsia="Arial" w:hAnsi="Arial"/>
                <w:sz w:val="10"/>
                <w:szCs w:val="10"/>
                <w:color w:val="auto"/>
              </w:rPr>
              <w:t>Dividends ($0.24 per share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Class A and Class B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stock and participating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Restricted Stock Units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Restricted Stock Award)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distributions from Virtu</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Financial to noncontrolling</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(26,067)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(26,067)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(76,906)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(102,973)</w:t>
            </w:r>
          </w:p>
        </w:tc>
        <w:tc>
          <w:tcPr>
            <w:tcW w:w="0" w:type="dxa"/>
            <w:vAlign w:val="bottom"/>
          </w:tcPr>
          <w:p>
            <w:pPr>
              <w:spacing w:after="0"/>
              <w:rPr>
                <w:sz w:val="1"/>
                <w:szCs w:val="1"/>
                <w:color w:val="auto"/>
              </w:rPr>
            </w:pPr>
          </w:p>
        </w:tc>
      </w:tr>
      <w:tr>
        <w:trPr>
          <w:trHeight w:val="130"/>
        </w:trPr>
        <w:tc>
          <w:tcPr>
            <w:tcW w:w="1580" w:type="dxa"/>
            <w:vAlign w:val="bottom"/>
          </w:tcPr>
          <w:p>
            <w:pPr>
              <w:ind w:left="120"/>
              <w:spacing w:after="0"/>
              <w:rPr>
                <w:sz w:val="20"/>
                <w:szCs w:val="20"/>
                <w:color w:val="auto"/>
              </w:rPr>
            </w:pPr>
            <w:r>
              <w:rPr>
                <w:rFonts w:ascii="Arial" w:cs="Arial" w:eastAsia="Arial" w:hAnsi="Arial"/>
                <w:sz w:val="10"/>
                <w:szCs w:val="10"/>
                <w:color w:val="auto"/>
              </w:rPr>
              <w:t>interest</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Issuance of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21,289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exchanges</w:t>
            </w: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80" w:type="dxa"/>
            <w:vAlign w:val="bottom"/>
          </w:tcPr>
          <w:p>
            <w:pPr>
              <w:ind w:left="120"/>
              <w:spacing w:after="0" w:line="107" w:lineRule="exact"/>
              <w:rPr>
                <w:sz w:val="20"/>
                <w:szCs w:val="20"/>
                <w:color w:val="auto"/>
              </w:rPr>
            </w:pPr>
            <w:r>
              <w:rPr>
                <w:rFonts w:ascii="Arial" w:cs="Arial" w:eastAsia="Arial" w:hAnsi="Arial"/>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w w:val="99"/>
              </w:rPr>
              <w:t>Units and corresponding number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of Class C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ind w:left="120"/>
              <w:spacing w:after="0" w:line="104"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(21,289)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1580" w:type="dxa"/>
            <w:vAlign w:val="bottom"/>
          </w:tcPr>
          <w:p>
            <w:pPr>
              <w:ind w:left="120"/>
              <w:spacing w:after="0"/>
              <w:rPr>
                <w:sz w:val="20"/>
                <w:szCs w:val="20"/>
                <w:color w:val="auto"/>
              </w:rPr>
            </w:pPr>
            <w:r>
              <w:rPr>
                <w:rFonts w:ascii="Arial" w:cs="Arial" w:eastAsia="Arial" w:hAnsi="Arial"/>
                <w:sz w:val="10"/>
                <w:szCs w:val="10"/>
                <w:color w:val="auto"/>
              </w:rPr>
              <w:t>exchanges</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Contributions from</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39,200</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39,200</w:t>
            </w:r>
          </w:p>
        </w:tc>
        <w:tc>
          <w:tcPr>
            <w:tcW w:w="0" w:type="dxa"/>
            <w:vAlign w:val="bottom"/>
          </w:tcPr>
          <w:p>
            <w:pPr>
              <w:spacing w:after="0"/>
              <w:rPr>
                <w:sz w:val="1"/>
                <w:szCs w:val="1"/>
                <w:color w:val="auto"/>
              </w:rPr>
            </w:pPr>
          </w:p>
        </w:tc>
      </w:tr>
      <w:tr>
        <w:trPr>
          <w:trHeight w:val="15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noncontrolling interests</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7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80" w:type="dxa"/>
            <w:vAlign w:val="bottom"/>
          </w:tcPr>
          <w:p>
            <w:pPr>
              <w:ind w:left="20"/>
              <w:spacing w:after="0"/>
              <w:rPr>
                <w:sz w:val="20"/>
                <w:szCs w:val="20"/>
                <w:color w:val="auto"/>
              </w:rPr>
            </w:pPr>
            <w:r>
              <w:rPr>
                <w:rFonts w:ascii="Arial" w:cs="Arial" w:eastAsia="Arial" w:hAnsi="Arial"/>
                <w:sz w:val="10"/>
                <w:szCs w:val="10"/>
                <w:color w:val="auto"/>
              </w:rPr>
              <w:t>Balance at June 30, 2022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7"/>
              </w:rPr>
              <w:t>132,915,640</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9,030,066</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(28,998,163)</w:t>
            </w:r>
          </w:p>
        </w:tc>
        <w:tc>
          <w:tcPr>
            <w:tcW w:w="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(828,772)</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1,256,760</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956,487</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13,826</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1,398,303</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342,105</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1,740,408</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Share based compensation</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131,892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9,159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9,159</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9,159</w:t>
            </w:r>
          </w:p>
        </w:tc>
        <w:tc>
          <w:tcPr>
            <w:tcW w:w="0" w:type="dxa"/>
            <w:vAlign w:val="bottom"/>
          </w:tcPr>
          <w:p>
            <w:pPr>
              <w:spacing w:after="0"/>
              <w:rPr>
                <w:sz w:val="1"/>
                <w:szCs w:val="1"/>
                <w:color w:val="auto"/>
              </w:rPr>
            </w:pPr>
          </w:p>
        </w:tc>
      </w:tr>
      <w:tr>
        <w:trPr>
          <w:trHeight w:val="134"/>
        </w:trPr>
        <w:tc>
          <w:tcPr>
            <w:tcW w:w="1580" w:type="dxa"/>
            <w:vAlign w:val="bottom"/>
          </w:tcPr>
          <w:p>
            <w:pPr>
              <w:ind w:left="120"/>
              <w:spacing w:after="0"/>
              <w:rPr>
                <w:sz w:val="20"/>
                <w:szCs w:val="20"/>
                <w:color w:val="auto"/>
              </w:rPr>
            </w:pPr>
            <w:r>
              <w:rPr>
                <w:rFonts w:ascii="Arial" w:cs="Arial" w:eastAsia="Arial" w:hAnsi="Arial"/>
                <w:sz w:val="10"/>
                <w:szCs w:val="10"/>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10"/>
                <w:szCs w:val="10"/>
                <w:color w:val="auto"/>
              </w:rPr>
              <w:t>(35,006)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(3,439,813)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(80,596)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(81,419)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(81,419)</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Stock options exercised</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580" w:type="dxa"/>
            <w:vAlign w:val="bottom"/>
          </w:tcPr>
          <w:p>
            <w:pPr>
              <w:ind w:left="12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40,007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40,007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39,867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79,874</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(11,161)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(11,161)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(7,366)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(18,527)</w:t>
            </w:r>
          </w:p>
        </w:tc>
        <w:tc>
          <w:tcPr>
            <w:tcW w:w="0" w:type="dxa"/>
            <w:vAlign w:val="bottom"/>
          </w:tcPr>
          <w:p>
            <w:pPr>
              <w:spacing w:after="0"/>
              <w:rPr>
                <w:sz w:val="1"/>
                <w:szCs w:val="1"/>
                <w:color w:val="auto"/>
              </w:rPr>
            </w:pPr>
          </w:p>
        </w:tc>
      </w:tr>
      <w:tr>
        <w:trPr>
          <w:trHeight w:val="13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580" w:type="dxa"/>
            <w:vAlign w:val="bottom"/>
          </w:tcPr>
          <w:p>
            <w:pPr>
              <w:ind w:left="120"/>
              <w:spacing w:after="0" w:line="107"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18,513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18,513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12,218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30,731</w:t>
            </w:r>
          </w:p>
        </w:tc>
        <w:tc>
          <w:tcPr>
            <w:tcW w:w="0" w:type="dxa"/>
            <w:vAlign w:val="bottom"/>
          </w:tcPr>
          <w:p>
            <w:pPr>
              <w:spacing w:after="0"/>
              <w:rPr>
                <w:sz w:val="1"/>
                <w:szCs w:val="1"/>
                <w:color w:val="auto"/>
              </w:rPr>
            </w:pPr>
          </w:p>
        </w:tc>
      </w:tr>
      <w:tr>
        <w:trPr>
          <w:trHeight w:val="130"/>
        </w:trPr>
        <w:tc>
          <w:tcPr>
            <w:tcW w:w="1580" w:type="dxa"/>
            <w:vAlign w:val="bottom"/>
          </w:tcPr>
          <w:p>
            <w:pPr>
              <w:ind w:left="120"/>
              <w:spacing w:after="0"/>
              <w:rPr>
                <w:sz w:val="20"/>
                <w:szCs w:val="20"/>
                <w:color w:val="auto"/>
              </w:rPr>
            </w:pPr>
            <w:r>
              <w:rPr>
                <w:rFonts w:ascii="Arial" w:cs="Arial" w:eastAsia="Arial" w:hAnsi="Arial"/>
                <w:sz w:val="10"/>
                <w:szCs w:val="10"/>
                <w:color w:val="auto"/>
              </w:rPr>
              <w:t>flow hedges gains</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8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Class A and Class B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stock and participating</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Restricted Stock Unit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Restricted Stock Award)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distributions from Virtu</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shd w:val="clear" w:color="auto" w:fill="CCEEFF"/>
          </w:tcPr>
          <w:p>
            <w:pPr>
              <w:ind w:left="120"/>
              <w:spacing w:after="0" w:line="104" w:lineRule="exact"/>
              <w:rPr>
                <w:sz w:val="20"/>
                <w:szCs w:val="20"/>
                <w:color w:val="auto"/>
              </w:rPr>
            </w:pPr>
            <w:r>
              <w:rPr>
                <w:rFonts w:ascii="Arial" w:cs="Arial" w:eastAsia="Arial" w:hAnsi="Arial"/>
                <w:sz w:val="10"/>
                <w:szCs w:val="10"/>
                <w:color w:val="auto"/>
              </w:rPr>
              <w:t>Financial to noncontrolling</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(25,337)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(25,337)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(61,981)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(87,318)</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w:t>
            </w: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Three and Nine Months Ended September 30, 2023, and 2022</w:t>
      </w:r>
    </w:p>
    <w:p>
      <w:pPr>
        <w:spacing w:after="0" w:line="377"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A Common Stock</w:t>
            </w:r>
          </w:p>
        </w:tc>
        <w:tc>
          <w:tcPr>
            <w:tcW w:w="1260" w:type="dxa"/>
            <w:vAlign w:val="bottom"/>
            <w:gridSpan w:val="5"/>
            <w:vMerge w:val="restart"/>
          </w:tcPr>
          <w:p>
            <w:pPr>
              <w:jc w:val="right"/>
              <w:ind w:right="140"/>
              <w:spacing w:after="0"/>
              <w:rPr>
                <w:sz w:val="20"/>
                <w:szCs w:val="20"/>
                <w:color w:val="auto"/>
              </w:rPr>
            </w:pPr>
            <w:r>
              <w:rPr>
                <w:rFonts w:ascii="Arial" w:cs="Arial" w:eastAsia="Arial" w:hAnsi="Arial"/>
                <w:sz w:val="10"/>
                <w:szCs w:val="10"/>
                <w:b w:val="1"/>
                <w:bCs w:val="1"/>
                <w:color w:val="auto"/>
                <w:w w:val="97"/>
              </w:rPr>
              <w:t>Class C Common Stock</w:t>
            </w:r>
          </w:p>
        </w:tc>
        <w:tc>
          <w:tcPr>
            <w:tcW w:w="130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D Common Stock</w:t>
            </w:r>
          </w:p>
        </w:tc>
        <w:tc>
          <w:tcPr>
            <w:tcW w:w="1280" w:type="dxa"/>
            <w:vAlign w:val="bottom"/>
            <w:gridSpan w:val="4"/>
            <w:vMerge w:val="restart"/>
          </w:tcPr>
          <w:p>
            <w:pPr>
              <w:ind w:left="260"/>
              <w:spacing w:after="0"/>
              <w:rPr>
                <w:sz w:val="20"/>
                <w:szCs w:val="20"/>
                <w:color w:val="auto"/>
              </w:rPr>
            </w:pPr>
            <w:r>
              <w:rPr>
                <w:rFonts w:ascii="Arial" w:cs="Arial" w:eastAsia="Arial" w:hAnsi="Arial"/>
                <w:sz w:val="10"/>
                <w:szCs w:val="10"/>
                <w:b w:val="1"/>
                <w:bCs w:val="1"/>
                <w:color w:val="auto"/>
              </w:rPr>
              <w:t>Treasury Stock</w:t>
            </w:r>
          </w:p>
        </w:tc>
        <w:tc>
          <w:tcPr>
            <w:tcW w:w="6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9"/>
                <w:szCs w:val="9"/>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2"/>
              </w:rPr>
              <w:t>Accumulated</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6"/>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60" w:type="dxa"/>
            <w:vAlign w:val="bottom"/>
            <w:gridSpan w:val="2"/>
          </w:tcPr>
          <w:p>
            <w:pPr>
              <w:jc w:val="center"/>
              <w:ind w:right="80"/>
              <w:spacing w:after="0" w:line="104"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5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60"/>
              <w:spacing w:after="0" w:line="71"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6"/>
                <w:szCs w:val="6"/>
                <w:color w:val="auto"/>
              </w:rPr>
            </w:pPr>
          </w:p>
        </w:tc>
        <w:tc>
          <w:tcPr>
            <w:tcW w:w="720" w:type="dxa"/>
            <w:vAlign w:val="bottom"/>
            <w:gridSpan w:val="2"/>
          </w:tcPr>
          <w:p>
            <w:pPr>
              <w:jc w:val="center"/>
              <w:ind w:right="140"/>
              <w:spacing w:after="0" w:line="71"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2"/>
          </w:tcPr>
          <w:p>
            <w:pPr>
              <w:jc w:val="center"/>
              <w:ind w:right="60"/>
              <w:spacing w:after="0" w:line="71" w:lineRule="exact"/>
              <w:rPr>
                <w:sz w:val="20"/>
                <w:szCs w:val="20"/>
                <w:color w:val="auto"/>
              </w:rPr>
            </w:pPr>
            <w:r>
              <w:rPr>
                <w:rFonts w:ascii="Arial" w:cs="Arial" w:eastAsia="Arial" w:hAnsi="Arial"/>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continue"/>
          </w:tcPr>
          <w:p>
            <w:pPr>
              <w:spacing w:after="0"/>
              <w:rPr>
                <w:sz w:val="9"/>
                <w:szCs w:val="9"/>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6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7"/>
              </w:rPr>
              <w:t>Amounts</w:t>
            </w: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Shares</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Amounts</w:t>
            </w: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6"/>
              </w:rPr>
              <w:t>Amounts</w:t>
            </w:r>
          </w:p>
        </w:tc>
        <w:tc>
          <w:tcPr>
            <w:tcW w:w="740" w:type="dxa"/>
            <w:vAlign w:val="bottom"/>
            <w:gridSpan w:val="3"/>
          </w:tcPr>
          <w:p>
            <w:pPr>
              <w:jc w:val="center"/>
              <w:ind w:right="80"/>
              <w:spacing w:after="0" w:line="104" w:lineRule="exact"/>
              <w:rPr>
                <w:sz w:val="20"/>
                <w:szCs w:val="20"/>
                <w:color w:val="auto"/>
              </w:rPr>
            </w:pPr>
            <w:r>
              <w:rPr>
                <w:rFonts w:ascii="Arial" w:cs="Arial" w:eastAsia="Arial" w:hAnsi="Arial"/>
                <w:sz w:val="10"/>
                <w:szCs w:val="10"/>
                <w:b w:val="1"/>
                <w:bCs w:val="1"/>
                <w:color w:val="auto"/>
                <w:w w:val="93"/>
              </w:rPr>
              <w:t>(Accumulated</w:t>
            </w:r>
          </w:p>
        </w:tc>
        <w:tc>
          <w:tcPr>
            <w:tcW w:w="800" w:type="dxa"/>
            <w:vAlign w:val="bottom"/>
            <w:gridSpan w:val="3"/>
          </w:tcPr>
          <w:p>
            <w:pPr>
              <w:jc w:val="center"/>
              <w:ind w:right="60"/>
              <w:spacing w:after="0" w:line="104" w:lineRule="exact"/>
              <w:rPr>
                <w:sz w:val="20"/>
                <w:szCs w:val="20"/>
                <w:color w:val="auto"/>
              </w:rPr>
            </w:pPr>
            <w:r>
              <w:rPr>
                <w:rFonts w:ascii="Arial" w:cs="Arial" w:eastAsia="Arial" w:hAnsi="Arial"/>
                <w:sz w:val="10"/>
                <w:szCs w:val="10"/>
                <w:b w:val="1"/>
                <w:bCs w:val="1"/>
                <w:color w:val="auto"/>
                <w:w w:val="93"/>
              </w:rPr>
              <w:t>Comprehensive</w:t>
            </w:r>
          </w:p>
        </w:tc>
        <w:tc>
          <w:tcPr>
            <w:tcW w:w="740" w:type="dxa"/>
            <w:vAlign w:val="bottom"/>
            <w:gridSpan w:val="2"/>
          </w:tcPr>
          <w:p>
            <w:pPr>
              <w:jc w:val="center"/>
              <w:ind w:right="60"/>
              <w:spacing w:after="0" w:line="104" w:lineRule="exact"/>
              <w:rPr>
                <w:sz w:val="20"/>
                <w:szCs w:val="20"/>
                <w:color w:val="auto"/>
              </w:rPr>
            </w:pPr>
            <w:r>
              <w:rPr>
                <w:rFonts w:ascii="Arial" w:cs="Arial" w:eastAsia="Arial" w:hAnsi="Arial"/>
                <w:sz w:val="10"/>
                <w:szCs w:val="10"/>
                <w:b w:val="1"/>
                <w:bCs w:val="1"/>
                <w:color w:val="auto"/>
                <w:w w:val="91"/>
              </w:rPr>
              <w:t>Stockholders'</w:t>
            </w:r>
          </w:p>
        </w:tc>
        <w:tc>
          <w:tcPr>
            <w:tcW w:w="800" w:type="dxa"/>
            <w:vAlign w:val="bottom"/>
            <w:gridSpan w:val="3"/>
            <w:vMerge w:val="continue"/>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97"/>
              </w:rPr>
              <w:t>Total Equity</w:t>
            </w:r>
          </w:p>
        </w:tc>
        <w:tc>
          <w:tcPr>
            <w:tcW w:w="0" w:type="dxa"/>
            <w:vAlign w:val="bottom"/>
          </w:tcPr>
          <w:p>
            <w:pPr>
              <w:spacing w:after="0"/>
              <w:rPr>
                <w:sz w:val="1"/>
                <w:szCs w:val="1"/>
                <w:color w:val="auto"/>
              </w:rPr>
            </w:pPr>
          </w:p>
        </w:tc>
      </w:tr>
      <w:tr>
        <w:trPr>
          <w:trHeight w:val="134"/>
        </w:trPr>
        <w:tc>
          <w:tcPr>
            <w:tcW w:w="158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Deficit)</w:t>
            </w:r>
          </w:p>
        </w:tc>
        <w:tc>
          <w:tcPr>
            <w:tcW w:w="8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Income (loss)</w:t>
            </w:r>
          </w:p>
        </w:tc>
        <w:tc>
          <w:tcPr>
            <w:tcW w:w="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Equity</w:t>
            </w:r>
          </w:p>
        </w:tc>
        <w:tc>
          <w:tcPr>
            <w:tcW w:w="14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0"/>
                <w:szCs w:val="10"/>
                <w:b w:val="1"/>
                <w:bCs w:val="1"/>
                <w:color w:val="auto"/>
              </w:rPr>
              <w:t>Interest</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0"/>
              <w:spacing w:after="0"/>
              <w:rPr>
                <w:sz w:val="20"/>
                <w:szCs w:val="20"/>
                <w:color w:val="auto"/>
              </w:rPr>
            </w:pPr>
            <w:r>
              <w:rPr>
                <w:rFonts w:ascii="Arial" w:cs="Arial" w:eastAsia="Arial" w:hAnsi="Arial"/>
                <w:sz w:val="10"/>
                <w:szCs w:val="10"/>
                <w:color w:val="auto"/>
              </w:rPr>
              <w:t>Balance at September 30, 2022</w:t>
            </w:r>
          </w:p>
        </w:tc>
        <w:tc>
          <w:tcPr>
            <w:tcW w:w="600" w:type="dxa"/>
            <w:vAlign w:val="bottom"/>
          </w:tcPr>
          <w:p>
            <w:pPr>
              <w:jc w:val="right"/>
              <w:spacing w:after="0"/>
              <w:rPr>
                <w:sz w:val="20"/>
                <w:szCs w:val="20"/>
                <w:color w:val="auto"/>
              </w:rPr>
            </w:pPr>
            <w:r>
              <w:rPr>
                <w:rFonts w:ascii="Arial" w:cs="Arial" w:eastAsia="Arial" w:hAnsi="Arial"/>
                <w:sz w:val="10"/>
                <w:szCs w:val="10"/>
                <w:color w:val="auto"/>
                <w:w w:val="97"/>
              </w:rPr>
              <w:t>133,012,526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9,030,066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60,091,740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w w:val="95"/>
              </w:rPr>
              <w:t>(32,437,976)</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7"/>
              </w:rPr>
              <w:t>$ (909,368)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w w:val="98"/>
              </w:rPr>
              <w:t>$ 1,265,919</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970,334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21,178</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   1,348,065</w:t>
            </w:r>
          </w:p>
        </w:tc>
        <w:tc>
          <w:tcPr>
            <w:tcW w:w="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324,843</w:t>
            </w:r>
          </w:p>
        </w:tc>
        <w:tc>
          <w:tcPr>
            <w:tcW w:w="80" w:type="dxa"/>
            <w:vAlign w:val="bottom"/>
          </w:tcPr>
          <w:p>
            <w:pPr>
              <w:spacing w:after="0"/>
              <w:rPr>
                <w:sz w:val="12"/>
                <w:szCs w:val="12"/>
                <w:color w:val="auto"/>
              </w:rPr>
            </w:pPr>
          </w:p>
        </w:tc>
        <w:tc>
          <w:tcPr>
            <w:tcW w:w="600" w:type="dxa"/>
            <w:vAlign w:val="bottom"/>
          </w:tcPr>
          <w:p>
            <w:pPr>
              <w:ind w:left="20"/>
              <w:spacing w:after="0"/>
              <w:rPr>
                <w:sz w:val="20"/>
                <w:szCs w:val="20"/>
                <w:color w:val="auto"/>
              </w:rPr>
            </w:pPr>
            <w:r>
              <w:rPr>
                <w:rFonts w:ascii="Arial" w:cs="Arial" w:eastAsia="Arial" w:hAnsi="Arial"/>
                <w:sz w:val="10"/>
                <w:szCs w:val="10"/>
                <w:color w:val="auto"/>
              </w:rPr>
              <w:t>$ 1,672,908</w:t>
            </w: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39" w:lineRule="exact"/>
        <w:rPr>
          <w:sz w:val="20"/>
          <w:szCs w:val="20"/>
          <w:color w:val="auto"/>
        </w:rPr>
      </w:pPr>
    </w:p>
    <w:tbl>
      <w:tblPr>
        <w:tblLayout w:type="fixed"/>
        <w:tblInd w:w="840" w:type="dxa"/>
        <w:tblCellMar>
          <w:top w:w="0" w:type="dxa"/>
          <w:left w:w="0" w:type="dxa"/>
          <w:bottom w:w="0" w:type="dxa"/>
          <w:right w:w="0" w:type="dxa"/>
        </w:tblCellMar>
      </w:tblPr>
      <w:tr>
        <w:trPr>
          <w:trHeight w:val="179"/>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5"/>
        </w:trPr>
        <w:tc>
          <w:tcPr>
            <w:tcW w:w="7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257,220</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428,698</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Adjustments to reconcile net income to net cash used by operating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50,470</w:t>
            </w:r>
          </w:p>
        </w:tc>
        <w:tc>
          <w:tcPr>
            <w:tcW w:w="0" w:type="dxa"/>
            <w:vAlign w:val="bottom"/>
          </w:tcPr>
          <w:p>
            <w:pPr>
              <w:spacing w:after="0"/>
              <w:rPr>
                <w:sz w:val="1"/>
                <w:szCs w:val="1"/>
                <w:color w:val="auto"/>
              </w:rPr>
            </w:pPr>
          </w:p>
        </w:tc>
      </w:tr>
      <w:tr>
        <w:trPr>
          <w:trHeight w:val="185"/>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48,007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48,817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Debt issue cost related to debt refinancing and prepayment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24,316</w:t>
            </w:r>
          </w:p>
        </w:tc>
        <w:tc>
          <w:tcPr>
            <w:tcW w:w="0" w:type="dxa"/>
            <w:vAlign w:val="bottom"/>
          </w:tcPr>
          <w:p>
            <w:pPr>
              <w:spacing w:after="0"/>
              <w:rPr>
                <w:sz w:val="1"/>
                <w:szCs w:val="1"/>
                <w:color w:val="auto"/>
              </w:rPr>
            </w:pPr>
          </w:p>
        </w:tc>
      </w:tr>
      <w:tr>
        <w:trPr>
          <w:trHeight w:val="185"/>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Amortization of debt issuance costs and deferred financing fees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5,738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Termination of office leases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185"/>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47,108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50,841</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9,013</w:t>
            </w:r>
          </w:p>
        </w:tc>
        <w:tc>
          <w:tcPr>
            <w:tcW w:w="0" w:type="dxa"/>
            <w:vAlign w:val="bottom"/>
          </w:tcPr>
          <w:p>
            <w:pPr>
              <w:spacing w:after="0"/>
              <w:rPr>
                <w:sz w:val="1"/>
                <w:szCs w:val="1"/>
                <w:color w:val="auto"/>
              </w:rPr>
            </w:pPr>
          </w:p>
        </w:tc>
      </w:tr>
      <w:tr>
        <w:trPr>
          <w:trHeight w:val="185"/>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10,786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borrowed</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(336,503)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84,772</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(2,790,073)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72,779</w:t>
            </w:r>
          </w:p>
        </w:tc>
        <w:tc>
          <w:tcPr>
            <w:tcW w:w="0" w:type="dxa"/>
            <w:vAlign w:val="bottom"/>
          </w:tcPr>
          <w:p>
            <w:pPr>
              <w:spacing w:after="0"/>
              <w:rPr>
                <w:sz w:val="1"/>
                <w:szCs w:val="1"/>
                <w:color w:val="auto"/>
              </w:rPr>
            </w:pPr>
          </w:p>
        </w:tc>
      </w:tr>
      <w:tr>
        <w:trPr>
          <w:trHeight w:val="185"/>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Receivables from broker-dealers and clearing organizations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(596,916)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(399,890)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Trading assets, at fair value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(3,656,973)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(546,393)</w:t>
            </w:r>
          </w:p>
        </w:tc>
        <w:tc>
          <w:tcPr>
            <w:tcW w:w="0" w:type="dxa"/>
            <w:vAlign w:val="bottom"/>
          </w:tcPr>
          <w:p>
            <w:pPr>
              <w:spacing w:after="0"/>
              <w:rPr>
                <w:sz w:val="1"/>
                <w:szCs w:val="1"/>
                <w:color w:val="auto"/>
              </w:rPr>
            </w:pPr>
          </w:p>
        </w:tc>
      </w:tr>
      <w:tr>
        <w:trPr>
          <w:trHeight w:val="185"/>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Receivables from customers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(67,615)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(101,016)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25,386</w:t>
            </w:r>
          </w:p>
        </w:tc>
        <w:tc>
          <w:tcPr>
            <w:tcW w:w="0" w:type="dxa"/>
            <w:vAlign w:val="bottom"/>
          </w:tcPr>
          <w:p>
            <w:pPr>
              <w:spacing w:after="0"/>
              <w:rPr>
                <w:sz w:val="1"/>
                <w:szCs w:val="1"/>
                <w:color w:val="auto"/>
              </w:rPr>
            </w:pPr>
          </w:p>
        </w:tc>
      </w:tr>
      <w:tr>
        <w:trPr>
          <w:trHeight w:val="185"/>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(67,931)</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399,548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(153,079)</w:t>
            </w:r>
          </w:p>
        </w:tc>
        <w:tc>
          <w:tcPr>
            <w:tcW w:w="0" w:type="dxa"/>
            <w:vAlign w:val="bottom"/>
          </w:tcPr>
          <w:p>
            <w:pPr>
              <w:spacing w:after="0"/>
              <w:rPr>
                <w:sz w:val="1"/>
                <w:szCs w:val="1"/>
                <w:color w:val="auto"/>
              </w:rPr>
            </w:pPr>
          </w:p>
        </w:tc>
      </w:tr>
      <w:tr>
        <w:trPr>
          <w:trHeight w:val="185"/>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2,749,399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(68,247)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Payables to broker-dealers and clearing organizations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130,040</w:t>
            </w:r>
          </w:p>
        </w:tc>
        <w:tc>
          <w:tcPr>
            <w:tcW w:w="0" w:type="dxa"/>
            <w:vAlign w:val="bottom"/>
          </w:tcPr>
          <w:p>
            <w:pPr>
              <w:spacing w:after="0"/>
              <w:rPr>
                <w:sz w:val="1"/>
                <w:szCs w:val="1"/>
                <w:color w:val="auto"/>
              </w:rPr>
            </w:pPr>
          </w:p>
        </w:tc>
      </w:tr>
      <w:tr>
        <w:trPr>
          <w:trHeight w:val="185"/>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Payables to customers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27,849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41,932</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Trading liabilities, at fair value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3,744,498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689,059</w:t>
            </w:r>
          </w:p>
        </w:tc>
        <w:tc>
          <w:tcPr>
            <w:tcW w:w="0" w:type="dxa"/>
            <w:vAlign w:val="bottom"/>
          </w:tcPr>
          <w:p>
            <w:pPr>
              <w:spacing w:after="0"/>
              <w:rPr>
                <w:sz w:val="1"/>
                <w:szCs w:val="1"/>
                <w:color w:val="auto"/>
              </w:rPr>
            </w:pPr>
          </w:p>
        </w:tc>
      </w:tr>
      <w:tr>
        <w:trPr>
          <w:trHeight w:val="185"/>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Operating lease liabilities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(30,044)</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Accounts payable, accrued expenses and 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(17,329)</w:t>
            </w:r>
          </w:p>
        </w:tc>
        <w:tc>
          <w:tcPr>
            <w:tcW w:w="0" w:type="dxa"/>
            <w:vAlign w:val="bottom"/>
          </w:tcPr>
          <w:p>
            <w:pPr>
              <w:spacing w:after="0"/>
              <w:rPr>
                <w:sz w:val="1"/>
                <w:szCs w:val="1"/>
                <w:color w:val="auto"/>
              </w:rPr>
            </w:pPr>
          </w:p>
        </w:tc>
      </w:tr>
      <w:tr>
        <w:trPr>
          <w:trHeight w:val="178"/>
        </w:trPr>
        <w:tc>
          <w:tcPr>
            <w:tcW w:w="7080" w:type="dxa"/>
            <w:vAlign w:val="bottom"/>
            <w:gridSpan w:val="2"/>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143,691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290,462</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Development of capitalized software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(31,294)</w:t>
            </w: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Acquisition of property and equipment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(18,354)</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38,668</w:t>
            </w:r>
          </w:p>
        </w:tc>
        <w:tc>
          <w:tcPr>
            <w:tcW w:w="0" w:type="dxa"/>
            <w:vAlign w:val="bottom"/>
          </w:tcPr>
          <w:p>
            <w:pPr>
              <w:spacing w:after="0"/>
              <w:rPr>
                <w:sz w:val="1"/>
                <w:szCs w:val="1"/>
                <w:color w:val="auto"/>
              </w:rPr>
            </w:pPr>
          </w:p>
        </w:tc>
      </w:tr>
      <w:tr>
        <w:trPr>
          <w:trHeight w:val="178"/>
        </w:trPr>
        <w:tc>
          <w:tcPr>
            <w:tcW w:w="7080" w:type="dxa"/>
            <w:vAlign w:val="bottom"/>
            <w:gridSpan w:val="2"/>
          </w:tcPr>
          <w:p>
            <w:pPr>
              <w:ind w:left="44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(70,463)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(10,980)</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Dividends to stockholders and distributions from Virtu Financial to noncontrolling interest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(316,096)</w:t>
            </w: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Repurchase of Class C common stock</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(8,256)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(434,470)</w:t>
            </w: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Stock options exercised</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5,109</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Short-term borrowings,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104,945</w:t>
            </w: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Proceeds from long-term borrowings</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1,800,000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Repayment of long term borrowings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(1,599,774)</w:t>
            </w: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Payment of tax receivable agreement obligations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(21,343)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Debt issuance costs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(35,813)</w:t>
            </w:r>
          </w:p>
        </w:tc>
        <w:tc>
          <w:tcPr>
            <w:tcW w:w="0" w:type="dxa"/>
            <w:vAlign w:val="bottom"/>
          </w:tcPr>
          <w:p>
            <w:pPr>
              <w:spacing w:after="0"/>
              <w:rPr>
                <w:sz w:val="1"/>
                <w:szCs w:val="1"/>
                <w:color w:val="auto"/>
              </w:rPr>
            </w:pPr>
          </w:p>
        </w:tc>
      </w:tr>
      <w:tr>
        <w:trPr>
          <w:trHeight w:val="187"/>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Contributions from noncontrolling interests</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39,200</w:t>
            </w:r>
          </w:p>
        </w:tc>
        <w:tc>
          <w:tcPr>
            <w:tcW w:w="0" w:type="dxa"/>
            <w:vAlign w:val="bottom"/>
          </w:tcPr>
          <w:p>
            <w:pPr>
              <w:spacing w:after="0"/>
              <w:rPr>
                <w:sz w:val="1"/>
                <w:szCs w:val="1"/>
                <w:color w:val="auto"/>
              </w:rPr>
            </w:pPr>
          </w:p>
        </w:tc>
      </w:tr>
      <w:tr>
        <w:trPr>
          <w:trHeight w:val="194"/>
        </w:trPr>
        <w:tc>
          <w:tcPr>
            <w:tcW w:w="708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(385,285)</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(466,498)</w:t>
            </w:r>
          </w:p>
        </w:tc>
        <w:tc>
          <w:tcPr>
            <w:tcW w:w="0" w:type="dxa"/>
            <w:vAlign w:val="bottom"/>
          </w:tcPr>
          <w:p>
            <w:pPr>
              <w:spacing w:after="0"/>
              <w:rPr>
                <w:sz w:val="1"/>
                <w:szCs w:val="1"/>
                <w:color w:val="auto"/>
              </w:rPr>
            </w:pPr>
          </w:p>
        </w:tc>
      </w:tr>
      <w:tr>
        <w:trPr>
          <w:trHeight w:val="207"/>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(43,490)</w:t>
            </w:r>
          </w:p>
        </w:tc>
        <w:tc>
          <w:tcPr>
            <w:tcW w:w="0" w:type="dxa"/>
            <w:vAlign w:val="bottom"/>
          </w:tcPr>
          <w:p>
            <w:pPr>
              <w:spacing w:after="0"/>
              <w:rPr>
                <w:sz w:val="1"/>
                <w:szCs w:val="1"/>
                <w:color w:val="auto"/>
              </w:rPr>
            </w:pPr>
          </w:p>
        </w:tc>
      </w:tr>
      <w:tr>
        <w:trPr>
          <w:trHeight w:val="207"/>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(230,506)</w:t>
            </w:r>
          </w:p>
        </w:tc>
        <w:tc>
          <w:tcPr>
            <w:tcW w:w="0" w:type="dxa"/>
            <w:vAlign w:val="bottom"/>
          </w:tcPr>
          <w:p>
            <w:pPr>
              <w:spacing w:after="0"/>
              <w:rPr>
                <w:sz w:val="1"/>
                <w:szCs w:val="1"/>
                <w:color w:val="auto"/>
              </w:rPr>
            </w:pPr>
          </w:p>
        </w:tc>
      </w:tr>
      <w:tr>
        <w:trPr>
          <w:trHeight w:val="187"/>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cash equivalents, and restricted or segregated cash, beginning of period</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1,038,242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1,120,953</w:t>
            </w:r>
          </w:p>
        </w:tc>
        <w:tc>
          <w:tcPr>
            <w:tcW w:w="0" w:type="dxa"/>
            <w:vAlign w:val="bottom"/>
          </w:tcPr>
          <w:p>
            <w:pPr>
              <w:spacing w:after="0"/>
              <w:rPr>
                <w:sz w:val="1"/>
                <w:szCs w:val="1"/>
                <w:color w:val="auto"/>
              </w:rPr>
            </w:pPr>
          </w:p>
        </w:tc>
      </w:tr>
      <w:tr>
        <w:trPr>
          <w:trHeight w:val="219"/>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or segregated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726,355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890,447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Supplementary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-95885</wp:posOffset>
            </wp:positionV>
            <wp:extent cx="6075680" cy="123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5680" cy="12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420"/>
          </w:cols>
          <w:pgMar w:left="320" w:top="127" w:right="115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2"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39" w:lineRule="exact"/>
        <w:rPr>
          <w:sz w:val="20"/>
          <w:szCs w:val="20"/>
          <w:color w:val="auto"/>
        </w:rPr>
      </w:pPr>
    </w:p>
    <w:tbl>
      <w:tblPr>
        <w:tblLayout w:type="fixed"/>
        <w:tblInd w:w="840" w:type="dxa"/>
        <w:tblCellMar>
          <w:top w:w="0" w:type="dxa"/>
          <w:left w:w="0" w:type="dxa"/>
          <w:bottom w:w="0" w:type="dxa"/>
          <w:right w:w="0" w:type="dxa"/>
        </w:tblCellMar>
      </w:tblPr>
      <w:tr>
        <w:trPr>
          <w:trHeight w:val="179"/>
        </w:trPr>
        <w:tc>
          <w:tcPr>
            <w:tcW w:w="6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5"/>
        </w:trPr>
        <w:tc>
          <w:tcPr>
            <w:tcW w:w="7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9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Cash paid for interest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370,761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168,739</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 paid for taxes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100,844</w:t>
            </w:r>
          </w:p>
        </w:tc>
        <w:tc>
          <w:tcPr>
            <w:tcW w:w="0" w:type="dxa"/>
            <w:vAlign w:val="bottom"/>
          </w:tcPr>
          <w:p>
            <w:pPr>
              <w:spacing w:after="0"/>
              <w:rPr>
                <w:sz w:val="1"/>
                <w:szCs w:val="1"/>
                <w:color w:val="auto"/>
              </w:rPr>
            </w:pPr>
          </w:p>
        </w:tc>
      </w:tr>
      <w:tr>
        <w:trPr>
          <w:trHeight w:val="207"/>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Share-based and accrued incentive compensation to developers relating to capitalized software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12,863</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Repurchase of Class C common stock</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420"/>
          </w:cols>
          <w:pgMar w:left="320" w:top="127" w:right="115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45" w:lineRule="exact"/>
        <w:rPr>
          <w:sz w:val="20"/>
          <w:szCs w:val="20"/>
          <w:color w:val="auto"/>
        </w:rPr>
      </w:pPr>
    </w:p>
    <w:p>
      <w:pPr>
        <w:ind w:right="40" w:firstLine="622"/>
        <w:spacing w:after="0" w:line="286" w:lineRule="auto"/>
        <w:rPr>
          <w:sz w:val="20"/>
          <w:szCs w:val="20"/>
          <w:color w:val="auto"/>
        </w:rPr>
      </w:pPr>
      <w:r>
        <w:rPr>
          <w:rFonts w:ascii="Arial" w:cs="Arial" w:eastAsia="Arial" w:hAnsi="Arial"/>
          <w:sz w:val="16"/>
          <w:szCs w:val="16"/>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September 30, 2023, VFI owned approximately 58.4% of the membership interests of Virtu Financial. VFI is the sole managing member of Virtu Financial and operates and controls all of the businesses and affairs of Virtu Financial and its subsidiaries (the “Group”).</w:t>
      </w:r>
    </w:p>
    <w:p>
      <w:pPr>
        <w:spacing w:after="0" w:line="186" w:lineRule="exact"/>
        <w:rPr>
          <w:sz w:val="20"/>
          <w:szCs w:val="20"/>
          <w:color w:val="auto"/>
        </w:rPr>
      </w:pPr>
    </w:p>
    <w:p>
      <w:pPr>
        <w:ind w:right="100" w:firstLine="622"/>
        <w:spacing w:after="0" w:line="258"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212" w:lineRule="exact"/>
        <w:rPr>
          <w:sz w:val="20"/>
          <w:szCs w:val="20"/>
          <w:color w:val="auto"/>
        </w:rPr>
      </w:pPr>
    </w:p>
    <w:p>
      <w:pPr>
        <w:ind w:right="220" w:firstLine="622"/>
        <w:spacing w:after="0" w:line="264" w:lineRule="auto"/>
        <w:rPr>
          <w:sz w:val="20"/>
          <w:szCs w:val="20"/>
          <w:color w:val="auto"/>
        </w:rPr>
      </w:pPr>
      <w:r>
        <w:rPr>
          <w:rFonts w:ascii="Arial" w:cs="Arial" w:eastAsia="Arial" w:hAnsi="Arial"/>
          <w:sz w:val="17"/>
          <w:szCs w:val="17"/>
          <w:color w:val="auto"/>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spacing w:after="0" w:line="203" w:lineRule="exact"/>
        <w:rPr>
          <w:sz w:val="20"/>
          <w:szCs w:val="20"/>
          <w:color w:val="auto"/>
        </w:rPr>
      </w:pPr>
    </w:p>
    <w:p>
      <w:pPr>
        <w:ind w:firstLine="622"/>
        <w:spacing w:after="0" w:line="258" w:lineRule="auto"/>
        <w:rPr>
          <w:sz w:val="20"/>
          <w:szCs w:val="20"/>
          <w:color w:val="auto"/>
        </w:rPr>
      </w:pPr>
      <w:r>
        <w:rPr>
          <w:rFonts w:ascii="Arial" w:cs="Arial" w:eastAsia="Arial" w:hAnsi="Arial"/>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12" w:lineRule="exact"/>
        <w:rPr>
          <w:sz w:val="20"/>
          <w:szCs w:val="20"/>
          <w:color w:val="auto"/>
        </w:rPr>
      </w:pPr>
    </w:p>
    <w:p>
      <w:pPr>
        <w:ind w:right="400" w:firstLine="622"/>
        <w:spacing w:after="0" w:line="284" w:lineRule="auto"/>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32" w:lineRule="exact"/>
        <w:rPr>
          <w:sz w:val="20"/>
          <w:szCs w:val="20"/>
          <w:color w:val="auto"/>
        </w:rPr>
      </w:pPr>
    </w:p>
    <w:p>
      <w:pPr>
        <w:ind w:right="20" w:firstLine="622"/>
        <w:spacing w:after="0" w:line="277" w:lineRule="auto"/>
        <w:rPr>
          <w:sz w:val="20"/>
          <w:szCs w:val="20"/>
          <w:color w:val="auto"/>
        </w:rPr>
      </w:pPr>
      <w:r>
        <w:rPr>
          <w:rFonts w:ascii="Arial" w:cs="Arial" w:eastAsia="Arial" w:hAnsi="Arial"/>
          <w:sz w:val="15"/>
          <w:szCs w:val="15"/>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Company does not own as noncontrolling interests. All intercompany accounts and transactions have been eliminated in consolidation.</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1" w:lineRule="exact"/>
        <w:rPr>
          <w:sz w:val="20"/>
          <w:szCs w:val="20"/>
          <w:color w:val="auto"/>
        </w:rPr>
      </w:pPr>
    </w:p>
    <w:p>
      <w:pPr>
        <w:ind w:firstLine="622"/>
        <w:spacing w:after="0" w:line="269" w:lineRule="auto"/>
        <w:rPr>
          <w:sz w:val="20"/>
          <w:szCs w:val="20"/>
          <w:color w:val="auto"/>
        </w:rPr>
      </w:pPr>
      <w:r>
        <w:rPr>
          <w:rFonts w:ascii="Arial" w:cs="Arial" w:eastAsia="Arial" w:hAnsi="Arial"/>
          <w:sz w:val="17"/>
          <w:szCs w:val="17"/>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2022.</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Goodwill</w:t>
      </w:r>
    </w:p>
    <w:p>
      <w:pPr>
        <w:spacing w:after="0" w:line="245" w:lineRule="exact"/>
        <w:rPr>
          <w:sz w:val="20"/>
          <w:szCs w:val="20"/>
          <w:color w:val="auto"/>
        </w:rPr>
      </w:pPr>
    </w:p>
    <w:p>
      <w:pPr>
        <w:ind w:right="180" w:firstLine="622"/>
        <w:spacing w:after="0" w:line="264"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90" w:lineRule="exact"/>
        <w:rPr>
          <w:sz w:val="20"/>
          <w:szCs w:val="20"/>
          <w:color w:val="auto"/>
        </w:rPr>
      </w:pPr>
    </w:p>
    <w:p>
      <w:pPr>
        <w:ind w:right="60" w:firstLine="622"/>
        <w:spacing w:after="0" w:line="238" w:lineRule="auto"/>
        <w:rPr>
          <w:sz w:val="20"/>
          <w:szCs w:val="20"/>
          <w:color w:val="auto"/>
        </w:rPr>
      </w:pPr>
      <w:r>
        <w:rPr>
          <w:rFonts w:ascii="Arial" w:cs="Arial" w:eastAsia="Arial" w:hAnsi="Arial"/>
          <w:sz w:val="17"/>
          <w:szCs w:val="17"/>
          <w:color w:val="auto"/>
        </w:rPr>
        <w:t>The Company assesses goodwill for impairment on an annual basis on July 1 and on an interim basis when certain events occur or certain circumstances exist. In its impairment assessment as of July 1, 2023, the Company performed a quantitative assessment of each reporting unit and the estimated fair value of each of the reporting units exceeded its respective carrying value, and therefore goodwill was not impaired.</w:t>
      </w:r>
    </w:p>
    <w:p>
      <w:pPr>
        <w:spacing w:after="0" w:line="209" w:lineRule="exact"/>
        <w:rPr>
          <w:sz w:val="20"/>
          <w:szCs w:val="20"/>
          <w:color w:val="auto"/>
        </w:rPr>
      </w:pPr>
    </w:p>
    <w:p>
      <w:pPr>
        <w:ind w:right="180" w:firstLine="622"/>
        <w:spacing w:after="0" w:line="238" w:lineRule="auto"/>
        <w:rPr>
          <w:sz w:val="20"/>
          <w:szCs w:val="20"/>
          <w:color w:val="auto"/>
        </w:rPr>
      </w:pPr>
      <w:r>
        <w:rPr>
          <w:rFonts w:ascii="Arial" w:cs="Arial" w:eastAsia="Arial" w:hAnsi="Arial"/>
          <w:sz w:val="17"/>
          <w:szCs w:val="17"/>
          <w:color w:val="auto"/>
        </w:rPr>
        <w:t>The estimated fair value of each reporting unit was based on valuation techniques the firm believes market participants would use to value these reporting units, and allocated the enterprise value to each reporting unit based on an estimate of relative fair value for each reporting unit. The carrying value of each reporting unit reflects an allocation of total shareholders’ equity and represents the estimated amount of total shareholders’ equity required to support the activities of the applicable reporting unit under currently applicable regulatory capital requirements.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51" w:lineRule="exact"/>
        <w:rPr>
          <w:sz w:val="20"/>
          <w:szCs w:val="20"/>
          <w:color w:val="auto"/>
        </w:rPr>
      </w:pPr>
    </w:p>
    <w:p>
      <w:pPr>
        <w:jc w:val="both"/>
        <w:ind w:right="280" w:firstLine="622"/>
        <w:spacing w:after="0" w:line="294" w:lineRule="auto"/>
        <w:rPr>
          <w:sz w:val="20"/>
          <w:szCs w:val="20"/>
          <w:color w:val="auto"/>
        </w:rPr>
      </w:pPr>
      <w:r>
        <w:rPr>
          <w:rFonts w:ascii="Arial" w:cs="Arial" w:eastAsia="Arial" w:hAnsi="Arial"/>
          <w:sz w:val="16"/>
          <w:szCs w:val="16"/>
          <w:b w:val="1"/>
          <w:bCs w:val="1"/>
          <w:i w:val="1"/>
          <w:iCs w:val="1"/>
          <w:color w:val="auto"/>
        </w:rPr>
        <w:t xml:space="preserve">Derivatives and Hedging </w:t>
      </w:r>
      <w:r>
        <w:rPr>
          <w:rFonts w:ascii="Arial" w:cs="Arial" w:eastAsia="Arial" w:hAnsi="Arial"/>
          <w:sz w:val="16"/>
          <w:szCs w:val="16"/>
          <w:color w:val="auto"/>
        </w:rPr>
        <w:t>- In March 2022, the FASB issued ASU 2022-01,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Derivatives and Hedging - Fair Value Hedging - Portfolio Layer Method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(Topic 815)</w:t>
      </w:r>
      <w:r>
        <w:rPr>
          <w:rFonts w:ascii="Arial" w:cs="Arial" w:eastAsia="Arial" w:hAnsi="Arial"/>
          <w:sz w:val="16"/>
          <w:szCs w:val="16"/>
          <w:color w:val="auto"/>
        </w:rPr>
        <w:t>. The ASU expands the scope of permissible hedging, and permits the use of different derivative structures as hedging instruments.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this ASU on January 1, 2023 and it did not have a material impact on its condensed consolidated financial statements.</w:t>
      </w:r>
    </w:p>
    <w:p>
      <w:pPr>
        <w:spacing w:after="0" w:line="180" w:lineRule="exact"/>
        <w:rPr>
          <w:sz w:val="20"/>
          <w:szCs w:val="20"/>
          <w:color w:val="auto"/>
        </w:rPr>
      </w:pPr>
    </w:p>
    <w:p>
      <w:pPr>
        <w:jc w:val="both"/>
        <w:ind w:right="100" w:firstLine="622"/>
        <w:spacing w:after="0" w:line="294" w:lineRule="auto"/>
        <w:rPr>
          <w:sz w:val="20"/>
          <w:szCs w:val="20"/>
          <w:color w:val="auto"/>
        </w:rPr>
      </w:pPr>
      <w:r>
        <w:rPr>
          <w:rFonts w:ascii="Arial" w:cs="Arial" w:eastAsia="Arial" w:hAnsi="Arial"/>
          <w:sz w:val="16"/>
          <w:szCs w:val="16"/>
          <w:b w:val="1"/>
          <w:bCs w:val="1"/>
          <w:i w:val="1"/>
          <w:iCs w:val="1"/>
          <w:color w:val="auto"/>
        </w:rPr>
        <w:t xml:space="preserve">Liabilities - Supplier Finance Programs </w:t>
      </w:r>
      <w:r>
        <w:rPr>
          <w:rFonts w:ascii="Arial" w:cs="Arial" w:eastAsia="Arial" w:hAnsi="Arial"/>
          <w:sz w:val="16"/>
          <w:szCs w:val="16"/>
          <w:color w:val="auto"/>
        </w:rPr>
        <w:t>- In September 2022, the FASB issued ASU 2022-04,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Liabilities—Supplier Finance Programs (Subtopic 405-50)</w:t>
      </w:r>
      <w:r>
        <w:rPr>
          <w:rFonts w:ascii="Arial" w:cs="Arial" w:eastAsia="Arial" w:hAnsi="Arial"/>
          <w:sz w:val="16"/>
          <w:szCs w:val="16"/>
          <w:color w:val="auto"/>
        </w:rPr>
        <w:t>. This ASU requires new quantitative and qualitative disclosure requirements for a buyer who enters into supplier financing programs. The Company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on January 1, 2023 and it did not have a material impact on its condensed consolidated financial statements.</w:t>
      </w:r>
    </w:p>
    <w:p>
      <w:pPr>
        <w:spacing w:after="0" w:line="180" w:lineRule="exact"/>
        <w:rPr>
          <w:sz w:val="20"/>
          <w:szCs w:val="20"/>
          <w:color w:val="auto"/>
        </w:rPr>
      </w:pPr>
    </w:p>
    <w:p>
      <w:pPr>
        <w:ind w:right="60" w:firstLine="622"/>
        <w:spacing w:after="0" w:line="277" w:lineRule="auto"/>
        <w:rPr>
          <w:sz w:val="20"/>
          <w:szCs w:val="20"/>
          <w:color w:val="auto"/>
        </w:rPr>
      </w:pPr>
      <w:r>
        <w:rPr>
          <w:rFonts w:ascii="Arial" w:cs="Arial" w:eastAsia="Arial" w:hAnsi="Arial"/>
          <w:sz w:val="16"/>
          <w:szCs w:val="16"/>
          <w:color w:val="auto"/>
        </w:rPr>
        <w:t xml:space="preserve">The FASB issued ASU 2023-03, </w:t>
      </w:r>
      <w:r>
        <w:rPr>
          <w:rFonts w:ascii="Arial" w:cs="Arial" w:eastAsia="Arial" w:hAnsi="Arial"/>
          <w:sz w:val="16"/>
          <w:szCs w:val="16"/>
          <w:i w:val="1"/>
          <w:iCs w:val="1"/>
          <w:color w:val="auto"/>
        </w:rPr>
        <w:t>Presentation of Financial Statements (Topic 205), Income Statement—Reporting Comprehensive Income (Topic 220),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Distinguishing Liabilities from Equity (Topic 480), Equity (Topic 505), and Compensation—Stock Compensation (Topic 718): Amendments to SEC Paragraphs Pursuant to SEC Staff Accounting Bulletin No. 120, SEC Staff Announcement at the March 24, 2022 EITF Meeting, and Staff Accounting Bulletin Topic 6.B, Accounting Series Release 280—General Revision of Regulation S-X: Income or Loss Applicable to Common Stock (SEC Update) </w:t>
      </w:r>
      <w:r>
        <w:rPr>
          <w:rFonts w:ascii="Arial" w:cs="Arial" w:eastAsia="Arial" w:hAnsi="Arial"/>
          <w:sz w:val="16"/>
          <w:szCs w:val="16"/>
          <w:color w:val="auto"/>
        </w:rPr>
        <w:t xml:space="preserve">in July 2023, and ASU 2023-04, </w:t>
      </w:r>
      <w:r>
        <w:rPr>
          <w:rFonts w:ascii="Arial" w:cs="Arial" w:eastAsia="Arial" w:hAnsi="Arial"/>
          <w:sz w:val="16"/>
          <w:szCs w:val="16"/>
          <w:i w:val="1"/>
          <w:iCs w:val="1"/>
          <w:color w:val="auto"/>
        </w:rPr>
        <w:t>Liabilities (Topic 405): Amendments to SEC Paragraphs Pursuant to SEC Staff Accounting Bulletin No. 121 (SEC Update)</w:t>
      </w:r>
      <w:r>
        <w:rPr>
          <w:rFonts w:ascii="Arial" w:cs="Arial" w:eastAsia="Arial" w:hAnsi="Arial"/>
          <w:sz w:val="16"/>
          <w:szCs w:val="16"/>
          <w:color w:val="auto"/>
        </w:rPr>
        <w:t xml:space="preserve"> in August 2023. These ASUs amend and supersede various SEC paragraphs across multiple topics within the Codification to conform to past SEC announcements and guidance issued by the SEC. As the ASUs do not provide any new accounting standards, no transition or effective dates are associated with them. As such, the Company considers these adopted as of September 30, 2023 with no material impact on its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September 30, 2023</w:t>
      </w:r>
    </w:p>
    <w:p>
      <w:pPr>
        <w:spacing w:after="0" w:line="251" w:lineRule="exact"/>
        <w:rPr>
          <w:sz w:val="20"/>
          <w:szCs w:val="20"/>
          <w:color w:val="auto"/>
        </w:rPr>
      </w:pPr>
    </w:p>
    <w:p>
      <w:pPr>
        <w:jc w:val="both"/>
        <w:ind w:right="340" w:firstLine="622"/>
        <w:spacing w:after="0" w:line="310" w:lineRule="auto"/>
        <w:rPr>
          <w:sz w:val="20"/>
          <w:szCs w:val="20"/>
          <w:color w:val="auto"/>
        </w:rPr>
      </w:pPr>
      <w:r>
        <w:rPr>
          <w:rFonts w:ascii="Arial" w:cs="Arial" w:eastAsia="Arial" w:hAnsi="Arial"/>
          <w:sz w:val="15"/>
          <w:szCs w:val="15"/>
          <w:b w:val="1"/>
          <w:bCs w:val="1"/>
          <w:i w:val="1"/>
          <w:iCs w:val="1"/>
          <w:color w:val="auto"/>
        </w:rPr>
        <w:t xml:space="preserve">Fair Value Measurement </w:t>
      </w:r>
      <w:r>
        <w:rPr>
          <w:rFonts w:ascii="Arial" w:cs="Arial" w:eastAsia="Arial" w:hAnsi="Arial"/>
          <w:sz w:val="15"/>
          <w:szCs w:val="15"/>
          <w:color w:val="auto"/>
        </w:rPr>
        <w:t>- In June 2022, the FASB issued ASU 2022-03,</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Fair Value Measurement of Equity Securities Subject to Contractual Sale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Restrictions (Topic 326)</w:t>
      </w:r>
      <w:r>
        <w:rPr>
          <w:rFonts w:ascii="Arial" w:cs="Arial" w:eastAsia="Arial" w:hAnsi="Arial"/>
          <w:sz w:val="15"/>
          <w:szCs w:val="15"/>
          <w:color w:val="auto"/>
        </w:rPr>
        <w:t>. The ASU clarifies the impact of contractual sale restrictions on the fair value of an equity security. Additionally, this ASU requires</w:t>
      </w:r>
      <w:r>
        <w:rPr>
          <w:rFonts w:ascii="Arial" w:cs="Arial" w:eastAsia="Arial" w:hAnsi="Arial"/>
          <w:sz w:val="15"/>
          <w:szCs w:val="15"/>
          <w:i w:val="1"/>
          <w:iCs w:val="1"/>
          <w:color w:val="auto"/>
        </w:rPr>
        <w:t xml:space="preserve"> </w:t>
      </w:r>
      <w:r>
        <w:rPr>
          <w:rFonts w:ascii="Arial" w:cs="Arial" w:eastAsia="Arial" w:hAnsi="Arial"/>
          <w:sz w:val="15"/>
          <w:szCs w:val="15"/>
          <w:color w:val="auto"/>
        </w:rPr>
        <w:t>disclosure of the nature and remaining duration of the sale restriction. This ASU is effective for periods beginning after December 15, 2023. The Company is currently evaluating the impact of this ASU but does not expect it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3" w:name="page14"/>
    <w:bookmarkEnd w:id="13"/>
    <w:p>
      <w:pPr>
        <w:ind w:right="60" w:firstLine="622"/>
        <w:spacing w:after="0" w:line="264" w:lineRule="auto"/>
        <w:rPr>
          <w:sz w:val="20"/>
          <w:szCs w:val="20"/>
          <w:color w:val="auto"/>
        </w:rPr>
      </w:pPr>
      <w:r>
        <w:rPr>
          <w:rFonts w:ascii="Arial" w:cs="Arial" w:eastAsia="Arial" w:hAnsi="Arial"/>
          <w:sz w:val="17"/>
          <w:szCs w:val="17"/>
          <w:b w:val="1"/>
          <w:bCs w:val="1"/>
          <w:i w:val="1"/>
          <w:iCs w:val="1"/>
          <w:color w:val="auto"/>
        </w:rPr>
        <w:t xml:space="preserve">Leases - Common Control Arrangements </w:t>
      </w:r>
      <w:r>
        <w:rPr>
          <w:rFonts w:ascii="Arial" w:cs="Arial" w:eastAsia="Arial" w:hAnsi="Arial"/>
          <w:sz w:val="17"/>
          <w:szCs w:val="17"/>
          <w:color w:val="auto"/>
        </w:rPr>
        <w:t>- In March 2023, the FASB issued ASU 2023-01,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Leases—Common Control Arrangements (Topic 842)</w:t>
      </w:r>
      <w:r>
        <w:rPr>
          <w:rFonts w:ascii="Arial" w:cs="Arial" w:eastAsia="Arial" w:hAnsi="Arial"/>
          <w:sz w:val="17"/>
          <w:szCs w:val="17"/>
          <w:color w:val="auto"/>
        </w:rPr>
        <w:t>.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provides updated guidance for accounting for common control leases and leasehold improvements. This ASU is effective for periods beginning after December 15, 2023. The Company is currently evaluating the impact of this ASU but does not expect it to have a material impact on its condensed consolidated financial statements.</w:t>
      </w:r>
    </w:p>
    <w:p>
      <w:pPr>
        <w:spacing w:after="0" w:line="203" w:lineRule="exact"/>
        <w:rPr>
          <w:sz w:val="20"/>
          <w:szCs w:val="20"/>
          <w:color w:val="auto"/>
        </w:rPr>
      </w:pPr>
    </w:p>
    <w:p>
      <w:pPr>
        <w:ind w:right="120" w:firstLine="622"/>
        <w:spacing w:after="0" w:line="264" w:lineRule="auto"/>
        <w:rPr>
          <w:sz w:val="20"/>
          <w:szCs w:val="20"/>
          <w:color w:val="auto"/>
        </w:rPr>
      </w:pPr>
      <w:r>
        <w:rPr>
          <w:rFonts w:ascii="Arial" w:cs="Arial" w:eastAsia="Arial" w:hAnsi="Arial"/>
          <w:sz w:val="17"/>
          <w:szCs w:val="17"/>
          <w:b w:val="1"/>
          <w:bCs w:val="1"/>
          <w:i w:val="1"/>
          <w:iCs w:val="1"/>
          <w:color w:val="auto"/>
        </w:rPr>
        <w:t xml:space="preserve">Investments - Equity Method and Joint Ventures </w:t>
      </w:r>
      <w:r>
        <w:rPr>
          <w:rFonts w:ascii="Arial" w:cs="Arial" w:eastAsia="Arial" w:hAnsi="Arial"/>
          <w:sz w:val="17"/>
          <w:szCs w:val="17"/>
          <w:color w:val="auto"/>
        </w:rPr>
        <w:t>- In March 2023, the FASB issued ASU 2023-02,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Investments—Equity Method and Joint Ventures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(Topic 323)</w:t>
      </w:r>
      <w:r>
        <w:rPr>
          <w:rFonts w:ascii="Arial" w:cs="Arial" w:eastAsia="Arial" w:hAnsi="Arial"/>
          <w:sz w:val="17"/>
          <w:szCs w:val="17"/>
          <w:color w:val="auto"/>
        </w:rPr>
        <w:t>. This ASU provides updated guidance for accounting for investments in tax credit structures. This ASU is effective for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2023. The Company is currently evaluating the impact of this ASU but does not expect it to have a material impact on its condensed consolidated financial statements.</w:t>
      </w:r>
    </w:p>
    <w:p>
      <w:pPr>
        <w:spacing w:after="0" w:line="203" w:lineRule="exact"/>
        <w:rPr>
          <w:sz w:val="20"/>
          <w:szCs w:val="20"/>
          <w:color w:val="auto"/>
        </w:rPr>
      </w:pPr>
    </w:p>
    <w:p>
      <w:pPr>
        <w:ind w:right="160" w:firstLine="622"/>
        <w:spacing w:after="0" w:line="264" w:lineRule="auto"/>
        <w:rPr>
          <w:sz w:val="20"/>
          <w:szCs w:val="20"/>
          <w:color w:val="auto"/>
        </w:rPr>
      </w:pPr>
      <w:r>
        <w:rPr>
          <w:rFonts w:ascii="Arial" w:cs="Arial" w:eastAsia="Arial" w:hAnsi="Arial"/>
          <w:sz w:val="17"/>
          <w:szCs w:val="17"/>
          <w:b w:val="1"/>
          <w:bCs w:val="1"/>
          <w:i w:val="1"/>
          <w:iCs w:val="1"/>
          <w:color w:val="auto"/>
        </w:rPr>
        <w:t xml:space="preserve">Business Combinations—Joint Venture Formations </w:t>
      </w:r>
      <w:r>
        <w:rPr>
          <w:rFonts w:ascii="Arial" w:cs="Arial" w:eastAsia="Arial" w:hAnsi="Arial"/>
          <w:sz w:val="17"/>
          <w:szCs w:val="17"/>
          <w:color w:val="auto"/>
        </w:rPr>
        <w:t>- In August 2023, the FASB issued ASU 2023-05,</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Combinations—Joint Venture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Formations (Subtopic 805-60)</w:t>
      </w:r>
      <w:r>
        <w:rPr>
          <w:rFonts w:ascii="Arial" w:cs="Arial" w:eastAsia="Arial" w:hAnsi="Arial"/>
          <w:sz w:val="17"/>
          <w:szCs w:val="17"/>
          <w:color w:val="auto"/>
        </w:rPr>
        <w:t>. This ASU provides updated guidance on accounting for the formation of joint ventures. This ASU is effective prospectively for</w:t>
      </w:r>
      <w:r>
        <w:rPr>
          <w:rFonts w:ascii="Arial" w:cs="Arial" w:eastAsia="Arial" w:hAnsi="Arial"/>
          <w:sz w:val="17"/>
          <w:szCs w:val="17"/>
          <w:i w:val="1"/>
          <w:iCs w:val="1"/>
          <w:color w:val="auto"/>
        </w:rPr>
        <w:t xml:space="preserve"> </w:t>
      </w:r>
      <w:r>
        <w:rPr>
          <w:rFonts w:ascii="Arial" w:cs="Arial" w:eastAsia="Arial" w:hAnsi="Arial"/>
          <w:sz w:val="17"/>
          <w:szCs w:val="17"/>
          <w:color w:val="auto"/>
        </w:rPr>
        <w:t>joint ventures formed on or after January 1, 2025.. The Company is currently evaluating the impact of this ASU but does not expect it to have a material impact on its condensed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251" w:lineRule="exact"/>
        <w:rPr>
          <w:sz w:val="20"/>
          <w:szCs w:val="20"/>
          <w:color w:val="auto"/>
        </w:rPr>
      </w:pPr>
    </w:p>
    <w:p>
      <w:pPr>
        <w:ind w:right="780" w:firstLine="622"/>
        <w:spacing w:after="0" w:line="272" w:lineRule="auto"/>
        <w:rPr>
          <w:sz w:val="20"/>
          <w:szCs w:val="20"/>
          <w:color w:val="auto"/>
        </w:rPr>
      </w:pPr>
      <w:r>
        <w:rPr>
          <w:rFonts w:ascii="Arial" w:cs="Arial" w:eastAsia="Arial" w:hAnsi="Arial"/>
          <w:sz w:val="17"/>
          <w:szCs w:val="17"/>
          <w:color w:val="auto"/>
        </w:rPr>
        <w:t>The below table contains a reconciliation of Net income before income taxes and noncontrolling interest to Net income available for common stockholders: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5"/>
                <w:szCs w:val="15"/>
                <w:color w:val="auto"/>
              </w:rPr>
            </w:pPr>
          </w:p>
        </w:tc>
        <w:tc>
          <w:tcPr>
            <w:tcW w:w="228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5"/>
        </w:trPr>
        <w:tc>
          <w:tcPr>
            <w:tcW w:w="6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 and noncontrolling interest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138,105</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101,606</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308,337</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517,103</w:t>
            </w:r>
          </w:p>
        </w:tc>
        <w:tc>
          <w:tcPr>
            <w:tcW w:w="0" w:type="dxa"/>
            <w:vAlign w:val="bottom"/>
          </w:tcPr>
          <w:p>
            <w:pPr>
              <w:spacing w:after="0"/>
              <w:rPr>
                <w:sz w:val="1"/>
                <w:szCs w:val="1"/>
                <w:color w:val="auto"/>
              </w:rPr>
            </w:pPr>
          </w:p>
        </w:tc>
      </w:tr>
      <w:tr>
        <w:trPr>
          <w:trHeight w:val="187"/>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88,405</w:t>
            </w:r>
          </w:p>
        </w:tc>
        <w:tc>
          <w:tcPr>
            <w:tcW w:w="0" w:type="dxa"/>
            <w:vAlign w:val="bottom"/>
          </w:tcPr>
          <w:p>
            <w:pPr>
              <w:spacing w:after="0"/>
              <w:rPr>
                <w:sz w:val="1"/>
                <w:szCs w:val="1"/>
                <w:color w:val="auto"/>
              </w:rPr>
            </w:pPr>
          </w:p>
        </w:tc>
      </w:tr>
      <w:tr>
        <w:trPr>
          <w:trHeight w:val="194"/>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79,874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257,220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428,698</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(191,264)</w:t>
            </w:r>
          </w:p>
        </w:tc>
        <w:tc>
          <w:tcPr>
            <w:tcW w:w="0" w:type="dxa"/>
            <w:vAlign w:val="bottom"/>
          </w:tcPr>
          <w:p>
            <w:pPr>
              <w:spacing w:after="0"/>
              <w:rPr>
                <w:sz w:val="1"/>
                <w:szCs w:val="1"/>
                <w:color w:val="auto"/>
              </w:rPr>
            </w:pPr>
          </w:p>
        </w:tc>
      </w:tr>
      <w:tr>
        <w:trPr>
          <w:trHeight w:val="207"/>
        </w:trPr>
        <w:tc>
          <w:tcPr>
            <w:tcW w:w="6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136,498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237,434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14" w:name="page15"/>
    <w:bookmarkEnd w:id="14"/>
    <w:p>
      <w:pPr>
        <w:ind w:left="600"/>
        <w:spacing w:after="0"/>
        <w:rPr>
          <w:sz w:val="20"/>
          <w:szCs w:val="20"/>
          <w:color w:val="auto"/>
        </w:rPr>
      </w:pPr>
      <w:r>
        <w:rPr>
          <w:rFonts w:ascii="Arial" w:cs="Arial" w:eastAsia="Arial" w:hAnsi="Arial"/>
          <w:sz w:val="17"/>
          <w:szCs w:val="17"/>
          <w:color w:val="auto"/>
        </w:rPr>
        <w:t>The calculation of basic and diluted earnings per share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7"/>
          </w:tcPr>
          <w:p>
            <w:pPr>
              <w:ind w:left="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5"/>
        </w:trPr>
        <w:tc>
          <w:tcPr>
            <w:tcW w:w="61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1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100" w:type="dxa"/>
            <w:vAlign w:val="bottom"/>
            <w:gridSpan w:val="4"/>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61,915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40,007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gridSpan w:val="2"/>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136,498</w:t>
            </w:r>
          </w:p>
        </w:tc>
        <w:tc>
          <w:tcPr>
            <w:tcW w:w="40" w:type="dxa"/>
            <w:vAlign w:val="bottom"/>
          </w:tcPr>
          <w:p>
            <w:pPr>
              <w:spacing w:after="0"/>
              <w:rPr>
                <w:sz w:val="16"/>
                <w:szCs w:val="16"/>
                <w:color w:val="auto"/>
              </w:rPr>
            </w:pPr>
          </w:p>
        </w:tc>
        <w:tc>
          <w:tcPr>
            <w:tcW w:w="340" w:type="dxa"/>
            <w:vAlign w:val="bottom"/>
            <w:gridSpan w:val="3"/>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237,434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(8,726)</w:t>
            </w:r>
          </w:p>
        </w:tc>
        <w:tc>
          <w:tcPr>
            <w:tcW w:w="0" w:type="dxa"/>
            <w:vAlign w:val="bottom"/>
          </w:tcPr>
          <w:p>
            <w:pPr>
              <w:spacing w:after="0"/>
              <w:rPr>
                <w:sz w:val="1"/>
                <w:szCs w:val="1"/>
                <w:color w:val="auto"/>
              </w:rPr>
            </w:pPr>
          </w:p>
        </w:tc>
      </w:tr>
      <w:tr>
        <w:trPr>
          <w:trHeight w:val="117"/>
        </w:trPr>
        <w:tc>
          <w:tcPr>
            <w:tcW w:w="6100" w:type="dxa"/>
            <w:vAlign w:val="bottom"/>
            <w:gridSpan w:val="4"/>
          </w:tcPr>
          <w:p>
            <w:pPr>
              <w:ind w:left="20"/>
              <w:spacing w:after="0" w:line="118" w:lineRule="exact"/>
              <w:rPr>
                <w:sz w:val="20"/>
                <w:szCs w:val="20"/>
                <w:color w:val="auto"/>
              </w:rPr>
            </w:pPr>
            <w:r>
              <w:rPr>
                <w:rFonts w:ascii="Arial" w:cs="Arial" w:eastAsia="Arial" w:hAnsi="Arial"/>
                <w:sz w:val="13"/>
                <w:szCs w:val="13"/>
                <w:color w:val="auto"/>
              </w:rPr>
              <w:t>Net income available for common stockholders, net of dividends and undistributed earnings allocated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58,804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38,445</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129,534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228,708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100" w:type="dxa"/>
            <w:vAlign w:val="bottom"/>
            <w:gridSpan w:val="4"/>
          </w:tcPr>
          <w:p>
            <w:pPr>
              <w:ind w:left="20"/>
              <w:spacing w:after="0"/>
              <w:rPr>
                <w:sz w:val="20"/>
                <w:szCs w:val="20"/>
                <w:color w:val="auto"/>
              </w:rPr>
            </w:pPr>
            <w:r>
              <w:rPr>
                <w:rFonts w:ascii="Arial" w:cs="Arial" w:eastAsia="Arial" w:hAnsi="Arial"/>
                <w:sz w:val="14"/>
                <w:szCs w:val="14"/>
                <w:color w:val="auto"/>
              </w:rPr>
              <w:t>participating securities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100" w:type="dxa"/>
            <w:vAlign w:val="bottom"/>
            <w:gridSpan w:val="4"/>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Class 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93,408,537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102,289,172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95,376,590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105,500,700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gridSpan w:val="7"/>
          </w:tcPr>
          <w:p>
            <w:pPr>
              <w:ind w:left="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6060" w:type="dxa"/>
            <w:vAlign w:val="bottom"/>
            <w:gridSpan w:val="3"/>
          </w:tcPr>
          <w:p>
            <w:pPr>
              <w:ind w:left="20"/>
              <w:spacing w:after="0" w:line="130" w:lineRule="exact"/>
              <w:rPr>
                <w:sz w:val="20"/>
                <w:szCs w:val="20"/>
                <w:color w:val="auto"/>
              </w:rPr>
            </w:pPr>
            <w:r>
              <w:rPr>
                <w:rFonts w:ascii="Arial" w:cs="Arial" w:eastAsia="Arial" w:hAnsi="Arial"/>
                <w:sz w:val="14"/>
                <w:szCs w:val="14"/>
                <w:color w:val="auto"/>
                <w:w w:val="93"/>
              </w:rPr>
              <w:t>Net income available for common stockholders, net of dividends and undistributed earnings allocated to</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58,804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vMerge w:val="restart"/>
          </w:tcPr>
          <w:p>
            <w:pPr>
              <w:jc w:val="right"/>
              <w:ind w:right="9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38,445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129,534</w:t>
            </w:r>
          </w:p>
        </w:tc>
        <w:tc>
          <w:tcPr>
            <w:tcW w:w="40" w:type="dxa"/>
            <w:vAlign w:val="bottom"/>
          </w:tcPr>
          <w:p>
            <w:pPr>
              <w:spacing w:after="0"/>
              <w:rPr>
                <w:sz w:val="11"/>
                <w:szCs w:val="11"/>
                <w:color w:val="auto"/>
              </w:rPr>
            </w:pPr>
          </w:p>
        </w:tc>
        <w:tc>
          <w:tcPr>
            <w:tcW w:w="340" w:type="dxa"/>
            <w:vAlign w:val="bottom"/>
            <w:gridSpan w:val="3"/>
            <w:vMerge w:val="restart"/>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
              <w:spacing w:after="0"/>
              <w:rPr>
                <w:sz w:val="20"/>
                <w:szCs w:val="20"/>
                <w:color w:val="auto"/>
              </w:rPr>
            </w:pPr>
            <w:r>
              <w:rPr>
                <w:rFonts w:ascii="Arial" w:cs="Arial" w:eastAsia="Arial" w:hAnsi="Arial"/>
                <w:sz w:val="14"/>
                <w:szCs w:val="14"/>
                <w:color w:val="auto"/>
              </w:rPr>
              <w:t>228,708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060" w:type="dxa"/>
            <w:vAlign w:val="bottom"/>
            <w:gridSpan w:val="3"/>
          </w:tcPr>
          <w:p>
            <w:pPr>
              <w:ind w:left="20"/>
              <w:spacing w:after="0"/>
              <w:rPr>
                <w:sz w:val="20"/>
                <w:szCs w:val="20"/>
                <w:color w:val="auto"/>
              </w:rPr>
            </w:pPr>
            <w:r>
              <w:rPr>
                <w:rFonts w:ascii="Arial" w:cs="Arial" w:eastAsia="Arial" w:hAnsi="Arial"/>
                <w:sz w:val="14"/>
                <w:szCs w:val="14"/>
                <w:color w:val="auto"/>
              </w:rPr>
              <w:t>participating securities</w:t>
            </w:r>
          </w:p>
        </w:tc>
        <w:tc>
          <w:tcPr>
            <w:tcW w:w="1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060" w:type="dxa"/>
            <w:vAlign w:val="bottom"/>
            <w:gridSpan w:val="3"/>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0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Issued and outstanding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93,408,537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102,289,172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95,376,590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105,500,700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Issuable pursuant to Amended and Restated 2015 Management Incentive Plan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261,680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503,693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93,408,537</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102,550,852</w:t>
            </w: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95,376,590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106,004,393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60" w:type="dxa"/>
            <w:vAlign w:val="bottom"/>
            <w:gridSpan w:val="3"/>
          </w:tcPr>
          <w:p>
            <w:pPr>
              <w:ind w:left="20"/>
              <w:spacing w:after="0"/>
              <w:rPr>
                <w:sz w:val="20"/>
                <w:szCs w:val="20"/>
                <w:color w:val="auto"/>
              </w:rPr>
            </w:pPr>
            <w:r>
              <w:rPr>
                <w:rFonts w:ascii="Arial" w:cs="Arial" w:eastAsia="Arial" w:hAnsi="Arial"/>
                <w:sz w:val="14"/>
                <w:szCs w:val="14"/>
                <w:color w:val="auto"/>
              </w:rPr>
              <w:t>Diluted earnings per share (1)</w:t>
            </w: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 w:right="320" w:hanging="1"/>
        <w:spacing w:after="0" w:line="22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dilutive impact of unexercised stock options excludes from the computation of EPS 68,988 options for the three months ended September 30, 2023, and 34,622 options for the nine months ended September 30, 2023 because inclusion of the options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66"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4. Tax Receivable Agreements</w:t>
      </w:r>
    </w:p>
    <w:p>
      <w:pPr>
        <w:spacing w:after="0" w:line="251" w:lineRule="exact"/>
        <w:rPr>
          <w:sz w:val="20"/>
          <w:szCs w:val="20"/>
          <w:color w:val="auto"/>
        </w:rPr>
      </w:pPr>
    </w:p>
    <w:p>
      <w:pPr>
        <w:ind w:right="40" w:firstLine="622"/>
        <w:spacing w:after="0" w:line="284" w:lineRule="auto"/>
        <w:rPr>
          <w:sz w:val="20"/>
          <w:szCs w:val="20"/>
          <w:color w:val="auto"/>
        </w:rPr>
      </w:pPr>
      <w:r>
        <w:rPr>
          <w:rFonts w:ascii="Arial" w:cs="Arial" w:eastAsia="Arial" w:hAnsi="Arial"/>
          <w:sz w:val="17"/>
          <w:szCs w:val="17"/>
          <w:color w:val="auto"/>
        </w:rPr>
        <w:t>For a detailed discussion of the Company's tax receivable agreements, see Note 5 "Tax Receivable Agreements" in our consolidated financial statements included in Part II, Item 8 of our Annual Report on Form 10-K for the year ended December 31, 2022.</w:t>
      </w:r>
    </w:p>
    <w:p>
      <w:pPr>
        <w:spacing w:after="0" w:line="186" w:lineRule="exact"/>
        <w:rPr>
          <w:sz w:val="20"/>
          <w:szCs w:val="20"/>
          <w:color w:val="auto"/>
        </w:rPr>
      </w:pPr>
    </w:p>
    <w:p>
      <w:pPr>
        <w:ind w:right="100" w:firstLine="622"/>
        <w:spacing w:after="0" w:line="301" w:lineRule="auto"/>
        <w:rPr>
          <w:sz w:val="20"/>
          <w:szCs w:val="20"/>
          <w:color w:val="auto"/>
        </w:rPr>
      </w:pPr>
      <w:r>
        <w:rPr>
          <w:rFonts w:ascii="Arial" w:cs="Arial" w:eastAsia="Arial" w:hAnsi="Arial"/>
          <w:sz w:val="15"/>
          <w:szCs w:val="15"/>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80" w:lineRule="exact"/>
        <w:rPr>
          <w:sz w:val="20"/>
          <w:szCs w:val="20"/>
          <w:color w:val="auto"/>
        </w:rPr>
      </w:pPr>
    </w:p>
    <w:p>
      <w:pPr>
        <w:ind w:right="140" w:firstLine="622"/>
        <w:spacing w:after="0" w:line="269" w:lineRule="auto"/>
        <w:rPr>
          <w:sz w:val="20"/>
          <w:szCs w:val="20"/>
          <w:color w:val="auto"/>
        </w:rPr>
      </w:pPr>
      <w:r>
        <w:rPr>
          <w:rFonts w:ascii="Arial" w:cs="Arial" w:eastAsia="Arial" w:hAnsi="Arial"/>
          <w:sz w:val="17"/>
          <w:szCs w:val="17"/>
          <w:color w:val="auto"/>
        </w:rPr>
        <w:t>The Company made its first payment of $7.0 million in February 2017, and subsequent payments of $12.4 million in September 2018, $13.3 million in March 2020, $16.5 million in April 2021, $21.3 million in March 2022, and $23.3 million in April 2023. Tax receivable payments are expected to range from approximately $36.4 thousand to $22.0 million per year over the next 15 years.</w:t>
      </w:r>
    </w:p>
    <w:p>
      <w:pPr>
        <w:spacing w:after="0" w:line="198" w:lineRule="exact"/>
        <w:rPr>
          <w:sz w:val="20"/>
          <w:szCs w:val="20"/>
          <w:color w:val="auto"/>
        </w:rPr>
      </w:pPr>
    </w:p>
    <w:p>
      <w:pPr>
        <w:ind w:right="80" w:firstLine="622"/>
        <w:spacing w:after="0" w:line="250" w:lineRule="auto"/>
        <w:rPr>
          <w:sz w:val="20"/>
          <w:szCs w:val="20"/>
          <w:color w:val="auto"/>
        </w:rPr>
      </w:pPr>
      <w:r>
        <w:rPr>
          <w:rFonts w:ascii="Arial" w:cs="Arial" w:eastAsia="Arial" w:hAnsi="Arial"/>
          <w:sz w:val="17"/>
          <w:szCs w:val="17"/>
          <w:color w:val="auto"/>
        </w:rPr>
        <w:t>At September 30, 2023 and December 31, 2022, the Company’s remaining deferred tax assets that relate to the matters described above were approximately $146.5 million and $162.1 million, respectively, and the Company’s liabilities over the next 15 years pursuant to the tax receivable agreements were approximately $215.5 million and $238.8 million for September 30, 2023 and December 31, 2022, respectively. The amounts recorded as of September 30, 2023 and December 31, 2022 are based on best estimates available at the respective dates and may be subject to change after the filing of the Company’s U.S. federal and state income tax returns for the years in which tax savings were realized.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Intangible Assets</w:t>
      </w:r>
    </w:p>
    <w:p>
      <w:pPr>
        <w:spacing w:after="0" w:line="251" w:lineRule="exact"/>
        <w:rPr>
          <w:sz w:val="20"/>
          <w:szCs w:val="20"/>
          <w:color w:val="auto"/>
        </w:rPr>
      </w:pPr>
    </w:p>
    <w:p>
      <w:pPr>
        <w:ind w:firstLine="622"/>
        <w:spacing w:after="0" w:line="269" w:lineRule="auto"/>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 As of September 30, 2023 and December 31, 2022, the Company’s total amount of goodwill recorded was $1,148.9 million. No goodwill impairment was recognized during the three and nine months ended September 30, 2023 and 2022.</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details of goodwill by segment as of September 30, 2023 and December 31, 2022:</w:t>
      </w:r>
    </w:p>
    <w:p>
      <w:pPr>
        <w:spacing w:after="0" w:line="41"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Execution Services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2"/>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1,148,926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ind w:right="260" w:firstLine="622"/>
        <w:spacing w:after="0" w:line="284" w:lineRule="auto"/>
        <w:rPr>
          <w:sz w:val="20"/>
          <w:szCs w:val="20"/>
          <w:color w:val="auto"/>
        </w:rPr>
      </w:pPr>
      <w:r>
        <w:rPr>
          <w:rFonts w:ascii="Arial" w:cs="Arial" w:eastAsia="Arial" w:hAnsi="Arial"/>
          <w:sz w:val="17"/>
          <w:szCs w:val="17"/>
          <w:color w:val="auto"/>
        </w:rPr>
        <w:t>As of September 30, 2023 and December 31, 2022, the Company's total amount of intangible assets recorded was $273.5 million and $321.5 million, respectively. Acquired intangible assets consisted of the following as of September 30, 2023 and December 31, 2022:</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179"/>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As of September 30, 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80"/>
              <w:spacing w:after="0" w:line="123" w:lineRule="exact"/>
              <w:rPr>
                <w:sz w:val="20"/>
                <w:szCs w:val="20"/>
                <w:color w:val="auto"/>
              </w:rPr>
            </w:pPr>
            <w:r>
              <w:rPr>
                <w:rFonts w:ascii="Arial" w:cs="Arial" w:eastAsia="Arial" w:hAnsi="Arial"/>
                <w:sz w:val="14"/>
                <w:szCs w:val="14"/>
                <w:b w:val="1"/>
                <w:bCs w:val="1"/>
                <w:color w:val="auto"/>
                <w:w w:val="90"/>
              </w:rPr>
              <w:t>Gross Carrying</w:t>
            </w:r>
          </w:p>
        </w:tc>
        <w:tc>
          <w:tcPr>
            <w:tcW w:w="140" w:type="dxa"/>
            <w:vAlign w:val="bottom"/>
          </w:tcPr>
          <w:p>
            <w:pPr>
              <w:spacing w:after="0"/>
              <w:rPr>
                <w:sz w:val="10"/>
                <w:szCs w:val="10"/>
                <w:color w:val="auto"/>
              </w:rPr>
            </w:pPr>
          </w:p>
        </w:tc>
        <w:tc>
          <w:tcPr>
            <w:tcW w:w="1260" w:type="dxa"/>
            <w:vAlign w:val="bottom"/>
            <w:gridSpan w:val="2"/>
          </w:tcPr>
          <w:p>
            <w:pPr>
              <w:jc w:val="center"/>
              <w:ind w:right="320"/>
              <w:spacing w:after="0" w:line="123"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0"/>
                <w:szCs w:val="10"/>
                <w:color w:val="auto"/>
              </w:rPr>
            </w:pPr>
          </w:p>
        </w:tc>
        <w:tc>
          <w:tcPr>
            <w:tcW w:w="1100" w:type="dxa"/>
            <w:vAlign w:val="bottom"/>
          </w:tcPr>
          <w:p>
            <w:pPr>
              <w:jc w:val="right"/>
              <w:ind w:right="171"/>
              <w:spacing w:after="0" w:line="123"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7"/>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1100" w:type="dxa"/>
            <w:vAlign w:val="bottom"/>
          </w:tcPr>
          <w:p>
            <w:pPr>
              <w:jc w:val="right"/>
              <w:ind w:right="33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486,600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(225,868)</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260,732</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center"/>
              <w:ind w:left="91"/>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1"/>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5"/>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136,000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(129,667)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6,333</w:t>
            </w:r>
          </w:p>
        </w:tc>
        <w:tc>
          <w:tcPr>
            <w:tcW w:w="520" w:type="dxa"/>
            <w:vAlign w:val="bottom"/>
            <w:gridSpan w:val="2"/>
          </w:tcPr>
          <w:p>
            <w:pPr>
              <w:jc w:val="center"/>
              <w:ind w:left="211"/>
              <w:spacing w:after="0"/>
              <w:rPr>
                <w:sz w:val="20"/>
                <w:szCs w:val="20"/>
                <w:color w:val="auto"/>
              </w:rPr>
            </w:pPr>
            <w:r>
              <w:rPr>
                <w:rFonts w:ascii="Arial" w:cs="Arial" w:eastAsia="Arial" w:hAnsi="Arial"/>
                <w:sz w:val="14"/>
                <w:szCs w:val="14"/>
                <w:color w:val="auto"/>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1"/>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5,895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520" w:type="dxa"/>
            <w:vAlign w:val="bottom"/>
            <w:gridSpan w:val="2"/>
            <w:shd w:val="clear" w:color="auto" w:fill="CCEEFF"/>
          </w:tcPr>
          <w:p>
            <w:pPr>
              <w:jc w:val="center"/>
              <w:ind w:left="211"/>
              <w:spacing w:after="0"/>
              <w:rPr>
                <w:sz w:val="20"/>
                <w:szCs w:val="20"/>
                <w:color w:val="auto"/>
              </w:rPr>
            </w:pPr>
            <w:r>
              <w:rPr>
                <w:rFonts w:ascii="Arial" w:cs="Arial" w:eastAsia="Arial" w:hAnsi="Arial"/>
                <w:sz w:val="14"/>
                <w:szCs w:val="14"/>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5"/>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639,493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16" w:name="page17"/>
    <w:bookmarkEnd w:id="16"/>
    <w:tbl>
      <w:tblPr>
        <w:tblLayout w:type="fixed"/>
        <w:tblInd w:w="260" w:type="dxa"/>
        <w:tblCellMar>
          <w:top w:w="0" w:type="dxa"/>
          <w:left w:w="0" w:type="dxa"/>
          <w:bottom w:w="0" w:type="dxa"/>
          <w:right w:w="0" w:type="dxa"/>
        </w:tblCellMar>
      </w:tblPr>
      <w:tr>
        <w:trPr>
          <w:trHeight w:val="179"/>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0"/>
              </w:rPr>
              <w:t>Gross Carrying</w:t>
            </w:r>
          </w:p>
        </w:tc>
        <w:tc>
          <w:tcPr>
            <w:tcW w:w="140" w:type="dxa"/>
            <w:vAlign w:val="bottom"/>
          </w:tcPr>
          <w:p>
            <w:pPr>
              <w:spacing w:after="0"/>
              <w:rPr>
                <w:sz w:val="10"/>
                <w:szCs w:val="10"/>
                <w:color w:val="auto"/>
              </w:rPr>
            </w:pPr>
          </w:p>
        </w:tc>
        <w:tc>
          <w:tcPr>
            <w:tcW w:w="126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right"/>
              <w:ind w:right="171"/>
              <w:spacing w:after="0" w:line="126"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7"/>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tcPr>
          <w:p>
            <w:pPr>
              <w:jc w:val="right"/>
              <w:ind w:right="31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486,600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(189,986)</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296,614</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center"/>
              <w:ind w:left="91"/>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1"/>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5"/>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136,000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(118,119)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17,881</w:t>
            </w:r>
          </w:p>
        </w:tc>
        <w:tc>
          <w:tcPr>
            <w:tcW w:w="520" w:type="dxa"/>
            <w:vAlign w:val="bottom"/>
            <w:gridSpan w:val="2"/>
          </w:tcPr>
          <w:p>
            <w:pPr>
              <w:jc w:val="center"/>
              <w:ind w:left="211"/>
              <w:spacing w:after="0"/>
              <w:rPr>
                <w:sz w:val="20"/>
                <w:szCs w:val="20"/>
                <w:color w:val="auto"/>
              </w:rPr>
            </w:pPr>
            <w:r>
              <w:rPr>
                <w:rFonts w:ascii="Arial" w:cs="Arial" w:eastAsia="Arial" w:hAnsi="Arial"/>
                <w:sz w:val="14"/>
                <w:szCs w:val="14"/>
                <w:color w:val="auto"/>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1"/>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5,895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520" w:type="dxa"/>
            <w:vAlign w:val="bottom"/>
            <w:gridSpan w:val="2"/>
            <w:shd w:val="clear" w:color="auto" w:fill="CCEEFF"/>
          </w:tcPr>
          <w:p>
            <w:pPr>
              <w:jc w:val="center"/>
              <w:ind w:left="211"/>
              <w:spacing w:after="0"/>
              <w:rPr>
                <w:sz w:val="20"/>
                <w:szCs w:val="20"/>
                <w:color w:val="auto"/>
              </w:rPr>
            </w:pPr>
            <w:r>
              <w:rPr>
                <w:rFonts w:ascii="Arial" w:cs="Arial" w:eastAsia="Arial" w:hAnsi="Arial"/>
                <w:sz w:val="14"/>
                <w:szCs w:val="14"/>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5"/>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639,493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(318,013)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321,480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firstLine="622"/>
        <w:spacing w:after="0" w:line="321" w:lineRule="auto"/>
        <w:rPr>
          <w:sz w:val="20"/>
          <w:szCs w:val="20"/>
          <w:color w:val="auto"/>
        </w:rPr>
      </w:pPr>
      <w:r>
        <w:rPr>
          <w:rFonts w:ascii="Arial" w:cs="Arial" w:eastAsia="Arial" w:hAnsi="Arial"/>
          <w:sz w:val="15"/>
          <w:szCs w:val="15"/>
          <w:color w:val="auto"/>
        </w:rPr>
        <w:t>Amortization expense relating to finite-lived intangible assets was approximately $16.0 million and $16.1 million for the three months ended September 30, 2023, and 2022, respectively, and $48.0 million, and $48.8 million for the nine months ended September 30, 2023, and 2022, respectively. This is included in Amortization of purchased intangibles and acquired capitalized software in the accompanying Condensed Consolidated Statements of Comprehensive Income.</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expects to record amortization expense as follows over the next five subsequent years:</w:t>
      </w:r>
    </w:p>
    <w:p>
      <w:pPr>
        <w:spacing w:after="0" w:line="274" w:lineRule="exact"/>
        <w:rPr>
          <w:sz w:val="20"/>
          <w:szCs w:val="20"/>
          <w:color w:val="auto"/>
        </w:rPr>
      </w:pPr>
    </w:p>
    <w:tbl>
      <w:tblPr>
        <w:tblLayout w:type="fixed"/>
        <w:tblInd w:w="3420" w:type="dxa"/>
        <w:tblCellMar>
          <w:top w:w="0" w:type="dxa"/>
          <w:left w:w="0" w:type="dxa"/>
          <w:bottom w:w="0" w:type="dxa"/>
          <w:right w:w="0" w:type="dxa"/>
        </w:tblCellMar>
      </w:tblPr>
      <w:tr>
        <w:trPr>
          <w:trHeight w:val="179"/>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5"/>
        </w:trPr>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4"/>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162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15,953</w:t>
            </w: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2024</w:t>
            </w:r>
          </w:p>
        </w:tc>
        <w:tc>
          <w:tcPr>
            <w:tcW w:w="16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50,845</w:t>
            </w:r>
          </w:p>
        </w:tc>
      </w:tr>
      <w:tr>
        <w:trPr>
          <w:trHeight w:val="204"/>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6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47,879</w:t>
            </w: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2026</w:t>
            </w:r>
          </w:p>
        </w:tc>
        <w:tc>
          <w:tcPr>
            <w:tcW w:w="16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47,879</w:t>
            </w:r>
          </w:p>
        </w:tc>
      </w:tr>
      <w:tr>
        <w:trPr>
          <w:trHeight w:val="204"/>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6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47,879</w:t>
            </w:r>
          </w:p>
        </w:tc>
      </w:tr>
      <w:tr>
        <w:trPr>
          <w:trHeight w:val="175"/>
        </w:trPr>
        <w:tc>
          <w:tcPr>
            <w:tcW w:w="1760" w:type="dxa"/>
            <w:vAlign w:val="bottom"/>
          </w:tcPr>
          <w:p>
            <w:pPr>
              <w:ind w:left="20"/>
              <w:spacing w:after="0"/>
              <w:rPr>
                <w:sz w:val="20"/>
                <w:szCs w:val="20"/>
                <w:color w:val="auto"/>
              </w:rPr>
            </w:pPr>
            <w:r>
              <w:rPr>
                <w:rFonts w:ascii="Arial" w:cs="Arial" w:eastAsia="Arial" w:hAnsi="Arial"/>
                <w:sz w:val="14"/>
                <w:szCs w:val="14"/>
                <w:color w:val="auto"/>
              </w:rPr>
              <w:t>2028</w:t>
            </w:r>
          </w:p>
        </w:tc>
        <w:tc>
          <w:tcPr>
            <w:tcW w:w="16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47,879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6. Receivables from/Payables to Broker-Dealers and Clearing Organizations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September 30, 2023 and December 31,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236"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1580" w:type="dxa"/>
            <w:vAlign w:val="bottom"/>
          </w:tcPr>
          <w:p>
            <w:pPr>
              <w:jc w:val="right"/>
              <w:ind w:right="271"/>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7"/>
        </w:trPr>
        <w:tc>
          <w:tcPr>
            <w:tcW w:w="6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5"/>
        </w:trPr>
        <w:tc>
          <w:tcPr>
            <w:tcW w:w="7000" w:type="dxa"/>
            <w:vAlign w:val="bottom"/>
            <w:gridSpan w:val="2"/>
          </w:tcPr>
          <w:p>
            <w:pPr>
              <w:spacing w:after="0"/>
              <w:rPr>
                <w:sz w:val="20"/>
                <w:szCs w:val="20"/>
                <w:color w:val="auto"/>
              </w:rPr>
            </w:pPr>
            <w:r>
              <w:rPr>
                <w:rFonts w:ascii="Arial" w:cs="Arial" w:eastAsia="Arial" w:hAnsi="Arial"/>
                <w:sz w:val="14"/>
                <w:szCs w:val="14"/>
                <w:color w:val="auto"/>
              </w:rPr>
              <w:t>Due from prime brokers</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1,089,555</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560,111</w:t>
            </w:r>
          </w:p>
        </w:tc>
      </w:tr>
      <w:tr>
        <w:trPr>
          <w:trHeight w:val="204"/>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Deposits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146,927</w:t>
            </w:r>
          </w:p>
        </w:tc>
      </w:tr>
      <w:tr>
        <w:trPr>
          <w:trHeight w:val="185"/>
        </w:trPr>
        <w:tc>
          <w:tcPr>
            <w:tcW w:w="7000" w:type="dxa"/>
            <w:vAlign w:val="bottom"/>
            <w:gridSpan w:val="2"/>
          </w:tcPr>
          <w:p>
            <w:pPr>
              <w:spacing w:after="0"/>
              <w:rPr>
                <w:sz w:val="20"/>
                <w:szCs w:val="20"/>
                <w:color w:val="auto"/>
              </w:rPr>
            </w:pPr>
            <w:r>
              <w:rPr>
                <w:rFonts w:ascii="Arial" w:cs="Arial" w:eastAsia="Arial" w:hAnsi="Arial"/>
                <w:sz w:val="14"/>
                <w:szCs w:val="14"/>
                <w:color w:val="auto"/>
              </w:rPr>
              <w:t>Net equity with futures commission merchants</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157,973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137,312</w:t>
            </w:r>
          </w:p>
        </w:tc>
      </w:tr>
      <w:tr>
        <w:trPr>
          <w:trHeight w:val="204"/>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Unsettled trades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87,145</w:t>
            </w:r>
          </w:p>
        </w:tc>
      </w:tr>
      <w:tr>
        <w:trPr>
          <w:trHeight w:val="185"/>
        </w:trPr>
        <w:tc>
          <w:tcPr>
            <w:tcW w:w="7000" w:type="dxa"/>
            <w:vAlign w:val="bottom"/>
            <w:gridSpan w:val="2"/>
          </w:tcPr>
          <w:p>
            <w:pPr>
              <w:spacing w:after="0"/>
              <w:rPr>
                <w:sz w:val="20"/>
                <w:szCs w:val="20"/>
                <w:color w:val="auto"/>
              </w:rPr>
            </w:pPr>
            <w:r>
              <w:rPr>
                <w:rFonts w:ascii="Arial" w:cs="Arial" w:eastAsia="Arial" w:hAnsi="Arial"/>
                <w:sz w:val="14"/>
                <w:szCs w:val="14"/>
                <w:color w:val="auto"/>
              </w:rPr>
              <w:t>Securities failed to deliver</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170,226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149,747</w:t>
            </w:r>
          </w:p>
        </w:tc>
      </w:tr>
      <w:tr>
        <w:trPr>
          <w:trHeight w:val="197"/>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Commissions and fees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33,943</w:t>
            </w:r>
          </w:p>
        </w:tc>
      </w:tr>
      <w:tr>
        <w:trPr>
          <w:trHeight w:val="194"/>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receivables from broker-dealers and clearing organizations</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1,696,495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1,115,185</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3"/>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7"/>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2"/>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to prime brokers</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378,909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229,424</w:t>
            </w:r>
          </w:p>
        </w:tc>
      </w:tr>
      <w:tr>
        <w:trPr>
          <w:trHeight w:val="185"/>
        </w:trPr>
        <w:tc>
          <w:tcPr>
            <w:tcW w:w="7000" w:type="dxa"/>
            <w:vAlign w:val="bottom"/>
            <w:gridSpan w:val="2"/>
          </w:tcPr>
          <w:p>
            <w:pPr>
              <w:spacing w:after="0"/>
              <w:rPr>
                <w:sz w:val="20"/>
                <w:szCs w:val="20"/>
                <w:color w:val="auto"/>
              </w:rPr>
            </w:pPr>
            <w:r>
              <w:rPr>
                <w:rFonts w:ascii="Arial" w:cs="Arial" w:eastAsia="Arial" w:hAnsi="Arial"/>
                <w:sz w:val="14"/>
                <w:szCs w:val="14"/>
                <w:color w:val="auto"/>
              </w:rPr>
              <w:t>Net equity with futures commission merchants (1)</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(32,381)</w:t>
            </w:r>
          </w:p>
        </w:tc>
      </w:tr>
      <w:tr>
        <w:trPr>
          <w:trHeight w:val="204"/>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Unsettled trades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5"/>
        </w:trPr>
        <w:tc>
          <w:tcPr>
            <w:tcW w:w="7000" w:type="dxa"/>
            <w:vAlign w:val="bottom"/>
            <w:gridSpan w:val="2"/>
          </w:tcPr>
          <w:p>
            <w:pPr>
              <w:spacing w:after="0"/>
              <w:rPr>
                <w:sz w:val="20"/>
                <w:szCs w:val="20"/>
                <w:color w:val="auto"/>
              </w:rPr>
            </w:pPr>
            <w:r>
              <w:rPr>
                <w:rFonts w:ascii="Arial" w:cs="Arial" w:eastAsia="Arial" w:hAnsi="Arial"/>
                <w:sz w:val="14"/>
                <w:szCs w:val="14"/>
                <w:color w:val="auto"/>
              </w:rPr>
              <w:t>Securities failed to receive</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150,647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70,576</w:t>
            </w:r>
          </w:p>
        </w:tc>
      </w:tr>
      <w:tr>
        <w:trPr>
          <w:trHeight w:val="197"/>
        </w:trPr>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Commissions and fees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6,186</w:t>
            </w:r>
          </w:p>
        </w:tc>
      </w:tr>
      <w:tr>
        <w:trPr>
          <w:trHeight w:val="194"/>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payables to broker-dealers and clearing organizations</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540,464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273,843</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20" w:right="60" w:hanging="316"/>
        <w:spacing w:after="0" w:line="286" w:lineRule="auto"/>
        <w:tabs>
          <w:tab w:leader="none" w:pos="27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Arial" w:cs="Arial" w:eastAsia="Arial" w:hAnsi="Arial"/>
          <w:sz w:val="17"/>
          <w:szCs w:val="17"/>
          <w:color w:val="auto"/>
        </w:rPr>
        <w:t>.</w:t>
      </w:r>
    </w:p>
    <w:p>
      <w:pPr>
        <w:spacing w:after="0" w:line="191" w:lineRule="exact"/>
        <w:rPr>
          <w:sz w:val="20"/>
          <w:szCs w:val="20"/>
          <w:color w:val="auto"/>
        </w:rPr>
      </w:pPr>
    </w:p>
    <w:p>
      <w:pPr>
        <w:ind w:right="80" w:firstLine="622"/>
        <w:spacing w:after="0" w:line="279"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prime brokerage credit facilities (described in Note 8 "Borrowings") of approximately $93.6 million and $212.9 million as of September 30, 2023 and December 31, 2022,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Collateralized Transactions</w:t>
      </w:r>
    </w:p>
    <w:p>
      <w:pPr>
        <w:spacing w:after="0" w:line="251" w:lineRule="exact"/>
        <w:rPr>
          <w:sz w:val="20"/>
          <w:szCs w:val="20"/>
          <w:color w:val="auto"/>
        </w:rPr>
      </w:pPr>
    </w:p>
    <w:p>
      <w:pPr>
        <w:ind w:firstLine="622"/>
        <w:spacing w:after="0" w:line="269"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2023 and December 31, 2022, substantially all of the securities received as collateral have been repledged.</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the collateralized transactions at September 30, 2023 and December 31, 2022 are summarized as follows:</w:t>
      </w:r>
    </w:p>
    <w:p>
      <w:pPr>
        <w:spacing w:after="0" w:line="41" w:lineRule="exact"/>
        <w:rPr>
          <w:sz w:val="20"/>
          <w:szCs w:val="20"/>
          <w:color w:val="auto"/>
        </w:rPr>
      </w:pPr>
    </w:p>
    <w:tbl>
      <w:tblPr>
        <w:tblLayout w:type="fixed"/>
        <w:tblInd w:w="140" w:type="dxa"/>
        <w:tblCellMar>
          <w:top w:w="0" w:type="dxa"/>
          <w:left w:w="0" w:type="dxa"/>
          <w:bottom w:w="0" w:type="dxa"/>
          <w:right w:w="0" w:type="dxa"/>
        </w:tblCellMar>
      </w:tblPr>
      <w:tr>
        <w:trPr>
          <w:trHeight w:val="179"/>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1460" w:type="dxa"/>
            <w:vAlign w:val="bottom"/>
          </w:tcPr>
          <w:p>
            <w:pPr>
              <w:jc w:val="right"/>
              <w:ind w:right="191"/>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7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5"/>
        </w:trPr>
        <w:tc>
          <w:tcPr>
            <w:tcW w:w="7560" w:type="dxa"/>
            <w:vAlign w:val="bottom"/>
            <w:gridSpan w:val="2"/>
          </w:tcPr>
          <w:p>
            <w:pPr>
              <w:ind w:left="220"/>
              <w:spacing w:after="0"/>
              <w:rPr>
                <w:sz w:val="20"/>
                <w:szCs w:val="20"/>
                <w:color w:val="auto"/>
              </w:rPr>
            </w:pPr>
            <w:r>
              <w:rPr>
                <w:rFonts w:ascii="Arial" w:cs="Arial" w:eastAsia="Arial" w:hAnsi="Arial"/>
                <w:sz w:val="14"/>
                <w:szCs w:val="14"/>
                <w:color w:val="auto"/>
              </w:rPr>
              <w:t>Securities borrowed</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1,471,459</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1,148,238</w:t>
            </w:r>
          </w:p>
        </w:tc>
      </w:tr>
      <w:tr>
        <w:trPr>
          <w:trHeight w:val="197"/>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Securities purchased under agreements to resell</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3,127,072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336,849</w:t>
            </w:r>
          </w:p>
        </w:tc>
      </w:tr>
      <w:tr>
        <w:trPr>
          <w:trHeight w:val="187"/>
        </w:trPr>
        <w:tc>
          <w:tcPr>
            <w:tcW w:w="7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4,598,531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1,485,087</w:t>
            </w:r>
          </w:p>
        </w:tc>
      </w:tr>
      <w:tr>
        <w:trPr>
          <w:trHeight w:val="26"/>
        </w:trPr>
        <w:tc>
          <w:tcPr>
            <w:tcW w:w="7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91" w:lineRule="exact"/>
        <w:rPr>
          <w:sz w:val="20"/>
          <w:szCs w:val="20"/>
          <w:color w:val="auto"/>
        </w:rPr>
      </w:pPr>
    </w:p>
    <w:p>
      <w:pPr>
        <w:ind w:right="680" w:firstLine="622"/>
        <w:spacing w:after="0" w:line="284"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86" w:lineRule="exact"/>
        <w:rPr>
          <w:sz w:val="20"/>
          <w:szCs w:val="20"/>
          <w:color w:val="auto"/>
        </w:rPr>
      </w:pPr>
    </w:p>
    <w:p>
      <w:pPr>
        <w:ind w:right="140" w:firstLine="622"/>
        <w:spacing w:after="0" w:line="284" w:lineRule="auto"/>
        <w:rPr>
          <w:sz w:val="20"/>
          <w:szCs w:val="20"/>
          <w:color w:val="auto"/>
        </w:rPr>
      </w:pPr>
      <w:r>
        <w:rPr>
          <w:rFonts w:ascii="Arial" w:cs="Arial" w:eastAsia="Arial" w:hAnsi="Arial"/>
          <w:sz w:val="17"/>
          <w:szCs w:val="17"/>
          <w:color w:val="auto"/>
        </w:rPr>
        <w:t>Financial instruments owned and pledged, where the counterparty has the right to repledge, at September 30, 2023 and December 31, 2022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 w:name="page19"/>
    <w:bookmarkEnd w:id="18"/>
    <w:tbl>
      <w:tblPr>
        <w:tblLayout w:type="fixed"/>
        <w:tblInd w:w="140" w:type="dxa"/>
        <w:tblCellMar>
          <w:top w:w="0" w:type="dxa"/>
          <w:left w:w="0" w:type="dxa"/>
          <w:bottom w:w="0" w:type="dxa"/>
          <w:right w:w="0" w:type="dxa"/>
        </w:tblCellMar>
      </w:tblPr>
      <w:tr>
        <w:trPr>
          <w:trHeight w:val="179"/>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1460" w:type="dxa"/>
            <w:vAlign w:val="bottom"/>
          </w:tcPr>
          <w:p>
            <w:pPr>
              <w:jc w:val="right"/>
              <w:ind w:right="191"/>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7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1,386,049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957,443</w:t>
            </w:r>
          </w:p>
        </w:tc>
      </w:tr>
      <w:tr>
        <w:trPr>
          <w:trHeight w:val="187"/>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Exchange traded notes</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5,628</w:t>
            </w:r>
          </w:p>
        </w:tc>
      </w:tr>
      <w:tr>
        <w:trPr>
          <w:trHeight w:val="212"/>
        </w:trPr>
        <w:tc>
          <w:tcPr>
            <w:tcW w:w="7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1,397,700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963,071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Borrowings, net</w:t>
      </w:r>
    </w:p>
    <w:p>
      <w:pPr>
        <w:spacing w:after="0" w:line="245" w:lineRule="exact"/>
        <w:rPr>
          <w:sz w:val="20"/>
          <w:szCs w:val="20"/>
          <w:color w:val="auto"/>
        </w:rPr>
      </w:pPr>
    </w:p>
    <w:p>
      <w:pPr>
        <w:ind w:right="180" w:firstLine="622"/>
        <w:spacing w:after="0" w:line="272" w:lineRule="auto"/>
        <w:rPr>
          <w:sz w:val="20"/>
          <w:szCs w:val="20"/>
          <w:color w:val="auto"/>
        </w:rPr>
      </w:pPr>
      <w:r>
        <w:rPr>
          <w:rFonts w:ascii="Arial" w:cs="Arial" w:eastAsia="Arial" w:hAnsi="Arial"/>
          <w:sz w:val="17"/>
          <w:szCs w:val="17"/>
          <w:color w:val="auto"/>
        </w:rPr>
        <w:t>The following summarizes the Company's short-term borrowing balances outstanding, net of related debt issuance costs, with each described in further detail below.</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September 30, 2023</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0"/>
                <w:szCs w:val="10"/>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100" w:type="dxa"/>
            <w:vAlign w:val="bottom"/>
          </w:tcPr>
          <w:p>
            <w:pPr>
              <w:spacing w:after="0"/>
              <w:rPr>
                <w:sz w:val="10"/>
                <w:szCs w:val="10"/>
                <w:color w:val="auto"/>
              </w:rPr>
            </w:pPr>
          </w:p>
        </w:tc>
        <w:tc>
          <w:tcPr>
            <w:tcW w:w="1600" w:type="dxa"/>
            <w:vAlign w:val="bottom"/>
            <w:gridSpan w:val="2"/>
          </w:tcPr>
          <w:p>
            <w:pPr>
              <w:jc w:val="center"/>
              <w:ind w:right="200"/>
              <w:spacing w:after="0" w:line="123" w:lineRule="exact"/>
              <w:rPr>
                <w:sz w:val="20"/>
                <w:szCs w:val="20"/>
                <w:color w:val="auto"/>
              </w:rPr>
            </w:pPr>
            <w:r>
              <w:rPr>
                <w:rFonts w:ascii="Arial" w:cs="Arial" w:eastAsia="Arial" w:hAnsi="Arial"/>
                <w:sz w:val="14"/>
                <w:szCs w:val="14"/>
                <w:b w:val="1"/>
                <w:bCs w:val="1"/>
                <w:color w:val="auto"/>
                <w:w w:val="89"/>
              </w:rPr>
              <w:t>Deferred Debt Issuance</w:t>
            </w:r>
          </w:p>
        </w:tc>
        <w:tc>
          <w:tcPr>
            <w:tcW w:w="100" w:type="dxa"/>
            <w:vAlign w:val="bottom"/>
          </w:tcPr>
          <w:p>
            <w:pPr>
              <w:spacing w:after="0"/>
              <w:rPr>
                <w:sz w:val="10"/>
                <w:szCs w:val="10"/>
                <w:color w:val="auto"/>
              </w:rPr>
            </w:pPr>
          </w:p>
        </w:tc>
        <w:tc>
          <w:tcPr>
            <w:tcW w:w="1520" w:type="dxa"/>
            <w:vAlign w:val="bottom"/>
          </w:tcPr>
          <w:p>
            <w:pPr>
              <w:jc w:val="center"/>
              <w:ind w:right="31"/>
              <w:spacing w:after="0" w:line="123"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7"/>
        </w:trPr>
        <w:tc>
          <w:tcPr>
            <w:tcW w:w="4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520" w:type="dxa"/>
            <w:vAlign w:val="bottom"/>
          </w:tcPr>
          <w:p>
            <w:pPr>
              <w:jc w:val="center"/>
              <w:ind w:right="31"/>
              <w:spacing w:after="0"/>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94"/>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97,217</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97,217</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December 31, 2022</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0"/>
                <w:szCs w:val="10"/>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100" w:type="dxa"/>
            <w:vAlign w:val="bottom"/>
          </w:tcPr>
          <w:p>
            <w:pPr>
              <w:spacing w:after="0"/>
              <w:rPr>
                <w:sz w:val="10"/>
                <w:szCs w:val="10"/>
                <w:color w:val="auto"/>
              </w:rPr>
            </w:pPr>
          </w:p>
        </w:tc>
        <w:tc>
          <w:tcPr>
            <w:tcW w:w="160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9"/>
              </w:rPr>
              <w:t>Deferred Debt Issuance</w:t>
            </w:r>
          </w:p>
        </w:tc>
        <w:tc>
          <w:tcPr>
            <w:tcW w:w="100" w:type="dxa"/>
            <w:vAlign w:val="bottom"/>
          </w:tcPr>
          <w:p>
            <w:pPr>
              <w:spacing w:after="0"/>
              <w:rPr>
                <w:sz w:val="10"/>
                <w:szCs w:val="10"/>
                <w:color w:val="auto"/>
              </w:rPr>
            </w:pPr>
          </w:p>
        </w:tc>
        <w:tc>
          <w:tcPr>
            <w:tcW w:w="1520" w:type="dxa"/>
            <w:vAlign w:val="bottom"/>
          </w:tcPr>
          <w:p>
            <w:pPr>
              <w:jc w:val="center"/>
              <w:ind w:right="31"/>
              <w:spacing w:after="0" w:line="126"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5"/>
        </w:trPr>
        <w:tc>
          <w:tcPr>
            <w:tcW w:w="4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520" w:type="dxa"/>
            <w:vAlign w:val="bottom"/>
          </w:tcPr>
          <w:p>
            <w:pPr>
              <w:jc w:val="center"/>
              <w:ind w:right="31"/>
              <w:spacing w:after="0"/>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93"/>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Short-term bank loans</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Broker-Dealer Credit Facilities</w:t>
      </w:r>
    </w:p>
    <w:p>
      <w:pPr>
        <w:spacing w:after="0" w:line="245" w:lineRule="exact"/>
        <w:rPr>
          <w:sz w:val="20"/>
          <w:szCs w:val="20"/>
          <w:color w:val="auto"/>
        </w:rPr>
      </w:pPr>
    </w:p>
    <w:p>
      <w:pPr>
        <w:ind w:firstLine="622"/>
        <w:spacing w:after="0" w:line="298" w:lineRule="auto"/>
        <w:rPr>
          <w:sz w:val="20"/>
          <w:szCs w:val="20"/>
          <w:color w:val="auto"/>
        </w:rPr>
      </w:pPr>
      <w:r>
        <w:rPr>
          <w:rFonts w:ascii="Arial" w:cs="Arial" w:eastAsia="Arial" w:hAnsi="Arial"/>
          <w:sz w:val="15"/>
          <w:szCs w:val="15"/>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and bear interest at the adjusted SOFR or base rate plus 2.50% per annum. A commitment fee of 0.50% per annum on the average daily unused portion of this facility is payable quarterly in arrears.</w:t>
      </w:r>
    </w:p>
    <w:p>
      <w:pPr>
        <w:spacing w:after="0" w:line="180" w:lineRule="exact"/>
        <w:rPr>
          <w:sz w:val="20"/>
          <w:szCs w:val="20"/>
          <w:color w:val="auto"/>
        </w:rPr>
      </w:pPr>
    </w:p>
    <w:p>
      <w:pPr>
        <w:ind w:right="220" w:firstLine="622"/>
        <w:spacing w:after="0" w:line="269" w:lineRule="auto"/>
        <w:rPr>
          <w:sz w:val="20"/>
          <w:szCs w:val="20"/>
          <w:color w:val="auto"/>
        </w:rPr>
      </w:pPr>
      <w:r>
        <w:rPr>
          <w:rFonts w:ascii="Arial" w:cs="Arial" w:eastAsia="Arial" w:hAnsi="Arial"/>
          <w:sz w:val="17"/>
          <w:szCs w:val="17"/>
          <w:color w:val="auto"/>
        </w:rPr>
        <w:t>On May 25, 2022, Virtu Financial Singapore Pte. Ltd. entered into a revolving credit facility with a financial institution (the "Overdraft Facility") to provide a source of short-term financing. The facility has an aggregate borrowing limit of $10 million, and bears interest at the adjusted SOFR or base rate plus 3.5% per annum.</w:t>
      </w:r>
    </w:p>
    <w:p>
      <w:pPr>
        <w:spacing w:after="0" w:line="198" w:lineRule="exact"/>
        <w:rPr>
          <w:sz w:val="20"/>
          <w:szCs w:val="20"/>
          <w:color w:val="auto"/>
        </w:rPr>
      </w:pPr>
    </w:p>
    <w:p>
      <w:pPr>
        <w:ind w:right="40" w:firstLine="622"/>
        <w:spacing w:after="0" w:line="258" w:lineRule="auto"/>
        <w:rPr>
          <w:sz w:val="20"/>
          <w:szCs w:val="20"/>
          <w:color w:val="auto"/>
        </w:rPr>
      </w:pPr>
      <w:r>
        <w:rPr>
          <w:rFonts w:ascii="Arial" w:cs="Arial" w:eastAsia="Arial" w:hAnsi="Arial"/>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These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179"/>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At September 30, 2023</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Interest Rate</w:t>
            </w:r>
          </w:p>
        </w:tc>
        <w:tc>
          <w:tcPr>
            <w:tcW w:w="120" w:type="dxa"/>
            <w:vAlign w:val="bottom"/>
          </w:tcPr>
          <w:p>
            <w:pPr>
              <w:spacing w:after="0"/>
              <w:rPr>
                <w:sz w:val="10"/>
                <w:szCs w:val="10"/>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220" w:type="dxa"/>
            <w:vAlign w:val="bottom"/>
          </w:tcPr>
          <w:p>
            <w:pPr>
              <w:spacing w:after="0"/>
              <w:rPr>
                <w:sz w:val="10"/>
                <w:szCs w:val="10"/>
                <w:color w:val="auto"/>
              </w:rPr>
            </w:pPr>
          </w:p>
        </w:tc>
        <w:tc>
          <w:tcPr>
            <w:tcW w:w="132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1"/>
              </w:rPr>
              <w:t>Borrowing</w:t>
            </w:r>
          </w:p>
        </w:tc>
        <w:tc>
          <w:tcPr>
            <w:tcW w:w="152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w w:val="94"/>
              </w:rPr>
              <w:t>Deferred Debt Issuance</w:t>
            </w:r>
          </w:p>
        </w:tc>
        <w:tc>
          <w:tcPr>
            <w:tcW w:w="160" w:type="dxa"/>
            <w:vAlign w:val="bottom"/>
          </w:tcPr>
          <w:p>
            <w:pPr>
              <w:spacing w:after="0"/>
              <w:rPr>
                <w:sz w:val="10"/>
                <w:szCs w:val="10"/>
                <w:color w:val="auto"/>
              </w:rPr>
            </w:pPr>
          </w:p>
        </w:tc>
        <w:tc>
          <w:tcPr>
            <w:tcW w:w="1280" w:type="dxa"/>
            <w:vAlign w:val="bottom"/>
          </w:tcPr>
          <w:p>
            <w:pPr>
              <w:jc w:val="right"/>
              <w:ind w:right="291"/>
              <w:spacing w:after="0" w:line="126"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5"/>
        </w:trPr>
        <w:tc>
          <w:tcPr>
            <w:tcW w:w="37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80" w:type="dxa"/>
            <w:vAlign w:val="bottom"/>
          </w:tcPr>
          <w:p>
            <w:pPr>
              <w:jc w:val="right"/>
              <w:ind w:right="191"/>
              <w:spacing w:after="0"/>
              <w:rPr>
                <w:sz w:val="20"/>
                <w:szCs w:val="20"/>
                <w:color w:val="auto"/>
              </w:rPr>
            </w:pPr>
            <w:r>
              <w:rPr>
                <w:rFonts w:ascii="Arial" w:cs="Arial" w:eastAsia="Arial" w:hAnsi="Arial"/>
                <w:sz w:val="14"/>
                <w:szCs w:val="14"/>
                <w:b w:val="1"/>
                <w:bCs w:val="1"/>
                <w:color w:val="auto"/>
                <w:w w:val="93"/>
              </w:rPr>
              <w:t>Borrowings, net</w:t>
            </w:r>
          </w:p>
        </w:tc>
        <w:tc>
          <w:tcPr>
            <w:tcW w:w="0" w:type="dxa"/>
            <w:vAlign w:val="bottom"/>
          </w:tcPr>
          <w:p>
            <w:pPr>
              <w:spacing w:after="0"/>
              <w:rPr>
                <w:sz w:val="1"/>
                <w:szCs w:val="1"/>
                <w:color w:val="auto"/>
              </w:rPr>
            </w:pPr>
          </w:p>
        </w:tc>
      </w:tr>
      <w:tr>
        <w:trPr>
          <w:trHeight w:val="19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6.50%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(2,783)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97,217</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Overdraft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8.81%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97,217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At December 31, 2022</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Interest Rate</w:t>
            </w:r>
          </w:p>
        </w:tc>
        <w:tc>
          <w:tcPr>
            <w:tcW w:w="120" w:type="dxa"/>
            <w:vAlign w:val="bottom"/>
          </w:tcPr>
          <w:p>
            <w:pPr>
              <w:spacing w:after="0"/>
              <w:rPr>
                <w:sz w:val="10"/>
                <w:szCs w:val="10"/>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220" w:type="dxa"/>
            <w:vAlign w:val="bottom"/>
          </w:tcPr>
          <w:p>
            <w:pPr>
              <w:spacing w:after="0"/>
              <w:rPr>
                <w:sz w:val="10"/>
                <w:szCs w:val="10"/>
                <w:color w:val="auto"/>
              </w:rPr>
            </w:pPr>
          </w:p>
        </w:tc>
        <w:tc>
          <w:tcPr>
            <w:tcW w:w="1320" w:type="dxa"/>
            <w:vAlign w:val="bottom"/>
            <w:gridSpan w:val="2"/>
          </w:tcPr>
          <w:p>
            <w:pPr>
              <w:jc w:val="center"/>
              <w:ind w:right="320"/>
              <w:spacing w:after="0" w:line="123" w:lineRule="exact"/>
              <w:rPr>
                <w:sz w:val="20"/>
                <w:szCs w:val="20"/>
                <w:color w:val="auto"/>
              </w:rPr>
            </w:pPr>
            <w:r>
              <w:rPr>
                <w:rFonts w:ascii="Arial" w:cs="Arial" w:eastAsia="Arial" w:hAnsi="Arial"/>
                <w:sz w:val="14"/>
                <w:szCs w:val="14"/>
                <w:b w:val="1"/>
                <w:bCs w:val="1"/>
                <w:color w:val="auto"/>
                <w:w w:val="91"/>
              </w:rPr>
              <w:t>Borrowing</w:t>
            </w:r>
          </w:p>
        </w:tc>
        <w:tc>
          <w:tcPr>
            <w:tcW w:w="1520" w:type="dxa"/>
            <w:vAlign w:val="bottom"/>
            <w:gridSpan w:val="3"/>
          </w:tcPr>
          <w:p>
            <w:pPr>
              <w:ind w:left="20"/>
              <w:spacing w:after="0" w:line="123" w:lineRule="exact"/>
              <w:rPr>
                <w:sz w:val="20"/>
                <w:szCs w:val="20"/>
                <w:color w:val="auto"/>
              </w:rPr>
            </w:pPr>
            <w:r>
              <w:rPr>
                <w:rFonts w:ascii="Arial" w:cs="Arial" w:eastAsia="Arial" w:hAnsi="Arial"/>
                <w:sz w:val="14"/>
                <w:szCs w:val="14"/>
                <w:b w:val="1"/>
                <w:bCs w:val="1"/>
                <w:color w:val="auto"/>
                <w:w w:val="94"/>
              </w:rPr>
              <w:t>Deferred Debt Issuance</w:t>
            </w:r>
          </w:p>
        </w:tc>
        <w:tc>
          <w:tcPr>
            <w:tcW w:w="160" w:type="dxa"/>
            <w:vAlign w:val="bottom"/>
          </w:tcPr>
          <w:p>
            <w:pPr>
              <w:spacing w:after="0"/>
              <w:rPr>
                <w:sz w:val="10"/>
                <w:szCs w:val="10"/>
                <w:color w:val="auto"/>
              </w:rPr>
            </w:pPr>
          </w:p>
        </w:tc>
        <w:tc>
          <w:tcPr>
            <w:tcW w:w="1280" w:type="dxa"/>
            <w:vAlign w:val="bottom"/>
          </w:tcPr>
          <w:p>
            <w:pPr>
              <w:ind w:left="180"/>
              <w:spacing w:after="0" w:line="12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7"/>
        </w:trPr>
        <w:tc>
          <w:tcPr>
            <w:tcW w:w="37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80" w:type="dxa"/>
            <w:vAlign w:val="bottom"/>
          </w:tcPr>
          <w:p>
            <w:pPr>
              <w:ind w:left="80"/>
              <w:spacing w:after="0"/>
              <w:rPr>
                <w:sz w:val="20"/>
                <w:szCs w:val="20"/>
                <w:color w:val="auto"/>
              </w:rPr>
            </w:pPr>
            <w:r>
              <w:rPr>
                <w:rFonts w:ascii="Arial" w:cs="Arial" w:eastAsia="Arial" w:hAnsi="Arial"/>
                <w:sz w:val="14"/>
                <w:szCs w:val="14"/>
                <w:b w:val="1"/>
                <w:bCs w:val="1"/>
                <w:color w:val="auto"/>
              </w:rPr>
              <w:t>Borrowings, net</w:t>
            </w:r>
          </w:p>
        </w:tc>
        <w:tc>
          <w:tcPr>
            <w:tcW w:w="0" w:type="dxa"/>
            <w:vAlign w:val="bottom"/>
          </w:tcPr>
          <w:p>
            <w:pPr>
              <w:spacing w:after="0"/>
              <w:rPr>
                <w:sz w:val="1"/>
                <w:szCs w:val="1"/>
                <w:color w:val="auto"/>
              </w:rPr>
            </w:pPr>
          </w:p>
        </w:tc>
      </w:tr>
      <w:tr>
        <w:trPr>
          <w:trHeight w:val="19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 (1)</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5.50%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Overdraft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7.80%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1,060,000</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12065</wp:posOffset>
            </wp:positionV>
            <wp:extent cx="38119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11905" cy="8255"/>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(1) $0.2 million of deferred debt issuance costs are included within Other assets on the consolidated statement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-78105</wp:posOffset>
            </wp:positionV>
            <wp:extent cx="38119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11905" cy="8255"/>
                    </a:xfrm>
                    <a:prstGeom prst="rect">
                      <a:avLst/>
                    </a:prstGeom>
                    <a:noFill/>
                  </pic:spPr>
                </pic:pic>
              </a:graphicData>
            </a:graphic>
          </wp:anchor>
        </w:drawing>
      </w:r>
    </w:p>
    <w:p>
      <w:pPr>
        <w:spacing w:after="0" w:line="336" w:lineRule="exact"/>
        <w:rPr>
          <w:sz w:val="20"/>
          <w:szCs w:val="20"/>
          <w:color w:val="auto"/>
        </w:rPr>
      </w:pPr>
    </w:p>
    <w:p>
      <w:pPr>
        <w:ind w:right="420" w:firstLine="622"/>
        <w:spacing w:after="0" w:line="284"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14" w:lineRule="exact"/>
        <w:rPr>
          <w:sz w:val="20"/>
          <w:szCs w:val="20"/>
          <w:color w:val="auto"/>
        </w:rPr>
      </w:pPr>
    </w:p>
    <w:tbl>
      <w:tblPr>
        <w:tblLayout w:type="fixed"/>
        <w:tblInd w:w="1520" w:type="dxa"/>
        <w:tblCellMar>
          <w:top w:w="0" w:type="dxa"/>
          <w:left w:w="0" w:type="dxa"/>
          <w:bottom w:w="0" w:type="dxa"/>
          <w:right w:w="0" w:type="dxa"/>
        </w:tblCellMar>
      </w:tblPr>
      <w:tr>
        <w:trPr>
          <w:trHeight w:val="179"/>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5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5"/>
        </w:trPr>
        <w:tc>
          <w:tcPr>
            <w:tcW w:w="2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6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1,476</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5,377</w:t>
            </w:r>
          </w:p>
        </w:tc>
        <w:tc>
          <w:tcPr>
            <w:tcW w:w="12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204"/>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7"/>
        </w:trPr>
        <w:tc>
          <w:tcPr>
            <w:tcW w:w="2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Overdraft facility</w:t>
            </w: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2"/>
        </w:trPr>
        <w:tc>
          <w:tcPr>
            <w:tcW w:w="2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Short-Term Bank Loans</w:t>
      </w:r>
    </w:p>
    <w:p>
      <w:pPr>
        <w:spacing w:after="0" w:line="245" w:lineRule="exact"/>
        <w:rPr>
          <w:sz w:val="20"/>
          <w:szCs w:val="20"/>
          <w:color w:val="auto"/>
        </w:rPr>
      </w:pPr>
    </w:p>
    <w:p>
      <w:pPr>
        <w:ind w:right="80" w:firstLine="622"/>
        <w:spacing w:after="0" w:line="262"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September 30, 2023, there was no balance associated with international settlement activities outstanding under these facilities. At December 31, 2022, there was $3.9 million associated with international settlement activities outstanding under these facilities at a weighted average interest rate of approximately 3.8%. These short-term bank loan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Prime Brokerage Credit Facilities</w:t>
      </w:r>
    </w:p>
    <w:p>
      <w:pPr>
        <w:spacing w:after="0" w:line="245" w:lineRule="exact"/>
        <w:rPr>
          <w:sz w:val="20"/>
          <w:szCs w:val="20"/>
          <w:color w:val="auto"/>
        </w:rPr>
      </w:pPr>
    </w:p>
    <w:p>
      <w:pPr>
        <w:jc w:val="both"/>
        <w:ind w:right="460" w:firstLine="622"/>
        <w:spacing w:after="0" w:line="294"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At September 30, 2023</w:t>
            </w: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88"/>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87"/>
              </w:rPr>
              <w:t>Financing</w:t>
            </w:r>
          </w:p>
        </w:tc>
        <w:tc>
          <w:tcPr>
            <w:tcW w:w="420" w:type="dxa"/>
            <w:vAlign w:val="bottom"/>
          </w:tcPr>
          <w:p>
            <w:pPr>
              <w:spacing w:after="0"/>
              <w:rPr>
                <w:sz w:val="10"/>
                <w:szCs w:val="10"/>
                <w:color w:val="auto"/>
              </w:rPr>
            </w:pPr>
          </w:p>
        </w:tc>
        <w:tc>
          <w:tcPr>
            <w:tcW w:w="1820" w:type="dxa"/>
            <w:vAlign w:val="bottom"/>
          </w:tcPr>
          <w:p>
            <w:pPr>
              <w:jc w:val="right"/>
              <w:ind w:right="731"/>
              <w:spacing w:after="0" w:line="126"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5"/>
        </w:trPr>
        <w:tc>
          <w:tcPr>
            <w:tcW w:w="4200" w:type="dxa"/>
            <w:vAlign w:val="bottom"/>
            <w:gridSpan w:val="2"/>
            <w:vMerge w:val="continue"/>
          </w:tcPr>
          <w:p>
            <w:pPr>
              <w:spacing w:after="0"/>
              <w:rPr>
                <w:sz w:val="16"/>
                <w:szCs w:val="16"/>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Interest Rate</w:t>
            </w: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Available</w:t>
            </w:r>
          </w:p>
        </w:tc>
        <w:tc>
          <w:tcPr>
            <w:tcW w:w="420" w:type="dxa"/>
            <w:vAlign w:val="bottom"/>
          </w:tcPr>
          <w:p>
            <w:pPr>
              <w:spacing w:after="0"/>
              <w:rPr>
                <w:sz w:val="16"/>
                <w:szCs w:val="16"/>
                <w:color w:val="auto"/>
              </w:rPr>
            </w:pPr>
          </w:p>
        </w:tc>
        <w:tc>
          <w:tcPr>
            <w:tcW w:w="1820" w:type="dxa"/>
            <w:vAlign w:val="bottom"/>
          </w:tcPr>
          <w:p>
            <w:pPr>
              <w:jc w:val="right"/>
              <w:ind w:right="691"/>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3"/>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8.09%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93,612</w:t>
            </w:r>
          </w:p>
        </w:tc>
        <w:tc>
          <w:tcPr>
            <w:tcW w:w="0" w:type="dxa"/>
            <w:vAlign w:val="bottom"/>
          </w:tcPr>
          <w:p>
            <w:pPr>
              <w:spacing w:after="0"/>
              <w:rPr>
                <w:sz w:val="1"/>
                <w:szCs w:val="1"/>
                <w:color w:val="auto"/>
              </w:rPr>
            </w:pPr>
          </w:p>
        </w:tc>
      </w:tr>
      <w:tr>
        <w:trPr>
          <w:trHeight w:val="212"/>
        </w:trPr>
        <w:tc>
          <w:tcPr>
            <w:tcW w:w="4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591,000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93,612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At December 31, 2022</w:t>
            </w: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0"/>
                <w:szCs w:val="10"/>
                <w:color w:val="auto"/>
              </w:rPr>
            </w:pPr>
          </w:p>
        </w:tc>
        <w:tc>
          <w:tcPr>
            <w:tcW w:w="236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color w:val="auto"/>
                <w:w w:val="88"/>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80"/>
              <w:spacing w:after="0" w:line="123" w:lineRule="exact"/>
              <w:rPr>
                <w:sz w:val="20"/>
                <w:szCs w:val="20"/>
                <w:color w:val="auto"/>
              </w:rPr>
            </w:pPr>
            <w:r>
              <w:rPr>
                <w:rFonts w:ascii="Arial" w:cs="Arial" w:eastAsia="Arial" w:hAnsi="Arial"/>
                <w:sz w:val="14"/>
                <w:szCs w:val="14"/>
                <w:b w:val="1"/>
                <w:bCs w:val="1"/>
                <w:color w:val="auto"/>
                <w:w w:val="87"/>
              </w:rPr>
              <w:t>Financing</w:t>
            </w:r>
          </w:p>
        </w:tc>
        <w:tc>
          <w:tcPr>
            <w:tcW w:w="420" w:type="dxa"/>
            <w:vAlign w:val="bottom"/>
          </w:tcPr>
          <w:p>
            <w:pPr>
              <w:spacing w:after="0"/>
              <w:rPr>
                <w:sz w:val="10"/>
                <w:szCs w:val="10"/>
                <w:color w:val="auto"/>
              </w:rPr>
            </w:pPr>
          </w:p>
        </w:tc>
        <w:tc>
          <w:tcPr>
            <w:tcW w:w="1820" w:type="dxa"/>
            <w:vAlign w:val="bottom"/>
          </w:tcPr>
          <w:p>
            <w:pPr>
              <w:jc w:val="right"/>
              <w:ind w:right="731"/>
              <w:spacing w:after="0" w:line="123"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7"/>
        </w:trPr>
        <w:tc>
          <w:tcPr>
            <w:tcW w:w="4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7"/>
              </w:rPr>
              <w:t>Available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6"/>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2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7.42%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212,912</w:t>
            </w:r>
          </w:p>
        </w:tc>
        <w:tc>
          <w:tcPr>
            <w:tcW w:w="0" w:type="dxa"/>
            <w:vAlign w:val="bottom"/>
          </w:tcPr>
          <w:p>
            <w:pPr>
              <w:spacing w:after="0"/>
              <w:rPr>
                <w:sz w:val="1"/>
                <w:szCs w:val="1"/>
                <w:color w:val="auto"/>
              </w:rPr>
            </w:pPr>
          </w:p>
        </w:tc>
      </w:tr>
      <w:tr>
        <w:trPr>
          <w:trHeight w:val="232"/>
        </w:trPr>
        <w:tc>
          <w:tcPr>
            <w:tcW w:w="4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212,912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from/Payables to broker-dealers and clearing organizations within the Condensed Consolidated Statements of Financial Condition.</w:t>
      </w:r>
    </w:p>
    <w:p>
      <w:pPr>
        <w:spacing w:after="0" w:line="246" w:lineRule="exact"/>
        <w:rPr>
          <w:sz w:val="20"/>
          <w:szCs w:val="20"/>
          <w:color w:val="auto"/>
        </w:rPr>
      </w:pPr>
    </w:p>
    <w:p>
      <w:pPr>
        <w:jc w:val="both"/>
        <w:ind w:right="20" w:firstLine="622"/>
        <w:spacing w:after="0" w:line="284" w:lineRule="auto"/>
        <w:rPr>
          <w:sz w:val="20"/>
          <w:szCs w:val="20"/>
          <w:color w:val="auto"/>
        </w:rPr>
      </w:pPr>
      <w:r>
        <w:rPr>
          <w:rFonts w:ascii="Arial" w:cs="Arial" w:eastAsia="Arial" w:hAnsi="Arial"/>
          <w:sz w:val="17"/>
          <w:szCs w:val="17"/>
          <w:color w:val="auto"/>
        </w:rPr>
        <w:t>Interest expense in relation to the facilities was $3.3 million and $2.6 million for the three months ended September 30, 2023 and 2022, respectively, and $10.4 million and $5.9 million for the nine months ended September 30, 2023 and 2022,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ind w:left="20"/>
              <w:spacing w:after="0"/>
              <w:rPr>
                <w:sz w:val="20"/>
                <w:szCs w:val="20"/>
                <w:color w:val="auto"/>
              </w:rPr>
            </w:pPr>
            <w:r>
              <w:rPr>
                <w:rFonts w:ascii="Arial" w:cs="Arial" w:eastAsia="Arial" w:hAnsi="Arial"/>
                <w:sz w:val="14"/>
                <w:szCs w:val="14"/>
                <w:b w:val="1"/>
                <w:bCs w:val="1"/>
                <w:color w:val="auto"/>
              </w:rPr>
              <w:t>At September 30, 2023</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2"/>
            <w:vMerge w:val="continue"/>
          </w:tcPr>
          <w:p>
            <w:pPr>
              <w:spacing w:after="0"/>
              <w:rPr>
                <w:sz w:val="10"/>
                <w:szCs w:val="10"/>
                <w:color w:val="auto"/>
              </w:rPr>
            </w:pPr>
          </w:p>
        </w:tc>
        <w:tc>
          <w:tcPr>
            <w:tcW w:w="92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0"/>
              </w:rPr>
              <w:t>Deferred Debt</w:t>
            </w:r>
          </w:p>
        </w:tc>
        <w:tc>
          <w:tcPr>
            <w:tcW w:w="160" w:type="dxa"/>
            <w:vAlign w:val="bottom"/>
          </w:tcPr>
          <w:p>
            <w:pPr>
              <w:spacing w:after="0"/>
              <w:rPr>
                <w:sz w:val="10"/>
                <w:szCs w:val="10"/>
                <w:color w:val="auto"/>
              </w:rPr>
            </w:pPr>
          </w:p>
        </w:tc>
        <w:tc>
          <w:tcPr>
            <w:tcW w:w="1240" w:type="dxa"/>
            <w:vAlign w:val="bottom"/>
          </w:tcPr>
          <w:p>
            <w:pPr>
              <w:jc w:val="right"/>
              <w:ind w:right="271"/>
              <w:spacing w:after="0" w:line="126"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5"/>
        </w:trPr>
        <w:tc>
          <w:tcPr>
            <w:tcW w:w="388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Issuance Cost</w:t>
            </w:r>
          </w:p>
        </w:tc>
        <w:tc>
          <w:tcPr>
            <w:tcW w:w="160" w:type="dxa"/>
            <w:vAlign w:val="bottom"/>
          </w:tcPr>
          <w:p>
            <w:pPr>
              <w:spacing w:after="0"/>
              <w:rPr>
                <w:sz w:val="16"/>
                <w:szCs w:val="16"/>
                <w:color w:val="auto"/>
              </w:rPr>
            </w:pPr>
          </w:p>
        </w:tc>
        <w:tc>
          <w:tcPr>
            <w:tcW w:w="1240" w:type="dxa"/>
            <w:vAlign w:val="bottom"/>
          </w:tcPr>
          <w:p>
            <w:pPr>
              <w:jc w:val="right"/>
              <w:ind w:right="171"/>
              <w:spacing w:after="0"/>
              <w:rPr>
                <w:sz w:val="20"/>
                <w:szCs w:val="20"/>
                <w:color w:val="auto"/>
              </w:rPr>
            </w:pPr>
            <w:r>
              <w:rPr>
                <w:rFonts w:ascii="Arial" w:cs="Arial" w:eastAsia="Arial" w:hAnsi="Arial"/>
                <w:sz w:val="14"/>
                <w:szCs w:val="14"/>
                <w:b w:val="1"/>
                <w:bCs w:val="1"/>
                <w:color w:val="auto"/>
                <w:w w:val="91"/>
              </w:rPr>
              <w:t>Borrowings, net</w:t>
            </w:r>
          </w:p>
        </w:tc>
        <w:tc>
          <w:tcPr>
            <w:tcW w:w="0" w:type="dxa"/>
            <w:vAlign w:val="bottom"/>
          </w:tcPr>
          <w:p>
            <w:pPr>
              <w:spacing w:after="0"/>
              <w:rPr>
                <w:sz w:val="1"/>
                <w:szCs w:val="1"/>
                <w:color w:val="auto"/>
              </w:rPr>
            </w:pPr>
          </w:p>
        </w:tc>
      </w:tr>
      <w:tr>
        <w:trPr>
          <w:trHeight w:val="19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Long-term borrowings:</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80" w:type="dxa"/>
            <w:vAlign w:val="bottom"/>
            <w:gridSpan w:val="2"/>
          </w:tcPr>
          <w:p>
            <w:pPr>
              <w:ind w:left="100"/>
              <w:spacing w:after="0"/>
              <w:rPr>
                <w:sz w:val="20"/>
                <w:szCs w:val="20"/>
                <w:color w:val="auto"/>
              </w:rPr>
            </w:pPr>
            <w:r>
              <w:rPr>
                <w:rFonts w:ascii="Arial" w:cs="Arial" w:eastAsia="Arial" w:hAnsi="Arial"/>
                <w:sz w:val="14"/>
                <w:szCs w:val="14"/>
                <w:color w:val="auto"/>
              </w:rPr>
              <w:t>First Lien Term Loan Facility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January 2029</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8.42%</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1,782,000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(23,323)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1,755,311</w:t>
            </w:r>
          </w:p>
        </w:tc>
        <w:tc>
          <w:tcPr>
            <w:tcW w:w="0" w:type="dxa"/>
            <w:vAlign w:val="bottom"/>
          </w:tcPr>
          <w:p>
            <w:pPr>
              <w:spacing w:after="0"/>
              <w:rPr>
                <w:sz w:val="1"/>
                <w:szCs w:val="1"/>
                <w:color w:val="auto"/>
              </w:rPr>
            </w:pPr>
          </w:p>
        </w:tc>
      </w:tr>
      <w:tr>
        <w:trPr>
          <w:trHeight w:val="197"/>
        </w:trPr>
        <w:tc>
          <w:tcPr>
            <w:tcW w:w="3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SBI bonds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January 2026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23,432</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1,805,432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(23,323)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1,778,743</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At December 31, 2022</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92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0"/>
                <w:szCs w:val="10"/>
                <w:color w:val="auto"/>
              </w:rPr>
            </w:pPr>
          </w:p>
        </w:tc>
        <w:tc>
          <w:tcPr>
            <w:tcW w:w="112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0"/>
                <w:szCs w:val="10"/>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71"/>
              <w:spacing w:after="0" w:line="126"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1"/>
              </w:rPr>
              <w:t>Borrowings, net</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Long-term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880" w:type="dxa"/>
            <w:vAlign w:val="bottom"/>
            <w:gridSpan w:val="2"/>
          </w:tcPr>
          <w:p>
            <w:pPr>
              <w:ind w:left="100"/>
              <w:spacing w:after="0"/>
              <w:rPr>
                <w:sz w:val="20"/>
                <w:szCs w:val="20"/>
                <w:color w:val="auto"/>
              </w:rPr>
            </w:pPr>
            <w:r>
              <w:rPr>
                <w:rFonts w:ascii="Arial" w:cs="Arial" w:eastAsia="Arial" w:hAnsi="Arial"/>
                <w:sz w:val="14"/>
                <w:szCs w:val="14"/>
                <w:color w:val="auto"/>
              </w:rPr>
              <w:t>First Lien Term Loan Facility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January 2029</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7.42%</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1,800,000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(26,858)</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1,769,261</w:t>
            </w:r>
          </w:p>
        </w:tc>
        <w:tc>
          <w:tcPr>
            <w:tcW w:w="0" w:type="dxa"/>
            <w:vAlign w:val="bottom"/>
          </w:tcPr>
          <w:p>
            <w:pPr>
              <w:spacing w:after="0"/>
              <w:rPr>
                <w:sz w:val="1"/>
                <w:szCs w:val="1"/>
                <w:color w:val="auto"/>
              </w:rPr>
            </w:pPr>
          </w:p>
        </w:tc>
      </w:tr>
      <w:tr>
        <w:trPr>
          <w:trHeight w:val="197"/>
        </w:trPr>
        <w:tc>
          <w:tcPr>
            <w:tcW w:w="3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SBI bonds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January 2026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26,691</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1,826,693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(26,860)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1,795,952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Agreements</w:t>
      </w:r>
    </w:p>
    <w:p>
      <w:pPr>
        <w:spacing w:after="0" w:line="245" w:lineRule="exact"/>
        <w:rPr>
          <w:sz w:val="20"/>
          <w:szCs w:val="20"/>
          <w:color w:val="auto"/>
        </w:rPr>
      </w:pPr>
    </w:p>
    <w:p>
      <w:pPr>
        <w:ind w:right="80" w:firstLine="622"/>
        <w:spacing w:after="0" w:line="269" w:lineRule="auto"/>
        <w:rPr>
          <w:sz w:val="20"/>
          <w:szCs w:val="20"/>
          <w:color w:val="auto"/>
        </w:rPr>
      </w:pPr>
      <w:r>
        <w:rPr>
          <w:rFonts w:ascii="Arial" w:cs="Arial" w:eastAsia="Arial" w:hAnsi="Arial"/>
          <w:sz w:val="17"/>
          <w:szCs w:val="17"/>
          <w:color w:val="auto"/>
        </w:rPr>
        <w:t>In connection with the ITG Acquisition, Virtu Financial, VFH, and Impala Borrower LLC (the "Acquisition Borrower") entered into a credit agreement, with the lenders party thereto, Jefferies Finance LLC, as administrative agent and Jefferies Finance LLC and RBC Capital Markets, as joint lead arrangers and joint bookrunners (the "Acquisition Credit Agreement").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21" w:name="page22"/>
    <w:bookmarkEnd w:id="21"/>
    <w:p>
      <w:pPr>
        <w:ind w:right="120" w:firstLine="622"/>
        <w:spacing w:after="0" w:line="284" w:lineRule="auto"/>
        <w:rPr>
          <w:sz w:val="20"/>
          <w:szCs w:val="20"/>
          <w:color w:val="auto"/>
        </w:rPr>
      </w:pPr>
      <w:r>
        <w:rPr>
          <w:rFonts w:ascii="Arial" w:cs="Arial" w:eastAsia="Arial" w:hAnsi="Arial"/>
          <w:sz w:val="15"/>
          <w:szCs w:val="15"/>
          <w:color w:val="auto"/>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w:t>
      </w:r>
    </w:p>
    <w:p>
      <w:pPr>
        <w:spacing w:after="0" w:line="243" w:lineRule="auto"/>
        <w:rPr>
          <w:sz w:val="20"/>
          <w:szCs w:val="20"/>
          <w:color w:val="auto"/>
        </w:rPr>
      </w:pPr>
      <w:r>
        <w:rPr>
          <w:rFonts w:ascii="Arial" w:cs="Arial" w:eastAsia="Arial" w:hAnsi="Arial"/>
          <w:sz w:val="17"/>
          <w:szCs w:val="17"/>
          <w:color w:val="auto"/>
        </w:rPr>
        <w:t>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20" w:lineRule="exact"/>
        <w:rPr>
          <w:sz w:val="20"/>
          <w:szCs w:val="20"/>
          <w:color w:val="auto"/>
        </w:rPr>
      </w:pPr>
    </w:p>
    <w:p>
      <w:pPr>
        <w:ind w:right="40" w:firstLine="622"/>
        <w:spacing w:after="0" w:line="258" w:lineRule="auto"/>
        <w:rPr>
          <w:sz w:val="20"/>
          <w:szCs w:val="20"/>
          <w:color w:val="auto"/>
        </w:rPr>
      </w:pPr>
      <w:r>
        <w:rPr>
          <w:rFonts w:ascii="Arial" w:cs="Arial" w:eastAsia="Arial" w:hAnsi="Arial"/>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12" w:lineRule="exact"/>
        <w:rPr>
          <w:sz w:val="20"/>
          <w:szCs w:val="20"/>
          <w:color w:val="auto"/>
        </w:rPr>
      </w:pPr>
    </w:p>
    <w:p>
      <w:pPr>
        <w:ind w:right="60" w:firstLine="622"/>
        <w:spacing w:after="0" w:line="262" w:lineRule="auto"/>
        <w:rPr>
          <w:sz w:val="20"/>
          <w:szCs w:val="20"/>
          <w:color w:val="auto"/>
        </w:rPr>
      </w:pPr>
      <w:r>
        <w:rPr>
          <w:rFonts w:ascii="Arial" w:cs="Arial" w:eastAsia="Arial" w:hAnsi="Arial"/>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4" w:lineRule="exact"/>
        <w:rPr>
          <w:sz w:val="20"/>
          <w:szCs w:val="20"/>
          <w:color w:val="auto"/>
        </w:rPr>
      </w:pPr>
    </w:p>
    <w:p>
      <w:pPr>
        <w:ind w:right="60" w:firstLine="622"/>
        <w:spacing w:after="0" w:line="321" w:lineRule="auto"/>
        <w:rPr>
          <w:sz w:val="20"/>
          <w:szCs w:val="20"/>
          <w:color w:val="auto"/>
        </w:rPr>
      </w:pPr>
      <w:r>
        <w:rPr>
          <w:rFonts w:ascii="Arial" w:cs="Arial" w:eastAsia="Arial" w:hAnsi="Arial"/>
          <w:sz w:val="15"/>
          <w:szCs w:val="15"/>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64" w:lineRule="exact"/>
        <w:rPr>
          <w:sz w:val="20"/>
          <w:szCs w:val="20"/>
          <w:color w:val="auto"/>
        </w:rPr>
      </w:pPr>
    </w:p>
    <w:p>
      <w:pPr>
        <w:ind w:right="140" w:firstLine="622"/>
        <w:spacing w:after="0" w:line="264" w:lineRule="auto"/>
        <w:rPr>
          <w:sz w:val="20"/>
          <w:szCs w:val="20"/>
          <w:color w:val="auto"/>
        </w:rPr>
      </w:pPr>
      <w:r>
        <w:rPr>
          <w:rFonts w:ascii="Arial" w:cs="Arial" w:eastAsia="Arial" w:hAnsi="Arial"/>
          <w:sz w:val="17"/>
          <w:szCs w:val="17"/>
          <w:color w:val="auto"/>
        </w:rPr>
        <w:t>Under the Credit Agreement, the term loans will mature on January 13, 2029. The term loans amortize in annual installments equal to 1.0% of the original aggregate principal amount of the term loans and the Company repaid $18.0 million on January 13, 2023. The revolving commitments will terminate on January 13, 2025. As of September 30, 2023, $1,782 million was outstanding under the term loans, and there were no amounts outstanding under the first lien revolving facility.</w:t>
      </w:r>
    </w:p>
    <w:p>
      <w:pPr>
        <w:spacing w:after="0" w:line="190" w:lineRule="exact"/>
        <w:rPr>
          <w:sz w:val="20"/>
          <w:szCs w:val="20"/>
          <w:color w:val="auto"/>
        </w:rPr>
      </w:pPr>
    </w:p>
    <w:p>
      <w:pPr>
        <w:ind w:right="20" w:firstLine="622"/>
        <w:spacing w:after="0" w:line="277" w:lineRule="auto"/>
        <w:rPr>
          <w:sz w:val="20"/>
          <w:szCs w:val="20"/>
          <w:color w:val="auto"/>
        </w:rPr>
      </w:pPr>
      <w:r>
        <w:rPr>
          <w:rFonts w:ascii="Arial" w:cs="Arial" w:eastAsia="Arial" w:hAnsi="Arial"/>
          <w:sz w:val="15"/>
          <w:szCs w:val="15"/>
          <w:color w:val="auto"/>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w:t>
      </w:r>
    </w:p>
    <w:p>
      <w:pPr>
        <w:spacing w:after="0" w:line="2" w:lineRule="exact"/>
        <w:rPr>
          <w:sz w:val="20"/>
          <w:szCs w:val="20"/>
          <w:color w:val="auto"/>
        </w:rPr>
      </w:pPr>
    </w:p>
    <w:p>
      <w:pPr>
        <w:ind w:right="500"/>
        <w:spacing w:after="0" w:line="268" w:lineRule="auto"/>
        <w:rPr>
          <w:sz w:val="20"/>
          <w:szCs w:val="20"/>
          <w:color w:val="auto"/>
        </w:rPr>
      </w:pPr>
      <w:r>
        <w:rPr>
          <w:rFonts w:ascii="Arial" w:cs="Arial" w:eastAsia="Arial" w:hAnsi="Arial"/>
          <w:sz w:val="17"/>
          <w:szCs w:val="17"/>
          <w:color w:val="auto"/>
        </w:rPr>
        <w:t>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SBI Bonds</w:t>
      </w:r>
    </w:p>
    <w:p>
      <w:pPr>
        <w:spacing w:after="0" w:line="245" w:lineRule="exact"/>
        <w:rPr>
          <w:sz w:val="20"/>
          <w:szCs w:val="20"/>
          <w:color w:val="auto"/>
        </w:rPr>
      </w:pPr>
    </w:p>
    <w:p>
      <w:pPr>
        <w:ind w:right="40" w:firstLine="622"/>
        <w:spacing w:after="0" w:line="277" w:lineRule="auto"/>
        <w:rPr>
          <w:sz w:val="20"/>
          <w:szCs w:val="20"/>
          <w:color w:val="auto"/>
        </w:rPr>
      </w:pPr>
      <w:r>
        <w:rPr>
          <w:rFonts w:ascii="Arial" w:cs="Arial" w:eastAsia="Arial" w:hAnsi="Arial"/>
          <w:sz w:val="16"/>
          <w:szCs w:val="16"/>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($23.4 million) as of September 30, 2023 and ¥3.5 billion ($26.7 million) as of December 31, 2022. The Company had a gain of $0.8 million and a gain of $1.6 million for the three months ended September 30, 2023 and 2022, respectively, and a gain of $3.3 million, and a gain of $6.5 million, during the nine months ended September 30, 2023 and 2022, respectively, due to changes in foreign currency rates.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September 30, 2023, aggregate future required minimum principal payments based on the terms of the long-term borrowings were as follows:</w:t>
      </w:r>
    </w:p>
    <w:p>
      <w:pPr>
        <w:spacing w:after="0" w:line="286" w:lineRule="exact"/>
        <w:rPr>
          <w:sz w:val="20"/>
          <w:szCs w:val="20"/>
          <w:color w:val="auto"/>
        </w:rPr>
      </w:pPr>
    </w:p>
    <w:tbl>
      <w:tblPr>
        <w:tblLayout w:type="fixed"/>
        <w:tblInd w:w="3440" w:type="dxa"/>
        <w:tblCellMar>
          <w:top w:w="0" w:type="dxa"/>
          <w:left w:w="0" w:type="dxa"/>
          <w:bottom w:w="0" w:type="dxa"/>
          <w:right w:w="0" w:type="dxa"/>
        </w:tblCellMar>
      </w:tblPr>
      <w:tr>
        <w:trPr>
          <w:trHeight w:val="179"/>
        </w:trPr>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76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30, 2023</w:t>
            </w:r>
          </w:p>
        </w:tc>
      </w:tr>
      <w:tr>
        <w:trPr>
          <w:trHeight w:val="25"/>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7"/>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288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r>
      <w:tr>
        <w:trPr>
          <w:trHeight w:val="185"/>
        </w:trPr>
        <w:tc>
          <w:tcPr>
            <w:tcW w:w="2880" w:type="dxa"/>
            <w:vAlign w:val="bottom"/>
          </w:tcPr>
          <w:p>
            <w:pPr>
              <w:ind w:left="20"/>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41,432</w:t>
            </w: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r>
      <w:tr>
        <w:trPr>
          <w:trHeight w:val="185"/>
        </w:trPr>
        <w:tc>
          <w:tcPr>
            <w:tcW w:w="2880" w:type="dxa"/>
            <w:vAlign w:val="bottom"/>
          </w:tcPr>
          <w:p>
            <w:pPr>
              <w:ind w:left="20"/>
              <w:spacing w:after="0"/>
              <w:rPr>
                <w:sz w:val="20"/>
                <w:szCs w:val="20"/>
                <w:color w:val="auto"/>
              </w:rPr>
            </w:pPr>
            <w:r>
              <w:rPr>
                <w:rFonts w:ascii="Arial" w:cs="Arial" w:eastAsia="Arial" w:hAnsi="Arial"/>
                <w:sz w:val="14"/>
                <w:szCs w:val="14"/>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19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1,692,000</w:t>
            </w:r>
          </w:p>
        </w:tc>
      </w:tr>
      <w:tr>
        <w:trPr>
          <w:trHeight w:val="194"/>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Total principal of long-term borrowings</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1,805,432</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45" w:lineRule="exact"/>
        <w:rPr>
          <w:sz w:val="20"/>
          <w:szCs w:val="20"/>
          <w:color w:val="auto"/>
        </w:rPr>
      </w:pPr>
    </w:p>
    <w:p>
      <w:pPr>
        <w:ind w:firstLine="622"/>
        <w:spacing w:after="0" w:line="278"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94" w:lineRule="exact"/>
        <w:rPr>
          <w:sz w:val="20"/>
          <w:szCs w:val="20"/>
          <w:color w:val="auto"/>
        </w:rPr>
      </w:pPr>
    </w:p>
    <w:p>
      <w:pPr>
        <w:ind w:right="40" w:firstLine="622"/>
        <w:spacing w:after="0" w:line="305" w:lineRule="auto"/>
        <w:rPr>
          <w:sz w:val="20"/>
          <w:szCs w:val="20"/>
          <w:color w:val="auto"/>
        </w:rPr>
      </w:pPr>
      <w:r>
        <w:rPr>
          <w:rFonts w:ascii="Arial" w:cs="Arial" w:eastAsia="Arial" w:hAnsi="Arial"/>
          <w:sz w:val="15"/>
          <w:szCs w:val="15"/>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3" w:name="page24"/>
    <w:bookmarkEnd w:id="23"/>
    <w:p>
      <w:pPr>
        <w:ind w:left="60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September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0"/>
                <w:szCs w:val="10"/>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Active Markets for</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1200" w:type="dxa"/>
            <w:vAlign w:val="bottom"/>
          </w:tcPr>
          <w:p>
            <w:pPr>
              <w:jc w:val="right"/>
              <w:ind w:right="31"/>
              <w:spacing w:after="0" w:line="143" w:lineRule="exact"/>
              <w:rPr>
                <w:sz w:val="20"/>
                <w:szCs w:val="20"/>
                <w:color w:val="auto"/>
              </w:rPr>
            </w:pPr>
            <w:r>
              <w:rPr>
                <w:rFonts w:ascii="Arial" w:cs="Arial" w:eastAsia="Arial" w:hAnsi="Arial"/>
                <w:sz w:val="14"/>
                <w:szCs w:val="14"/>
                <w:b w:val="1"/>
                <w:bCs w:val="1"/>
                <w:color w:val="auto"/>
                <w:w w:val="88"/>
              </w:rPr>
              <w:t>Observable Inputs</w:t>
            </w:r>
          </w:p>
        </w:tc>
        <w:tc>
          <w:tcPr>
            <w:tcW w:w="100" w:type="dxa"/>
            <w:vAlign w:val="bottom"/>
          </w:tcPr>
          <w:p>
            <w:pPr>
              <w:spacing w:after="0"/>
              <w:rPr>
                <w:sz w:val="12"/>
                <w:szCs w:val="12"/>
                <w:color w:val="auto"/>
              </w:rPr>
            </w:pPr>
          </w:p>
        </w:tc>
        <w:tc>
          <w:tcPr>
            <w:tcW w:w="142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0"/>
              </w:rPr>
              <w:t>Cash Collateral</w:t>
            </w:r>
          </w:p>
        </w:tc>
        <w:tc>
          <w:tcPr>
            <w:tcW w:w="110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w w:val="93"/>
              </w:rPr>
              <w:t>Total Fair Value</w:t>
            </w:r>
          </w:p>
        </w:tc>
        <w:tc>
          <w:tcPr>
            <w:tcW w:w="0" w:type="dxa"/>
            <w:vAlign w:val="bottom"/>
          </w:tcPr>
          <w:p>
            <w:pPr>
              <w:spacing w:after="0"/>
              <w:rPr>
                <w:sz w:val="1"/>
                <w:szCs w:val="1"/>
                <w:color w:val="auto"/>
              </w:rPr>
            </w:pPr>
          </w:p>
        </w:tc>
      </w:tr>
      <w:tr>
        <w:trPr>
          <w:trHeight w:val="187"/>
        </w:trPr>
        <w:tc>
          <w:tcPr>
            <w:tcW w:w="4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0" w:type="dxa"/>
            <w:vAlign w:val="bottom"/>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780,542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1,700,896</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2,481,438</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297,010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2,757,901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3,054,911</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1,332,802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1,332,802</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10,307</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(357,664)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87"/>
        </w:trPr>
        <w:tc>
          <w:tcPr>
            <w:tcW w:w="4440" w:type="dxa"/>
            <w:vAlign w:val="bottom"/>
            <w:gridSpan w:val="2"/>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6,955</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1,084,518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6,162,971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(357,664)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6,889,825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ind w:left="120"/>
              <w:spacing w:after="0"/>
              <w:rPr>
                <w:sz w:val="20"/>
                <w:szCs w:val="20"/>
                <w:color w:val="auto"/>
              </w:rPr>
            </w:pPr>
            <w:r>
              <w:rPr>
                <w:rFonts w:ascii="Arial" w:cs="Arial" w:eastAsia="Arial" w:hAnsi="Arial"/>
                <w:sz w:val="14"/>
                <w:szCs w:val="14"/>
                <w:color w:val="auto"/>
              </w:rPr>
              <w:t>Equity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803,883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582,166</w:t>
            </w:r>
          </w:p>
        </w:tc>
        <w:tc>
          <w:tcPr>
            <w:tcW w:w="32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1,386,049</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Exchange traded notes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11,651</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804,162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593,538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1,397,700</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72,399</w:t>
            </w:r>
          </w:p>
        </w:tc>
        <w:tc>
          <w:tcPr>
            <w:tcW w:w="0" w:type="dxa"/>
            <w:vAlign w:val="bottom"/>
          </w:tcPr>
          <w:p>
            <w:pPr>
              <w:spacing w:after="0"/>
              <w:rPr>
                <w:sz w:val="1"/>
                <w:szCs w:val="1"/>
                <w:color w:val="auto"/>
              </w:rPr>
            </w:pPr>
          </w:p>
        </w:tc>
      </w:tr>
      <w:tr>
        <w:trPr>
          <w:trHeight w:val="187"/>
        </w:trPr>
        <w:tc>
          <w:tcPr>
            <w:tcW w:w="4440" w:type="dxa"/>
            <w:vAlign w:val="bottom"/>
            <w:gridSpan w:val="2"/>
          </w:tcPr>
          <w:p>
            <w:pPr>
              <w:ind w:left="120"/>
              <w:spacing w:after="0"/>
              <w:rPr>
                <w:sz w:val="20"/>
                <w:szCs w:val="20"/>
                <w:color w:val="auto"/>
              </w:rPr>
            </w:pPr>
            <w:r>
              <w:rPr>
                <w:rFonts w:ascii="Arial" w:cs="Arial" w:eastAsia="Arial" w:hAnsi="Arial"/>
                <w:sz w:val="14"/>
                <w:szCs w:val="14"/>
                <w:color w:val="auto"/>
              </w:rPr>
              <w:t>Exchange stock</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74,911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Interest rate swap</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71,662</w:t>
            </w:r>
          </w:p>
        </w:tc>
        <w:tc>
          <w:tcPr>
            <w:tcW w:w="32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71,662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ind w:left="120"/>
              <w:spacing w:after="0"/>
              <w:rPr>
                <w:sz w:val="20"/>
                <w:szCs w:val="20"/>
                <w:color w:val="auto"/>
              </w:rPr>
            </w:pPr>
            <w:r>
              <w:rPr>
                <w:rFonts w:ascii="Arial" w:cs="Arial" w:eastAsia="Arial" w:hAnsi="Arial"/>
                <w:sz w:val="14"/>
                <w:szCs w:val="14"/>
                <w:color w:val="auto"/>
              </w:rPr>
              <w:t>Equity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1,526,139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1,262,717</w:t>
            </w:r>
          </w:p>
        </w:tc>
        <w:tc>
          <w:tcPr>
            <w:tcW w:w="32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2,788,856</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3,585,904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3,860,127</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1,231,572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1,231,572</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Exchange traded notes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56,589</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361,910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Arial" w:cs="Arial" w:eastAsia="Arial" w:hAnsi="Arial"/>
                <w:sz w:val="14"/>
                <w:szCs w:val="14"/>
                <w:color w:val="auto"/>
                <w:w w:val="93"/>
              </w:rPr>
              <w:t>(361,910)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1,804,690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6,498,692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w w:val="93"/>
              </w:rPr>
              <w:t>(361,910)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7,941,472</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66" w:right="359" w:bottom="1440" w:gutter="0" w:footer="0" w:header="0"/>
        </w:sectPr>
      </w:pPr>
    </w:p>
    <w:bookmarkStart w:id="24" w:name="page25"/>
    <w:bookmarkEnd w:id="24"/>
    <w:p>
      <w:pPr>
        <w:ind w:left="62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2022:</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0"/>
                <w:szCs w:val="10"/>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Active Markets for</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1200" w:type="dxa"/>
            <w:vAlign w:val="bottom"/>
          </w:tcPr>
          <w:p>
            <w:pPr>
              <w:jc w:val="right"/>
              <w:ind w:right="31"/>
              <w:spacing w:after="0" w:line="143" w:lineRule="exact"/>
              <w:rPr>
                <w:sz w:val="20"/>
                <w:szCs w:val="20"/>
                <w:color w:val="auto"/>
              </w:rPr>
            </w:pPr>
            <w:r>
              <w:rPr>
                <w:rFonts w:ascii="Arial" w:cs="Arial" w:eastAsia="Arial" w:hAnsi="Arial"/>
                <w:sz w:val="14"/>
                <w:szCs w:val="14"/>
                <w:b w:val="1"/>
                <w:bCs w:val="1"/>
                <w:color w:val="auto"/>
                <w:w w:val="88"/>
              </w:rPr>
              <w:t>Observable Inputs</w:t>
            </w:r>
          </w:p>
        </w:tc>
        <w:tc>
          <w:tcPr>
            <w:tcW w:w="100" w:type="dxa"/>
            <w:vAlign w:val="bottom"/>
          </w:tcPr>
          <w:p>
            <w:pPr>
              <w:spacing w:after="0"/>
              <w:rPr>
                <w:sz w:val="12"/>
                <w:szCs w:val="12"/>
                <w:color w:val="auto"/>
              </w:rPr>
            </w:pPr>
          </w:p>
        </w:tc>
        <w:tc>
          <w:tcPr>
            <w:tcW w:w="142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0"/>
              </w:rPr>
              <w:t>Cash Collateral</w:t>
            </w:r>
          </w:p>
        </w:tc>
        <w:tc>
          <w:tcPr>
            <w:tcW w:w="110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w w:val="93"/>
              </w:rPr>
              <w:t>Total Fair Value</w:t>
            </w:r>
          </w:p>
        </w:tc>
        <w:tc>
          <w:tcPr>
            <w:tcW w:w="0" w:type="dxa"/>
            <w:vAlign w:val="bottom"/>
          </w:tcPr>
          <w:p>
            <w:pPr>
              <w:spacing w:after="0"/>
              <w:rPr>
                <w:sz w:val="1"/>
                <w:szCs w:val="1"/>
                <w:color w:val="auto"/>
              </w:rPr>
            </w:pPr>
          </w:p>
        </w:tc>
      </w:tr>
      <w:tr>
        <w:trPr>
          <w:trHeight w:val="187"/>
        </w:trPr>
        <w:tc>
          <w:tcPr>
            <w:tcW w:w="4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0" w:type="dxa"/>
            <w:vAlign w:val="bottom"/>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Financial instruments owned, at fair value: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461,487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1,545,116</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2,006,603</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251,708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575,946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827,654</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803,880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803,880</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16,828</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(493,237)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0" w:type="dxa"/>
            <w:vAlign w:val="bottom"/>
          </w:tcPr>
          <w:p>
            <w:pPr>
              <w:spacing w:after="0"/>
              <w:rPr>
                <w:sz w:val="1"/>
                <w:szCs w:val="1"/>
                <w:color w:val="auto"/>
              </w:rPr>
            </w:pPr>
          </w:p>
        </w:tc>
      </w:tr>
      <w:tr>
        <w:trPr>
          <w:trHeight w:val="18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5,200</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718,446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3,442,272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(493,237)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3,667,481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Financial instruments owned, pledged as collateral:</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404,802</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957,443</w:t>
            </w:r>
          </w:p>
        </w:tc>
        <w:tc>
          <w:tcPr>
            <w:tcW w:w="0" w:type="dxa"/>
            <w:vAlign w:val="bottom"/>
          </w:tcPr>
          <w:p>
            <w:pPr>
              <w:spacing w:after="0"/>
              <w:rPr>
                <w:sz w:val="1"/>
                <w:szCs w:val="1"/>
                <w:color w:val="auto"/>
              </w:rPr>
            </w:pPr>
          </w:p>
        </w:tc>
      </w:tr>
      <w:tr>
        <w:trPr>
          <w:trHeight w:val="18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5,628</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552,647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410,424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963,071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76,613</w:t>
            </w:r>
          </w:p>
        </w:tc>
        <w:tc>
          <w:tcPr>
            <w:tcW w:w="0" w:type="dxa"/>
            <w:vAlign w:val="bottom"/>
          </w:tcPr>
          <w:p>
            <w:pPr>
              <w:spacing w:after="0"/>
              <w:rPr>
                <w:sz w:val="1"/>
                <w:szCs w:val="1"/>
                <w:color w:val="auto"/>
              </w:rPr>
            </w:pPr>
          </w:p>
        </w:tc>
      </w:tr>
      <w:tr>
        <w:trPr>
          <w:trHeight w:val="18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Exchange stock</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94"/>
        </w:trPr>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78,965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Interest rate swap</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87,268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87,268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Financial instruments sold, not yet purchased, at fair value:</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Equity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1,146,701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1,016,893</w:t>
            </w:r>
          </w:p>
        </w:tc>
        <w:tc>
          <w:tcPr>
            <w:tcW w:w="32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2,163,594</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837,898</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1,183,394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1,183,394</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Exchange traded notes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497,799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Arial" w:cs="Arial" w:eastAsia="Arial" w:hAnsi="Arial"/>
                <w:sz w:val="14"/>
                <w:szCs w:val="14"/>
                <w:color w:val="auto"/>
                <w:w w:val="93"/>
              </w:rPr>
              <w:t>(497,799)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1,298,008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3,396,765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w w:val="93"/>
              </w:rPr>
              <w:t>(497,799)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4,196,974</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JNX Investment</w:t>
      </w:r>
    </w:p>
    <w:p>
      <w:pPr>
        <w:spacing w:after="0" w:line="245" w:lineRule="exact"/>
        <w:rPr>
          <w:sz w:val="20"/>
          <w:szCs w:val="20"/>
          <w:color w:val="auto"/>
        </w:rPr>
      </w:pPr>
    </w:p>
    <w:p>
      <w:pPr>
        <w:ind w:right="60" w:firstLine="622"/>
        <w:spacing w:after="0" w:line="258" w:lineRule="auto"/>
        <w:rPr>
          <w:sz w:val="20"/>
          <w:szCs w:val="20"/>
          <w:color w:val="auto"/>
        </w:rPr>
      </w:pPr>
      <w:r>
        <w:rPr>
          <w:rFonts w:ascii="Arial" w:cs="Arial" w:eastAsia="Arial" w:hAnsi="Arial"/>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September 30, 2023 and December 31, 2022,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25" w:name="page26"/>
    <w:bookmarkEnd w:id="25"/>
    <w:p>
      <w:pPr>
        <w:ind w:left="600"/>
        <w:spacing w:after="0"/>
        <w:rPr>
          <w:sz w:val="20"/>
          <w:szCs w:val="20"/>
          <w:color w:val="auto"/>
        </w:rPr>
      </w:pPr>
      <w:r>
        <w:rPr>
          <w:rFonts w:ascii="Arial" w:cs="Arial" w:eastAsia="Arial" w:hAnsi="Arial"/>
          <w:sz w:val="16"/>
          <w:szCs w:val="16"/>
          <w:color w:val="auto"/>
        </w:rPr>
        <w:t>The table below presents information on the valuation techniques, significant unobservable inputs and their ranges for the JNX Investment:</w:t>
      </w:r>
    </w:p>
    <w:p>
      <w:pPr>
        <w:spacing w:after="0" w:line="286" w:lineRule="exact"/>
        <w:rPr>
          <w:sz w:val="20"/>
          <w:szCs w:val="20"/>
          <w:color w:val="auto"/>
        </w:rPr>
      </w:pPr>
    </w:p>
    <w:tbl>
      <w:tblPr>
        <w:tblLayout w:type="fixed"/>
        <w:tblInd w:w="640" w:type="dxa"/>
        <w:tblCellMar>
          <w:top w:w="0" w:type="dxa"/>
          <w:left w:w="0" w:type="dxa"/>
          <w:bottom w:w="0" w:type="dxa"/>
          <w:right w:w="0" w:type="dxa"/>
        </w:tblCellMar>
      </w:tblPr>
      <w:tr>
        <w:trPr>
          <w:trHeight w:val="179"/>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40" w:type="dxa"/>
            <w:vAlign w:val="bottom"/>
          </w:tcPr>
          <w:p>
            <w:pPr>
              <w:ind w:left="360"/>
              <w:spacing w:after="0"/>
              <w:rPr>
                <w:sz w:val="20"/>
                <w:szCs w:val="20"/>
                <w:color w:val="auto"/>
              </w:rPr>
            </w:pPr>
            <w:r>
              <w:rPr>
                <w:rFonts w:ascii="Arial" w:cs="Arial" w:eastAsia="Arial" w:hAnsi="Arial"/>
                <w:sz w:val="14"/>
                <w:szCs w:val="14"/>
                <w:b w:val="1"/>
                <w:bCs w:val="1"/>
                <w:color w:val="auto"/>
              </w:rPr>
              <w:t>September 30, 2023</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Fair Value</w:t>
            </w:r>
          </w:p>
        </w:tc>
        <w:tc>
          <w:tcPr>
            <w:tcW w:w="16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9"/>
              </w:rPr>
              <w:t>Valuation Technique</w:t>
            </w:r>
          </w:p>
        </w:tc>
        <w:tc>
          <w:tcPr>
            <w:tcW w:w="1940" w:type="dxa"/>
            <w:vAlign w:val="bottom"/>
          </w:tcPr>
          <w:p>
            <w:pPr>
              <w:ind w:left="220"/>
              <w:spacing w:after="0" w:line="126" w:lineRule="exact"/>
              <w:rPr>
                <w:sz w:val="20"/>
                <w:szCs w:val="20"/>
                <w:color w:val="auto"/>
              </w:rPr>
            </w:pPr>
            <w:r>
              <w:rPr>
                <w:rFonts w:ascii="Arial" w:cs="Arial" w:eastAsia="Arial" w:hAnsi="Arial"/>
                <w:sz w:val="14"/>
                <w:szCs w:val="14"/>
                <w:b w:val="1"/>
                <w:bCs w:val="1"/>
                <w:color w:val="auto"/>
              </w:rPr>
              <w:t>Significant Unobservable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25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Input</w:t>
            </w:r>
          </w:p>
        </w:tc>
        <w:tc>
          <w:tcPr>
            <w:tcW w:w="132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72,399</w:t>
            </w:r>
          </w:p>
        </w:tc>
        <w:tc>
          <w:tcPr>
            <w:tcW w:w="1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revenue growth</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- 6.4%</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Discount rate</w:t>
            </w:r>
          </w:p>
        </w:tc>
        <w:tc>
          <w:tcPr>
            <w:tcW w:w="620" w:type="dxa"/>
            <w:vAlign w:val="bottom"/>
          </w:tcPr>
          <w:p>
            <w:pPr>
              <w:jc w:val="right"/>
              <w:spacing w:after="0"/>
              <w:rPr>
                <w:sz w:val="20"/>
                <w:szCs w:val="20"/>
                <w:color w:val="auto"/>
              </w:rPr>
            </w:pPr>
            <w:r>
              <w:rPr>
                <w:rFonts w:ascii="Arial" w:cs="Arial" w:eastAsia="Arial" w:hAnsi="Arial"/>
                <w:sz w:val="14"/>
                <w:szCs w:val="14"/>
                <w:color w:val="auto"/>
              </w:rPr>
              <w:t>16.3%</w:t>
            </w:r>
          </w:p>
        </w:tc>
        <w:tc>
          <w:tcPr>
            <w:tcW w:w="700" w:type="dxa"/>
            <w:vAlign w:val="bottom"/>
          </w:tcPr>
          <w:p>
            <w:pPr>
              <w:ind w:left="20"/>
              <w:spacing w:after="0"/>
              <w:rPr>
                <w:sz w:val="20"/>
                <w:szCs w:val="20"/>
                <w:color w:val="auto"/>
              </w:rPr>
            </w:pPr>
            <w:r>
              <w:rPr>
                <w:rFonts w:ascii="Arial" w:cs="Arial" w:eastAsia="Arial" w:hAnsi="Arial"/>
                <w:sz w:val="14"/>
                <w:szCs w:val="14"/>
                <w:color w:val="auto"/>
              </w:rPr>
              <w:t>- 16.3%</w:t>
            </w:r>
          </w:p>
        </w:tc>
        <w:tc>
          <w:tcPr>
            <w:tcW w:w="1380" w:type="dxa"/>
            <w:vAlign w:val="bottom"/>
          </w:tcPr>
          <w:p>
            <w:pPr>
              <w:jc w:val="right"/>
              <w:spacing w:after="0"/>
              <w:rPr>
                <w:sz w:val="20"/>
                <w:szCs w:val="20"/>
                <w:color w:val="auto"/>
              </w:rPr>
            </w:pPr>
            <w:r>
              <w:rPr>
                <w:rFonts w:ascii="Arial" w:cs="Arial" w:eastAsia="Arial" w:hAnsi="Arial"/>
                <w:sz w:val="14"/>
                <w:szCs w:val="14"/>
                <w:color w:val="auto"/>
              </w:rPr>
              <w:t>16.3 %</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Market</w:t>
            </w:r>
          </w:p>
        </w:tc>
        <w:tc>
          <w:tcPr>
            <w:tcW w:w="194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Future enterprise value/</w:t>
            </w:r>
          </w:p>
        </w:tc>
        <w:tc>
          <w:tcPr>
            <w:tcW w:w="13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8.6x - 17.6x</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11.8x</w:t>
            </w: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EBIDTA ratio</w:t>
            </w:r>
          </w:p>
        </w:tc>
        <w:tc>
          <w:tcPr>
            <w:tcW w:w="1320" w:type="dxa"/>
            <w:vAlign w:val="bottom"/>
            <w:gridSpan w:val="2"/>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tbl>
      <w:tblPr>
        <w:tblLayout w:type="fixed"/>
        <w:tblInd w:w="68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ind w:left="380"/>
              <w:spacing w:after="0"/>
              <w:rPr>
                <w:sz w:val="20"/>
                <w:szCs w:val="20"/>
                <w:color w:val="auto"/>
              </w:rPr>
            </w:pPr>
            <w:r>
              <w:rPr>
                <w:rFonts w:ascii="Arial" w:cs="Arial" w:eastAsia="Arial" w:hAnsi="Arial"/>
                <w:sz w:val="14"/>
                <w:szCs w:val="14"/>
                <w:b w:val="1"/>
                <w:bCs w:val="1"/>
                <w:color w:val="auto"/>
              </w:rPr>
              <w:t>December 31, 2022</w:t>
            </w:r>
          </w:p>
        </w:tc>
        <w:tc>
          <w:tcPr>
            <w:tcW w:w="1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Fair Value</w:t>
            </w:r>
          </w:p>
        </w:tc>
        <w:tc>
          <w:tcPr>
            <w:tcW w:w="16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9"/>
              </w:rPr>
              <w:t>Valuation Technique</w:t>
            </w:r>
          </w:p>
        </w:tc>
        <w:tc>
          <w:tcPr>
            <w:tcW w:w="1920" w:type="dxa"/>
            <w:vAlign w:val="bottom"/>
          </w:tcPr>
          <w:p>
            <w:pPr>
              <w:ind w:left="200"/>
              <w:spacing w:after="0" w:line="123" w:lineRule="exact"/>
              <w:rPr>
                <w:sz w:val="20"/>
                <w:szCs w:val="20"/>
                <w:color w:val="auto"/>
              </w:rPr>
            </w:pPr>
            <w:r>
              <w:rPr>
                <w:rFonts w:ascii="Arial" w:cs="Arial" w:eastAsia="Arial" w:hAnsi="Arial"/>
                <w:sz w:val="14"/>
                <w:szCs w:val="14"/>
                <w:b w:val="1"/>
                <w:bCs w:val="1"/>
                <w:color w:val="auto"/>
              </w:rPr>
              <w:t>Significant Unobservable</w:t>
            </w: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Range</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Input</w:t>
            </w:r>
          </w:p>
        </w:tc>
        <w:tc>
          <w:tcPr>
            <w:tcW w:w="13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76,613</w:t>
            </w:r>
          </w:p>
        </w:tc>
        <w:tc>
          <w:tcPr>
            <w:tcW w:w="1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Discounted cash flow</w:t>
            </w:r>
          </w:p>
        </w:tc>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Estimated revenue growth</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 - 5.0%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40"/>
              <w:spacing w:after="0"/>
              <w:rPr>
                <w:sz w:val="20"/>
                <w:szCs w:val="20"/>
                <w:color w:val="auto"/>
              </w:rPr>
            </w:pPr>
            <w:r>
              <w:rPr>
                <w:rFonts w:ascii="Arial" w:cs="Arial" w:eastAsia="Arial" w:hAnsi="Arial"/>
                <w:sz w:val="14"/>
                <w:szCs w:val="14"/>
                <w:color w:val="auto"/>
              </w:rPr>
              <w:t>Discount rate</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15.5% - 15.5%</w:t>
            </w:r>
          </w:p>
        </w:tc>
        <w:tc>
          <w:tcPr>
            <w:tcW w:w="1380" w:type="dxa"/>
            <w:vAlign w:val="bottom"/>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139"/>
        </w:trPr>
        <w:tc>
          <w:tcPr>
            <w:tcW w:w="2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Market</w:t>
            </w:r>
          </w:p>
        </w:tc>
        <w:tc>
          <w:tcPr>
            <w:tcW w:w="19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Future enterprise value/</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(1.2)x - 18.1x</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12.2x</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EBIDTA ratio</w:t>
            </w:r>
          </w:p>
        </w:tc>
        <w:tc>
          <w:tcPr>
            <w:tcW w:w="13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Changes in the fair value of the JNX Investment are included within Other, net in the Consolidated Statements of Comprehensive Income.</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presents the changes in the Company's Level 3 financial instruments measured at fair value on a recurring basis:</w:t>
      </w:r>
    </w:p>
    <w:p>
      <w:pPr>
        <w:sectPr>
          <w:pgSz w:w="11900" w:h="16838" w:orient="portrait"/>
          <w:cols w:equalWidth="0" w:num="1">
            <w:col w:w="11220"/>
          </w:cols>
          <w:pgMar w:left="340" w:top="8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27305</wp:posOffset>
            </wp:positionV>
            <wp:extent cx="1457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Equity investment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4"/>
          <w:szCs w:val="14"/>
          <w:b w:val="1"/>
          <w:bCs w:val="1"/>
          <w:color w:val="auto"/>
        </w:rPr>
        <w:t>Three Months Ended September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31"/>
              <w:spacing w:after="0" w:line="146"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Unrealized Gains /</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 Realized and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31"/>
              <w:spacing w:after="0" w:line="139" w:lineRule="exact"/>
              <w:rPr>
                <w:sz w:val="20"/>
                <w:szCs w:val="20"/>
                <w:color w:val="auto"/>
              </w:rPr>
            </w:pPr>
            <w:r>
              <w:rPr>
                <w:rFonts w:ascii="Arial" w:cs="Arial" w:eastAsia="Arial" w:hAnsi="Arial"/>
                <w:sz w:val="14"/>
                <w:szCs w:val="14"/>
                <w:b w:val="1"/>
                <w:bCs w:val="1"/>
                <w:color w:val="auto"/>
                <w:w w:val="81"/>
              </w:rPr>
              <w:t>(Losses) on</w:t>
            </w:r>
          </w:p>
        </w:tc>
        <w:tc>
          <w:tcPr>
            <w:tcW w:w="0" w:type="dxa"/>
            <w:vAlign w:val="bottom"/>
          </w:tcPr>
          <w:p>
            <w:pPr>
              <w:spacing w:after="0"/>
              <w:rPr>
                <w:sz w:val="1"/>
                <w:szCs w:val="1"/>
                <w:color w:val="auto"/>
              </w:rPr>
            </w:pPr>
          </w:p>
        </w:tc>
      </w:tr>
      <w:tr>
        <w:trPr>
          <w:trHeight w:val="133"/>
        </w:trPr>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Balance at June 30,</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Net Transfers into</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1"/>
                <w:szCs w:val="11"/>
                <w:color w:val="auto"/>
              </w:rPr>
            </w:pPr>
          </w:p>
        </w:tc>
        <w:tc>
          <w:tcPr>
            <w:tcW w:w="1100" w:type="dxa"/>
            <w:vAlign w:val="bottom"/>
          </w:tcPr>
          <w:p>
            <w:pPr>
              <w:jc w:val="center"/>
              <w:ind w:right="31"/>
              <w:spacing w:after="0" w:line="133" w:lineRule="exact"/>
              <w:rPr>
                <w:sz w:val="20"/>
                <w:szCs w:val="20"/>
                <w:color w:val="auto"/>
              </w:rPr>
            </w:pPr>
            <w:r>
              <w:rPr>
                <w:rFonts w:ascii="Arial" w:cs="Arial" w:eastAsia="Arial" w:hAnsi="Arial"/>
                <w:sz w:val="14"/>
                <w:szCs w:val="14"/>
                <w:b w:val="1"/>
                <w:bCs w:val="1"/>
                <w:color w:val="auto"/>
                <w:w w:val="87"/>
              </w:rPr>
              <w:t>Investments still</w:t>
            </w:r>
          </w:p>
        </w:tc>
        <w:tc>
          <w:tcPr>
            <w:tcW w:w="0" w:type="dxa"/>
            <w:vAlign w:val="bottom"/>
          </w:tcPr>
          <w:p>
            <w:pPr>
              <w:spacing w:after="0"/>
              <w:rPr>
                <w:sz w:val="1"/>
                <w:szCs w:val="1"/>
                <w:color w:val="auto"/>
              </w:rPr>
            </w:pPr>
          </w:p>
        </w:tc>
      </w:tr>
      <w:tr>
        <w:trPr>
          <w:trHeight w:val="143"/>
        </w:trPr>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26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Unrealized Gains /</w:t>
            </w: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held at September</w:t>
            </w:r>
          </w:p>
        </w:tc>
        <w:tc>
          <w:tcPr>
            <w:tcW w:w="0" w:type="dxa"/>
            <w:vAlign w:val="bottom"/>
          </w:tcPr>
          <w:p>
            <w:pPr>
              <w:spacing w:after="0"/>
              <w:rPr>
                <w:sz w:val="1"/>
                <w:szCs w:val="1"/>
                <w:color w:val="auto"/>
              </w:rPr>
            </w:pPr>
          </w:p>
        </w:tc>
      </w:tr>
      <w:tr>
        <w:trPr>
          <w:trHeight w:val="185"/>
        </w:trPr>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6"/>
              </w:rPr>
              <w:t>(Losses) (1)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0"/>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30, 2023</w:t>
            </w:r>
          </w:p>
        </w:tc>
        <w:tc>
          <w:tcPr>
            <w:tcW w:w="0" w:type="dxa"/>
            <w:vAlign w:val="bottom"/>
          </w:tcPr>
          <w:p>
            <w:pPr>
              <w:spacing w:after="0"/>
              <w:rPr>
                <w:sz w:val="1"/>
                <w:szCs w:val="1"/>
                <w:color w:val="auto"/>
              </w:rPr>
            </w:pPr>
          </w:p>
        </w:tc>
      </w:tr>
      <w:tr>
        <w:trPr>
          <w:trHeight w:val="557"/>
        </w:trPr>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71,059</w:t>
            </w:r>
          </w:p>
        </w:tc>
        <w:tc>
          <w:tcPr>
            <w:tcW w:w="100" w:type="dxa"/>
            <w:vAlign w:val="bottom"/>
          </w:tcPr>
          <w:p>
            <w:pPr>
              <w:spacing w:after="0"/>
              <w:rPr>
                <w:sz w:val="24"/>
                <w:szCs w:val="2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1,340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72,399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25"/>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71,059</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1,340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72,399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-365760</wp:posOffset>
            </wp:positionV>
            <wp:extent cx="7138035" cy="123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-118745</wp:posOffset>
            </wp:positionV>
            <wp:extent cx="7138035" cy="147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1640" w:space="720"/>
            <w:col w:w="8860"/>
          </w:cols>
          <w:pgMar w:left="340" w:top="866" w:right="339" w:bottom="1440" w:gutter="0" w:footer="0" w:header="0"/>
          <w:type w:val="continuous"/>
        </w:sectPr>
      </w:pPr>
    </w:p>
    <w:p>
      <w:pPr>
        <w:spacing w:after="0"/>
        <w:rPr>
          <w:sz w:val="20"/>
          <w:szCs w:val="20"/>
          <w:color w:val="auto"/>
        </w:rPr>
      </w:pPr>
      <w:r>
        <w:rPr>
          <w:rFonts w:ascii="Arial" w:cs="Arial" w:eastAsia="Arial" w:hAnsi="Arial"/>
          <w:sz w:val="12"/>
          <w:szCs w:val="12"/>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-75565</wp:posOffset>
            </wp:positionV>
            <wp:extent cx="56229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2925" cy="8255"/>
                    </a:xfrm>
                    <a:prstGeom prst="rect">
                      <a:avLst/>
                    </a:prstGeom>
                    <a:noFill/>
                  </pic:spPr>
                </pic:pic>
              </a:graphicData>
            </a:graphic>
          </wp:anchor>
        </w:drawing>
      </w:r>
    </w:p>
    <w:p>
      <w:pPr>
        <w:sectPr>
          <w:pgSz w:w="11900" w:h="16838" w:orient="portrait"/>
          <w:cols w:equalWidth="0" w:num="1">
            <w:col w:w="11220"/>
          </w:cols>
          <w:pgMar w:left="340" w:top="8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27305</wp:posOffset>
            </wp:positionV>
            <wp:extent cx="1457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Equity investment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220"/>
        <w:spacing w:after="0"/>
        <w:rPr>
          <w:sz w:val="20"/>
          <w:szCs w:val="20"/>
          <w:color w:val="auto"/>
        </w:rPr>
      </w:pPr>
      <w:r>
        <w:rPr>
          <w:rFonts w:ascii="Arial" w:cs="Arial" w:eastAsia="Arial" w:hAnsi="Arial"/>
          <w:sz w:val="14"/>
          <w:szCs w:val="14"/>
          <w:b w:val="1"/>
          <w:bCs w:val="1"/>
          <w:color w:val="auto"/>
        </w:rPr>
        <w:t>Three Months Ended 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31"/>
              <w:spacing w:after="0" w:line="146"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8"/>
              </w:rPr>
              <w:t>Unrealized Gains /</w:t>
            </w: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 Realized and</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31"/>
              <w:spacing w:after="0" w:line="133" w:lineRule="exact"/>
              <w:rPr>
                <w:sz w:val="20"/>
                <w:szCs w:val="20"/>
                <w:color w:val="auto"/>
              </w:rPr>
            </w:pPr>
            <w:r>
              <w:rPr>
                <w:rFonts w:ascii="Arial" w:cs="Arial" w:eastAsia="Arial" w:hAnsi="Arial"/>
                <w:sz w:val="14"/>
                <w:szCs w:val="14"/>
                <w:b w:val="1"/>
                <w:bCs w:val="1"/>
                <w:color w:val="auto"/>
                <w:w w:val="81"/>
              </w:rPr>
              <w:t>(Losses) on</w:t>
            </w:r>
          </w:p>
        </w:tc>
        <w:tc>
          <w:tcPr>
            <w:tcW w:w="0" w:type="dxa"/>
            <w:vAlign w:val="bottom"/>
          </w:tcPr>
          <w:p>
            <w:pPr>
              <w:spacing w:after="0"/>
              <w:rPr>
                <w:sz w:val="1"/>
                <w:szCs w:val="1"/>
                <w:color w:val="auto"/>
              </w:rPr>
            </w:pPr>
          </w:p>
        </w:tc>
      </w:tr>
      <w:tr>
        <w:trPr>
          <w:trHeight w:val="143"/>
        </w:trPr>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Balance at June 30,</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11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Investments still</w:t>
            </w:r>
          </w:p>
        </w:tc>
        <w:tc>
          <w:tcPr>
            <w:tcW w:w="0" w:type="dxa"/>
            <w:vAlign w:val="bottom"/>
          </w:tcPr>
          <w:p>
            <w:pPr>
              <w:spacing w:after="0"/>
              <w:rPr>
                <w:sz w:val="1"/>
                <w:szCs w:val="1"/>
                <w:color w:val="auto"/>
              </w:rPr>
            </w:pPr>
          </w:p>
        </w:tc>
      </w:tr>
      <w:tr>
        <w:trPr>
          <w:trHeight w:val="139"/>
        </w:trPr>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2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Unrealized Gains /</w:t>
            </w: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8"/>
              </w:rPr>
              <w:t>held at September</w:t>
            </w:r>
          </w:p>
        </w:tc>
        <w:tc>
          <w:tcPr>
            <w:tcW w:w="0" w:type="dxa"/>
            <w:vAlign w:val="bottom"/>
          </w:tcPr>
          <w:p>
            <w:pPr>
              <w:spacing w:after="0"/>
              <w:rPr>
                <w:sz w:val="1"/>
                <w:szCs w:val="1"/>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6"/>
              </w:rPr>
              <w:t>(Losses) (1)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0"/>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30, 2022</w:t>
            </w:r>
          </w:p>
        </w:tc>
        <w:tc>
          <w:tcPr>
            <w:tcW w:w="0" w:type="dxa"/>
            <w:vAlign w:val="bottom"/>
          </w:tcPr>
          <w:p>
            <w:pPr>
              <w:spacing w:after="0"/>
              <w:rPr>
                <w:sz w:val="1"/>
                <w:szCs w:val="1"/>
                <w:color w:val="auto"/>
              </w:rPr>
            </w:pPr>
          </w:p>
        </w:tc>
      </w:tr>
      <w:tr>
        <w:trPr>
          <w:trHeight w:val="557"/>
        </w:trPr>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77,562</w:t>
            </w:r>
          </w:p>
        </w:tc>
        <w:tc>
          <w:tcPr>
            <w:tcW w:w="100" w:type="dxa"/>
            <w:vAlign w:val="bottom"/>
          </w:tcPr>
          <w:p>
            <w:pPr>
              <w:spacing w:after="0"/>
              <w:rPr>
                <w:sz w:val="24"/>
                <w:szCs w:val="2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(5,937)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71,625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(5,937)</w:t>
            </w:r>
          </w:p>
        </w:tc>
        <w:tc>
          <w:tcPr>
            <w:tcW w:w="0" w:type="dxa"/>
            <w:vAlign w:val="bottom"/>
          </w:tcPr>
          <w:p>
            <w:pPr>
              <w:spacing w:after="0"/>
              <w:rPr>
                <w:sz w:val="1"/>
                <w:szCs w:val="1"/>
                <w:color w:val="auto"/>
              </w:rPr>
            </w:pPr>
          </w:p>
        </w:tc>
      </w:tr>
      <w:tr>
        <w:trPr>
          <w:trHeight w:val="25"/>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77,562</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(5,937)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71,625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-365760</wp:posOffset>
            </wp:positionV>
            <wp:extent cx="7138035" cy="123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-118745</wp:posOffset>
            </wp:positionV>
            <wp:extent cx="7138035" cy="147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1640" w:space="720"/>
            <w:col w:w="8860"/>
          </w:cols>
          <w:pgMar w:left="340" w:top="866" w:right="339" w:bottom="1440" w:gutter="0" w:footer="0" w:header="0"/>
          <w:type w:val="continuous"/>
        </w:sectPr>
      </w:pPr>
    </w:p>
    <w:p>
      <w:pPr>
        <w:spacing w:after="0"/>
        <w:rPr>
          <w:sz w:val="20"/>
          <w:szCs w:val="20"/>
          <w:color w:val="auto"/>
        </w:rPr>
      </w:pPr>
      <w:r>
        <w:rPr>
          <w:rFonts w:ascii="Arial" w:cs="Arial" w:eastAsia="Arial" w:hAnsi="Arial"/>
          <w:sz w:val="12"/>
          <w:szCs w:val="12"/>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-75565</wp:posOffset>
            </wp:positionV>
            <wp:extent cx="5622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2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66" w:right="33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1407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Equity investment</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Arial" w:cs="Arial" w:eastAsia="Arial" w:hAnsi="Arial"/>
          <w:sz w:val="14"/>
          <w:szCs w:val="14"/>
          <w:b w:val="1"/>
          <w:bCs w:val="1"/>
          <w:color w:val="auto"/>
        </w:rPr>
        <w:t>Nine Months Ended September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31"/>
              <w:spacing w:after="0" w:line="146"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8"/>
              </w:rPr>
              <w:t>Unrealized Gains /</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31"/>
              <w:spacing w:after="0" w:line="133" w:lineRule="exact"/>
              <w:rPr>
                <w:sz w:val="20"/>
                <w:szCs w:val="20"/>
                <w:color w:val="auto"/>
              </w:rPr>
            </w:pPr>
            <w:r>
              <w:rPr>
                <w:rFonts w:ascii="Arial" w:cs="Arial" w:eastAsia="Arial" w:hAnsi="Arial"/>
                <w:sz w:val="14"/>
                <w:szCs w:val="14"/>
                <w:b w:val="1"/>
                <w:bCs w:val="1"/>
                <w:color w:val="auto"/>
                <w:w w:val="81"/>
              </w:rPr>
              <w:t>(Losses) on</w:t>
            </w: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11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Investments still</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88"/>
              </w:rPr>
              <w:t>Unrealized Gains /</w:t>
            </w: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Settlement</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8"/>
              </w:rPr>
              <w:t>held at September</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December 31, 2022</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6"/>
              </w:rPr>
              <w:t>(Losses) (1)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30, 2023</w:t>
            </w:r>
          </w:p>
        </w:tc>
        <w:tc>
          <w:tcPr>
            <w:tcW w:w="0" w:type="dxa"/>
            <w:vAlign w:val="bottom"/>
          </w:tcPr>
          <w:p>
            <w:pPr>
              <w:spacing w:after="0"/>
              <w:rPr>
                <w:sz w:val="1"/>
                <w:szCs w:val="1"/>
                <w:color w:val="auto"/>
              </w:rPr>
            </w:pPr>
          </w:p>
        </w:tc>
      </w:tr>
      <w:tr>
        <w:trPr>
          <w:trHeight w:val="557"/>
        </w:trPr>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76,613</w:t>
            </w:r>
          </w:p>
        </w:tc>
        <w:tc>
          <w:tcPr>
            <w:tcW w:w="100" w:type="dxa"/>
            <w:vAlign w:val="bottom"/>
          </w:tcPr>
          <w:p>
            <w:pPr>
              <w:spacing w:after="0"/>
              <w:rPr>
                <w:sz w:val="24"/>
                <w:szCs w:val="24"/>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(4,214)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72,399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(4,214)</w:t>
            </w:r>
          </w:p>
        </w:tc>
        <w:tc>
          <w:tcPr>
            <w:tcW w:w="0" w:type="dxa"/>
            <w:vAlign w:val="bottom"/>
          </w:tcPr>
          <w:p>
            <w:pPr>
              <w:spacing w:after="0"/>
              <w:rPr>
                <w:sz w:val="1"/>
                <w:szCs w:val="1"/>
                <w:color w:val="auto"/>
              </w:rPr>
            </w:pPr>
          </w:p>
        </w:tc>
      </w:tr>
      <w:tr>
        <w:trPr>
          <w:trHeight w:val="25"/>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76,613</w:t>
            </w:r>
          </w:p>
        </w:tc>
        <w:tc>
          <w:tcPr>
            <w:tcW w:w="100" w:type="dxa"/>
            <w:vAlign w:val="bottom"/>
          </w:tcPr>
          <w:p>
            <w:pPr>
              <w:spacing w:after="0"/>
              <w:rPr>
                <w:sz w:val="14"/>
                <w:szCs w:val="14"/>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(4,214)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72,399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-365760</wp:posOffset>
            </wp:positionV>
            <wp:extent cx="7138035" cy="123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-1470025</wp:posOffset>
            </wp:positionH>
            <wp:positionV relativeFrom="paragraph">
              <wp:posOffset>-118745</wp:posOffset>
            </wp:positionV>
            <wp:extent cx="7138035" cy="147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1600" w:space="720"/>
            <w:col w:w="8920"/>
          </w:cols>
          <w:pgMar w:left="320" w:top="895" w:right="339" w:bottom="1440" w:gutter="0" w:footer="0" w:header="0"/>
        </w:sectPr>
      </w:pPr>
    </w:p>
    <w:p>
      <w:pPr>
        <w:ind w:left="20"/>
        <w:spacing w:after="0"/>
        <w:rPr>
          <w:sz w:val="20"/>
          <w:szCs w:val="20"/>
          <w:color w:val="auto"/>
        </w:rPr>
      </w:pPr>
      <w:r>
        <w:rPr>
          <w:rFonts w:ascii="Arial" w:cs="Arial" w:eastAsia="Arial" w:hAnsi="Arial"/>
          <w:sz w:val="12"/>
          <w:szCs w:val="12"/>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-75565</wp:posOffset>
            </wp:positionV>
            <wp:extent cx="5664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420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Equity investment</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Nine Months Ended 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31"/>
              <w:spacing w:after="0" w:line="143"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8"/>
              </w:rPr>
              <w:t>Unrealized Gains /</w:t>
            </w: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1"/>
              </w:rPr>
              <w:t>(Losses) on</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1100" w:type="dxa"/>
            <w:vAlign w:val="bottom"/>
          </w:tcPr>
          <w:p>
            <w:pPr>
              <w:jc w:val="center"/>
              <w:ind w:right="31"/>
              <w:spacing w:after="0" w:line="139" w:lineRule="exact"/>
              <w:rPr>
                <w:sz w:val="20"/>
                <w:szCs w:val="20"/>
                <w:color w:val="auto"/>
              </w:rPr>
            </w:pPr>
            <w:r>
              <w:rPr>
                <w:rFonts w:ascii="Arial" w:cs="Arial" w:eastAsia="Arial" w:hAnsi="Arial"/>
                <w:sz w:val="14"/>
                <w:szCs w:val="14"/>
                <w:b w:val="1"/>
                <w:bCs w:val="1"/>
                <w:color w:val="auto"/>
                <w:w w:val="87"/>
              </w:rPr>
              <w:t>Investments still</w:t>
            </w: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Unrealized Gains /</w:t>
            </w: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Settlement</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held at September</w:t>
            </w:r>
          </w:p>
        </w:tc>
        <w:tc>
          <w:tcPr>
            <w:tcW w:w="0" w:type="dxa"/>
            <w:vAlign w:val="bottom"/>
          </w:tcPr>
          <w:p>
            <w:pPr>
              <w:spacing w:after="0"/>
              <w:rPr>
                <w:sz w:val="1"/>
                <w:szCs w:val="1"/>
                <w:color w:val="auto"/>
              </w:rPr>
            </w:pPr>
          </w:p>
        </w:tc>
      </w:tr>
      <w:tr>
        <w:trPr>
          <w:trHeight w:val="187"/>
        </w:trPr>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December 31, 2021</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6"/>
              </w:rPr>
              <w:t>(Losses) (1)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30, 2022</w:t>
            </w:r>
          </w:p>
        </w:tc>
        <w:tc>
          <w:tcPr>
            <w:tcW w:w="0" w:type="dxa"/>
            <w:vAlign w:val="bottom"/>
          </w:tcPr>
          <w:p>
            <w:pPr>
              <w:spacing w:after="0"/>
              <w:rPr>
                <w:sz w:val="1"/>
                <w:szCs w:val="1"/>
                <w:color w:val="auto"/>
              </w:rPr>
            </w:pPr>
          </w:p>
        </w:tc>
      </w:tr>
      <w:tr>
        <w:trPr>
          <w:trHeight w:val="559"/>
        </w:trPr>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81,358</w:t>
            </w:r>
          </w:p>
        </w:tc>
        <w:tc>
          <w:tcPr>
            <w:tcW w:w="100" w:type="dxa"/>
            <w:vAlign w:val="bottom"/>
          </w:tcPr>
          <w:p>
            <w:pPr>
              <w:spacing w:after="0"/>
              <w:rPr>
                <w:sz w:val="24"/>
                <w:szCs w:val="24"/>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(9,733)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71,625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(9,733)</w:t>
            </w:r>
          </w:p>
        </w:tc>
        <w:tc>
          <w:tcPr>
            <w:tcW w:w="0" w:type="dxa"/>
            <w:vAlign w:val="bottom"/>
          </w:tcPr>
          <w:p>
            <w:pPr>
              <w:spacing w:after="0"/>
              <w:rPr>
                <w:sz w:val="1"/>
                <w:szCs w:val="1"/>
                <w:color w:val="auto"/>
              </w:rPr>
            </w:pPr>
          </w:p>
        </w:tc>
      </w:tr>
      <w:tr>
        <w:trPr>
          <w:trHeight w:val="25"/>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81,358</w:t>
            </w:r>
          </w:p>
        </w:tc>
        <w:tc>
          <w:tcPr>
            <w:tcW w:w="100" w:type="dxa"/>
            <w:vAlign w:val="bottom"/>
          </w:tcPr>
          <w:p>
            <w:pPr>
              <w:spacing w:after="0"/>
              <w:rPr>
                <w:sz w:val="14"/>
                <w:szCs w:val="14"/>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(9,733)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71,625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-242570</wp:posOffset>
            </wp:positionV>
            <wp:extent cx="7138035" cy="123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5664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4200" cy="8255"/>
                    </a:xfrm>
                    <a:prstGeom prst="rect">
                      <a:avLst/>
                    </a:prstGeom>
                    <a:noFill/>
                  </pic:spPr>
                </pic:pic>
              </a:graphicData>
            </a:graphic>
          </wp:anchor>
        </w:drawing>
        <w:drawing>
          <wp:anchor simplePos="0" relativeHeight="251657728" behindDoc="1" locked="0" layoutInCell="0" allowOverlap="1">
            <wp:simplePos x="0" y="0"/>
            <wp:positionH relativeFrom="column">
              <wp:posOffset>-1470025</wp:posOffset>
            </wp:positionH>
            <wp:positionV relativeFrom="paragraph">
              <wp:posOffset>-497205</wp:posOffset>
            </wp:positionV>
            <wp:extent cx="7138035" cy="131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1600" w:space="720"/>
            <w:col w:w="8920"/>
          </w:cols>
          <w:pgMar w:left="320" w:top="895" w:right="3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-75565</wp:posOffset>
            </wp:positionV>
            <wp:extent cx="5664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420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45" w:lineRule="exact"/>
        <w:rPr>
          <w:sz w:val="20"/>
          <w:szCs w:val="20"/>
          <w:color w:val="auto"/>
        </w:rPr>
      </w:pPr>
    </w:p>
    <w:p>
      <w:pPr>
        <w:ind w:right="120" w:firstLine="622"/>
        <w:spacing w:after="0" w:line="262"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7" w:name="page28"/>
    <w:bookmarkEnd w:id="27"/>
    <w:p>
      <w:pPr>
        <w:ind w:left="56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September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September 30, 2023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23"/>
                <w:szCs w:val="23"/>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Significant Other</w:t>
            </w:r>
          </w:p>
        </w:tc>
        <w:tc>
          <w:tcPr>
            <w:tcW w:w="140" w:type="dxa"/>
            <w:vAlign w:val="bottom"/>
          </w:tcPr>
          <w:p>
            <w:pPr>
              <w:spacing w:after="0"/>
              <w:rPr>
                <w:sz w:val="23"/>
                <w:szCs w:val="23"/>
                <w:color w:val="auto"/>
              </w:rPr>
            </w:pPr>
          </w:p>
        </w:tc>
        <w:tc>
          <w:tcPr>
            <w:tcW w:w="1080" w:type="dxa"/>
            <w:vAlign w:val="bottom"/>
          </w:tcPr>
          <w:p>
            <w:pPr>
              <w:jc w:val="center"/>
              <w:ind w:right="91"/>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2"/>
              </w:rPr>
              <w:t>Active Markets for</w:t>
            </w: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1"/>
              <w:spacing w:after="0" w:line="13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Identical Assets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71"/>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4"/>
        </w:trPr>
        <w:tc>
          <w:tcPr>
            <w:tcW w:w="46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688,790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688,790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688,790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Cash restricted or segregated under regulations and other</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37,565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37,565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borrowed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1,524,177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1,524,177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1,524,177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3,127,072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3,127,072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3,127,072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1,624,833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1,624,833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1,624,833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Receivables from customers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148,445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148,445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148,445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assets (1)</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30,446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10,707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7,181,328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7,181,328</w:t>
            </w: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737,062</w:t>
            </w: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6,444,266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Short-term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Long-term borrowings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1,778,743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1,796,522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1,796,522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loaned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1,459,980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1,459,980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3,376,948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3,376,948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3,376,948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Payables to broker-dealers and clearing organizations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Payables to customers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74,374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74,374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74,374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liabilities (2)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7,349,636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7,370,198</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7,370,198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0</wp:posOffset>
            </wp:positionV>
            <wp:extent cx="4140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40835" cy="8255"/>
                    </a:xfrm>
                    <a:prstGeom prst="rect">
                      <a:avLst/>
                    </a:prstGeom>
                    <a:noFill/>
                  </pic:spPr>
                </pic:pic>
              </a:graphicData>
            </a:graphic>
          </wp:anchor>
        </w:drawing>
      </w:r>
    </w:p>
    <w:p>
      <w:pPr>
        <w:ind w:left="220" w:hanging="201"/>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33" w:lineRule="exact"/>
        <w:rPr>
          <w:rFonts w:ascii="Arial" w:cs="Arial" w:eastAsia="Arial" w:hAnsi="Arial"/>
          <w:sz w:val="14"/>
          <w:szCs w:val="14"/>
          <w:color w:val="auto"/>
        </w:rPr>
      </w:pPr>
    </w:p>
    <w:p>
      <w:pPr>
        <w:ind w:left="220" w:hanging="201"/>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7063740" cy="123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12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68580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80" w:top="866" w:right="379" w:bottom="1440" w:gutter="0" w:footer="0" w:header="0"/>
        </w:sectPr>
      </w:pPr>
    </w:p>
    <w:bookmarkStart w:id="28" w:name="page29"/>
    <w:bookmarkEnd w:id="28"/>
    <w:p>
      <w:pPr>
        <w:ind w:left="62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December 31, 2022</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23"/>
                <w:szCs w:val="23"/>
                <w:color w:val="auto"/>
              </w:rPr>
            </w:pPr>
          </w:p>
        </w:tc>
        <w:tc>
          <w:tcPr>
            <w:tcW w:w="106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Active Markets for</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1"/>
              <w:spacing w:after="0" w:line="13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83"/>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Identical Assets</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Observable Inputs</w:t>
            </w:r>
          </w:p>
        </w:tc>
        <w:tc>
          <w:tcPr>
            <w:tcW w:w="140" w:type="dxa"/>
            <w:vAlign w:val="bottom"/>
          </w:tcPr>
          <w:p>
            <w:pPr>
              <w:spacing w:after="0"/>
              <w:rPr>
                <w:sz w:val="15"/>
                <w:szCs w:val="15"/>
                <w:color w:val="auto"/>
              </w:rPr>
            </w:pPr>
          </w:p>
        </w:tc>
        <w:tc>
          <w:tcPr>
            <w:tcW w:w="1060" w:type="dxa"/>
            <w:vAlign w:val="bottom"/>
          </w:tcPr>
          <w:p>
            <w:pPr>
              <w:jc w:val="center"/>
              <w:ind w:right="71"/>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4"/>
        </w:trPr>
        <w:tc>
          <w:tcPr>
            <w:tcW w:w="47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
        </w:trPr>
        <w:tc>
          <w:tcPr>
            <w:tcW w:w="4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981,580</w:t>
            </w:r>
          </w:p>
        </w:tc>
        <w:tc>
          <w:tcPr>
            <w:tcW w:w="12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981,580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981,580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 restricted or segregated under regulations and other</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1,187,674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1,187,674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1,187,674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1,027,917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1,027,917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1,027,917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Receivables from customers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Other assets (1)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3,702,241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3,702,241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1,038,242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Short-term borrowings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1,795,952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1,783,943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1,783,943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Securities loaned</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1,060,432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1,060,432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1,060,432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Payables to broker dealer and clearing organizations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273,843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273,843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273,843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customers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740" w:type="dxa"/>
            <w:vAlign w:val="bottom"/>
            <w:gridSpan w:val="2"/>
          </w:tcPr>
          <w:p>
            <w:pPr>
              <w:ind w:left="120"/>
              <w:spacing w:after="0"/>
              <w:rPr>
                <w:sz w:val="20"/>
                <w:szCs w:val="20"/>
                <w:color w:val="auto"/>
              </w:rPr>
            </w:pPr>
            <w:r>
              <w:rPr>
                <w:rFonts w:ascii="Arial" w:cs="Arial" w:eastAsia="Arial" w:hAnsi="Arial"/>
                <w:sz w:val="14"/>
                <w:szCs w:val="14"/>
                <w:color w:val="auto"/>
              </w:rPr>
              <w:t>Other liabilities (2)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23,776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3,832,021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3,820,012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3,820,012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220" w:hanging="199"/>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27" w:lineRule="exact"/>
        <w:rPr>
          <w:rFonts w:ascii="Arial" w:cs="Arial" w:eastAsia="Arial" w:hAnsi="Arial"/>
          <w:sz w:val="14"/>
          <w:szCs w:val="14"/>
          <w:color w:val="auto"/>
        </w:rPr>
      </w:pPr>
    </w:p>
    <w:p>
      <w:pPr>
        <w:ind w:left="220" w:hanging="199"/>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38035" cy="123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-213360</wp:posOffset>
            </wp:positionV>
            <wp:extent cx="4132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3258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45" w:lineRule="exact"/>
        <w:rPr>
          <w:sz w:val="20"/>
          <w:szCs w:val="20"/>
          <w:color w:val="auto"/>
        </w:rPr>
      </w:pPr>
    </w:p>
    <w:p>
      <w:pPr>
        <w:ind w:firstLine="622"/>
        <w:spacing w:after="0" w:line="282"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9" w:name="page30"/>
    <w:bookmarkEnd w:id="29"/>
    <w:p>
      <w:pPr>
        <w:ind w:right="180" w:firstLine="622"/>
        <w:spacing w:after="0" w:line="284" w:lineRule="auto"/>
        <w:rPr>
          <w:sz w:val="20"/>
          <w:szCs w:val="20"/>
          <w:color w:val="auto"/>
        </w:rPr>
      </w:pPr>
      <w:r>
        <w:rPr>
          <w:rFonts w:ascii="Arial" w:cs="Arial" w:eastAsia="Arial" w:hAnsi="Arial"/>
          <w:sz w:val="17"/>
          <w:szCs w:val="17"/>
          <w:color w:val="auto"/>
        </w:rPr>
        <w:t>The following tables set forth the gross and net presentation of certain financial assets and financial liabilities as of September 30, 2023 and December 31, 2022:</w:t>
      </w:r>
    </w:p>
    <w:p>
      <w:pPr>
        <w:sectPr>
          <w:pgSz w:w="11900" w:h="16838" w:orient="portrait"/>
          <w:cols w:equalWidth="0" w:num="1">
            <w:col w:w="11220"/>
          </w:cols>
          <w:pgMar w:left="320" w:top="8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Offsetting of Financial Assets: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Securities borrowed</w:t>
      </w:r>
    </w:p>
    <w:p>
      <w:pPr>
        <w:spacing w:after="0" w:line="33" w:lineRule="exact"/>
        <w:rPr>
          <w:sz w:val="20"/>
          <w:szCs w:val="20"/>
          <w:color w:val="auto"/>
        </w:rPr>
      </w:pPr>
    </w:p>
    <w:p>
      <w:pPr>
        <w:ind w:left="160"/>
        <w:spacing w:after="0" w:line="236" w:lineRule="auto"/>
        <w:rPr>
          <w:sz w:val="20"/>
          <w:szCs w:val="20"/>
          <w:color w:val="auto"/>
        </w:rPr>
      </w:pPr>
      <w:r>
        <w:rPr>
          <w:rFonts w:ascii="Arial" w:cs="Arial" w:eastAsia="Arial" w:hAnsi="Arial"/>
          <w:sz w:val="14"/>
          <w:szCs w:val="14"/>
          <w:color w:val="auto"/>
        </w:rPr>
        <w:t>Securities purchased under agreements to resell</w:t>
      </w:r>
    </w:p>
    <w:p>
      <w:pPr>
        <w:spacing w:after="0" w:line="8" w:lineRule="exact"/>
        <w:rPr>
          <w:sz w:val="20"/>
          <w:szCs w:val="20"/>
          <w:color w:val="auto"/>
        </w:rPr>
      </w:pPr>
    </w:p>
    <w:p>
      <w:pPr>
        <w:ind w:left="160" w:right="260"/>
        <w:spacing w:after="0" w:line="236" w:lineRule="auto"/>
        <w:rPr>
          <w:sz w:val="20"/>
          <w:szCs w:val="20"/>
          <w:color w:val="auto"/>
        </w:rPr>
      </w:pPr>
      <w:r>
        <w:rPr>
          <w:rFonts w:ascii="Arial" w:cs="Arial" w:eastAsia="Arial" w:hAnsi="Arial"/>
          <w:sz w:val="14"/>
          <w:szCs w:val="14"/>
          <w:color w:val="auto"/>
        </w:rPr>
        <w:t>Receivables from broker-dealers and clearing organizations:</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rate swaps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Trading assets, at fair value:</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Currency forwards</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Options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53841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84165"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Amounts Not Offset in the Condensed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Net Amounts of Assets</w:t>
            </w:r>
          </w:p>
        </w:tc>
        <w:tc>
          <w:tcPr>
            <w:tcW w:w="160" w:type="dxa"/>
            <w:vAlign w:val="bottom"/>
          </w:tcPr>
          <w:p>
            <w:pPr>
              <w:spacing w:after="0"/>
              <w:rPr>
                <w:sz w:val="12"/>
                <w:szCs w:val="12"/>
                <w:color w:val="auto"/>
              </w:rPr>
            </w:pPr>
          </w:p>
        </w:tc>
        <w:tc>
          <w:tcPr>
            <w:tcW w:w="2600" w:type="dxa"/>
            <w:vAlign w:val="bottom"/>
            <w:gridSpan w:val="5"/>
          </w:tcPr>
          <w:p>
            <w:pPr>
              <w:jc w:val="right"/>
              <w:ind w:right="320"/>
              <w:spacing w:after="0" w:line="139" w:lineRule="exact"/>
              <w:rPr>
                <w:sz w:val="20"/>
                <w:szCs w:val="20"/>
                <w:color w:val="auto"/>
              </w:rPr>
            </w:pPr>
            <w:r>
              <w:rPr>
                <w:rFonts w:ascii="Arial" w:cs="Arial" w:eastAsia="Arial" w:hAnsi="Arial"/>
                <w:sz w:val="14"/>
                <w:szCs w:val="14"/>
                <w:b w:val="1"/>
                <w:bCs w:val="1"/>
                <w:color w:val="auto"/>
                <w:w w:val="90"/>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Amounts Offset in the</w:t>
            </w: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5"/>
          </w:tcPr>
          <w:p>
            <w:pPr>
              <w:jc w:val="center"/>
              <w:ind w:right="240"/>
              <w:spacing w:after="0" w:line="130" w:lineRule="exact"/>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tcPr>
          <w:p>
            <w:pPr>
              <w:jc w:val="center"/>
              <w:ind w:right="200"/>
              <w:spacing w:after="0" w:line="65" w:lineRule="exact"/>
              <w:rPr>
                <w:sz w:val="20"/>
                <w:szCs w:val="20"/>
                <w:color w:val="auto"/>
              </w:rPr>
            </w:pPr>
            <w:r>
              <w:rPr>
                <w:rFonts w:ascii="Arial" w:cs="Arial" w:eastAsia="Arial" w:hAnsi="Arial"/>
                <w:sz w:val="7"/>
                <w:szCs w:val="7"/>
                <w:b w:val="1"/>
                <w:bCs w:val="1"/>
                <w:color w:val="auto"/>
              </w:rPr>
              <w:t>Presented in the</w:t>
            </w: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Amounts of</w:t>
            </w:r>
          </w:p>
        </w:tc>
        <w:tc>
          <w:tcPr>
            <w:tcW w:w="1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Condensed Consolidated</w:t>
            </w:r>
          </w:p>
        </w:tc>
        <w:tc>
          <w:tcPr>
            <w:tcW w:w="1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Condensed Consolidated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Financial</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Counterparty</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Statements of Financial</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1"/>
              </w:rPr>
              <w:t>Instrument</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w w:val="95"/>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Condition</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0"/>
              </w:rPr>
              <w:t>Collateral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1,524,177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1,524,177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(1,471,459)</w:t>
            </w:r>
          </w:p>
        </w:tc>
        <w:tc>
          <w:tcPr>
            <w:tcW w:w="100" w:type="dxa"/>
            <w:vAlign w:val="bottom"/>
          </w:tcPr>
          <w:p>
            <w:pPr>
              <w:spacing w:after="0"/>
              <w:rPr>
                <w:sz w:val="24"/>
                <w:szCs w:val="2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(11,907)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40,811</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3,127,072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3,127,072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(3,127,072)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9"/>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71,662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71,662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71,662</w:t>
            </w: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361,076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880"/>
              <w:spacing w:after="0"/>
              <w:rPr>
                <w:sz w:val="20"/>
                <w:szCs w:val="20"/>
                <w:color w:val="auto"/>
              </w:rPr>
            </w:pPr>
            <w:r>
              <w:rPr>
                <w:rFonts w:ascii="Arial" w:cs="Arial" w:eastAsia="Arial" w:hAnsi="Arial"/>
                <w:sz w:val="14"/>
                <w:szCs w:val="14"/>
                <w:color w:val="auto"/>
                <w:w w:val="90"/>
              </w:rPr>
              <w:t>(357,664)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25"/>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5,090,942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w w:val="90"/>
              </w:rPr>
              <w:t>(357,664)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4,733,278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(4,598,531)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118,555</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-1069340</wp:posOffset>
            </wp:positionV>
            <wp:extent cx="7105015"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015" cy="20574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-657860</wp:posOffset>
            </wp:positionV>
            <wp:extent cx="7105015" cy="123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015" cy="1231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-410845</wp:posOffset>
            </wp:positionV>
            <wp:extent cx="7105015" cy="123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015" cy="1231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-163830</wp:posOffset>
            </wp:positionV>
            <wp:extent cx="7105015" cy="147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015" cy="1479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-1324610</wp:posOffset>
            </wp:positionV>
            <wp:extent cx="7105015" cy="131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015" cy="131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280"/>
            <w:col w:w="8480"/>
          </w:cols>
          <w:pgMar w:left="320" w:top="866" w:right="359" w:bottom="1440" w:gutter="0" w:footer="0" w:header="0"/>
          <w:type w:val="continuous"/>
        </w:sectPr>
      </w:pP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Amounts Not Offset in the Condensed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Net Amounts of</w:t>
            </w:r>
          </w:p>
        </w:tc>
        <w:tc>
          <w:tcPr>
            <w:tcW w:w="180" w:type="dxa"/>
            <w:vAlign w:val="bottom"/>
          </w:tcPr>
          <w:p>
            <w:pPr>
              <w:spacing w:after="0"/>
              <w:rPr>
                <w:sz w:val="11"/>
                <w:szCs w:val="11"/>
                <w:color w:val="auto"/>
              </w:rPr>
            </w:pPr>
          </w:p>
        </w:tc>
        <w:tc>
          <w:tcPr>
            <w:tcW w:w="2580" w:type="dxa"/>
            <w:vAlign w:val="bottom"/>
            <w:gridSpan w:val="5"/>
          </w:tcPr>
          <w:p>
            <w:pPr>
              <w:jc w:val="right"/>
              <w:ind w:right="320"/>
              <w:spacing w:after="0" w:line="133" w:lineRule="exact"/>
              <w:rPr>
                <w:sz w:val="20"/>
                <w:szCs w:val="20"/>
                <w:color w:val="auto"/>
              </w:rPr>
            </w:pPr>
            <w:r>
              <w:rPr>
                <w:rFonts w:ascii="Arial" w:cs="Arial" w:eastAsia="Arial" w:hAnsi="Arial"/>
                <w:sz w:val="14"/>
                <w:szCs w:val="14"/>
                <w:b w:val="1"/>
                <w:bCs w:val="1"/>
                <w:color w:val="auto"/>
                <w:w w:val="8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5" w:lineRule="exact"/>
              <w:rPr>
                <w:sz w:val="20"/>
                <w:szCs w:val="20"/>
                <w:color w:val="auto"/>
              </w:rPr>
            </w:pPr>
            <w:r>
              <w:rPr>
                <w:rFonts w:ascii="Arial" w:cs="Arial" w:eastAsia="Arial" w:hAnsi="Arial"/>
                <w:sz w:val="7"/>
                <w:szCs w:val="7"/>
                <w:b w:val="1"/>
                <w:bCs w:val="1"/>
                <w:color w:val="auto"/>
              </w:rPr>
              <w:t>Amounts Offset in the</w:t>
            </w:r>
          </w:p>
        </w:tc>
        <w:tc>
          <w:tcPr>
            <w:tcW w:w="1620" w:type="dxa"/>
            <w:vAlign w:val="bottom"/>
            <w:gridSpan w:val="3"/>
          </w:tcPr>
          <w:p>
            <w:pPr>
              <w:jc w:val="center"/>
              <w:ind w:right="100"/>
              <w:spacing w:after="0" w:line="65" w:lineRule="exact"/>
              <w:rPr>
                <w:sz w:val="20"/>
                <w:szCs w:val="20"/>
                <w:color w:val="auto"/>
              </w:rPr>
            </w:pPr>
            <w:r>
              <w:rPr>
                <w:rFonts w:ascii="Arial" w:cs="Arial" w:eastAsia="Arial" w:hAnsi="Arial"/>
                <w:sz w:val="7"/>
                <w:szCs w:val="7"/>
                <w:b w:val="1"/>
                <w:bCs w:val="1"/>
                <w:color w:val="auto"/>
              </w:rPr>
              <w:t>Liabilities Presented in</w:t>
            </w: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Condensed Consolidated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the Consolidated</w:t>
            </w:r>
          </w:p>
        </w:tc>
        <w:tc>
          <w:tcPr>
            <w:tcW w:w="18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Financial</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Counterparty</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Recognized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Statement of Financial</w:t>
            </w:r>
          </w:p>
        </w:tc>
        <w:tc>
          <w:tcPr>
            <w:tcW w:w="100" w:type="dxa"/>
            <w:vAlign w:val="bottom"/>
          </w:tcPr>
          <w:p>
            <w:pPr>
              <w:spacing w:after="0"/>
              <w:rPr>
                <w:sz w:val="12"/>
                <w:szCs w:val="12"/>
                <w:color w:val="auto"/>
              </w:rPr>
            </w:pPr>
          </w:p>
        </w:tc>
        <w:tc>
          <w:tcPr>
            <w:tcW w:w="15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Statement of Financial</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w w:val="95"/>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87"/>
        </w:trPr>
        <w:tc>
          <w:tcPr>
            <w:tcW w:w="2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Instruments</w:t>
            </w:r>
          </w:p>
        </w:tc>
        <w:tc>
          <w:tcPr>
            <w:tcW w:w="1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20" w:type="dxa"/>
            <w:vAlign w:val="bottom"/>
            <w:gridSpan w:val="2"/>
          </w:tcPr>
          <w:p>
            <w:pPr>
              <w:ind w:left="14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1,459,980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1,459,980</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(1,423,820)</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(15,163)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20,997</w:t>
            </w:r>
          </w:p>
        </w:tc>
        <w:tc>
          <w:tcPr>
            <w:tcW w:w="0" w:type="dxa"/>
            <w:vAlign w:val="bottom"/>
          </w:tcPr>
          <w:p>
            <w:pPr>
              <w:spacing w:after="0"/>
              <w:rPr>
                <w:sz w:val="1"/>
                <w:szCs w:val="1"/>
                <w:color w:val="auto"/>
              </w:rPr>
            </w:pPr>
          </w:p>
        </w:tc>
      </w:tr>
      <w:tr>
        <w:trPr>
          <w:trHeight w:val="139"/>
        </w:trPr>
        <w:tc>
          <w:tcPr>
            <w:tcW w:w="27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3,376,948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3,376,948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(3,376,948)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20" w:type="dxa"/>
            <w:vAlign w:val="bottom"/>
            <w:gridSpan w:val="2"/>
          </w:tcPr>
          <w:p>
            <w:pPr>
              <w:ind w:left="14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361,910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80"/>
              <w:spacing w:after="0"/>
              <w:rPr>
                <w:sz w:val="20"/>
                <w:szCs w:val="20"/>
                <w:color w:val="auto"/>
              </w:rPr>
            </w:pPr>
            <w:r>
              <w:rPr>
                <w:rFonts w:ascii="Arial" w:cs="Arial" w:eastAsia="Arial" w:hAnsi="Arial"/>
                <w:sz w:val="14"/>
                <w:szCs w:val="14"/>
                <w:color w:val="auto"/>
                <w:w w:val="90"/>
              </w:rPr>
              <w:t>(361,910)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720" w:type="dxa"/>
            <w:vAlign w:val="bottom"/>
            <w:gridSpan w:val="2"/>
          </w:tcPr>
          <w:p>
            <w:pPr>
              <w:ind w:left="2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9"/>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5,203,166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w w:val="90"/>
              </w:rPr>
              <w:t>(361,910)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(4,800,768)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Net Amounts of Assets</w:t>
            </w:r>
          </w:p>
        </w:tc>
        <w:tc>
          <w:tcPr>
            <w:tcW w:w="180" w:type="dxa"/>
            <w:vAlign w:val="bottom"/>
          </w:tcPr>
          <w:p>
            <w:pPr>
              <w:spacing w:after="0"/>
              <w:rPr>
                <w:sz w:val="11"/>
                <w:szCs w:val="11"/>
                <w:color w:val="auto"/>
              </w:rPr>
            </w:pPr>
          </w:p>
        </w:tc>
        <w:tc>
          <w:tcPr>
            <w:tcW w:w="2580" w:type="dxa"/>
            <w:vAlign w:val="bottom"/>
            <w:gridSpan w:val="5"/>
          </w:tcPr>
          <w:p>
            <w:pPr>
              <w:jc w:val="right"/>
              <w:ind w:right="320"/>
              <w:spacing w:after="0" w:line="133" w:lineRule="exact"/>
              <w:rPr>
                <w:sz w:val="20"/>
                <w:szCs w:val="20"/>
                <w:color w:val="auto"/>
              </w:rPr>
            </w:pPr>
            <w:r>
              <w:rPr>
                <w:rFonts w:ascii="Arial" w:cs="Arial" w:eastAsia="Arial" w:hAnsi="Arial"/>
                <w:sz w:val="14"/>
                <w:szCs w:val="14"/>
                <w:b w:val="1"/>
                <w:bCs w:val="1"/>
                <w:color w:val="auto"/>
                <w:w w:val="8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5" w:lineRule="exact"/>
              <w:rPr>
                <w:sz w:val="20"/>
                <w:szCs w:val="20"/>
                <w:color w:val="auto"/>
              </w:rPr>
            </w:pPr>
            <w:r>
              <w:rPr>
                <w:rFonts w:ascii="Arial" w:cs="Arial" w:eastAsia="Arial" w:hAnsi="Arial"/>
                <w:sz w:val="7"/>
                <w:szCs w:val="7"/>
                <w:b w:val="1"/>
                <w:bCs w:val="1"/>
                <w:color w:val="auto"/>
              </w:rPr>
              <w:t>Amounts Offset in the</w:t>
            </w:r>
          </w:p>
        </w:tc>
        <w:tc>
          <w:tcPr>
            <w:tcW w:w="100" w:type="dxa"/>
            <w:vAlign w:val="bottom"/>
          </w:tcPr>
          <w:p>
            <w:pPr>
              <w:spacing w:after="0"/>
              <w:rPr>
                <w:sz w:val="5"/>
                <w:szCs w:val="5"/>
                <w:color w:val="auto"/>
              </w:rPr>
            </w:pPr>
          </w:p>
        </w:tc>
        <w:tc>
          <w:tcPr>
            <w:tcW w:w="1520" w:type="dxa"/>
            <w:vAlign w:val="bottom"/>
            <w:gridSpan w:val="2"/>
          </w:tcPr>
          <w:p>
            <w:pPr>
              <w:jc w:val="center"/>
              <w:ind w:right="200"/>
              <w:spacing w:after="0" w:line="65" w:lineRule="exact"/>
              <w:rPr>
                <w:sz w:val="20"/>
                <w:szCs w:val="20"/>
                <w:color w:val="auto"/>
              </w:rPr>
            </w:pPr>
            <w:r>
              <w:rPr>
                <w:rFonts w:ascii="Arial" w:cs="Arial" w:eastAsia="Arial" w:hAnsi="Arial"/>
                <w:sz w:val="7"/>
                <w:szCs w:val="7"/>
                <w:b w:val="1"/>
                <w:bCs w:val="1"/>
                <w:color w:val="auto"/>
              </w:rPr>
              <w:t>Presented in the</w:t>
            </w: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Condensed Consolidated</w:t>
            </w:r>
          </w:p>
        </w:tc>
        <w:tc>
          <w:tcPr>
            <w:tcW w:w="1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Condensed Consolidated</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Financial</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Counterparty</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Statements of Financial</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1"/>
              </w:rPr>
              <w:t>Instrument</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w w:val="95"/>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87"/>
        </w:trPr>
        <w:tc>
          <w:tcPr>
            <w:tcW w:w="2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Collateral</w:t>
            </w:r>
          </w:p>
        </w:tc>
        <w:tc>
          <w:tcPr>
            <w:tcW w:w="1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20" w:type="dxa"/>
            <w:vAlign w:val="bottom"/>
            <w:gridSpan w:val="2"/>
          </w:tcPr>
          <w:p>
            <w:pPr>
              <w:ind w:left="14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1,187,674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1,187,674</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(1,148,238)</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(5,138)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34,298</w:t>
            </w:r>
          </w:p>
        </w:tc>
        <w:tc>
          <w:tcPr>
            <w:tcW w:w="0" w:type="dxa"/>
            <w:vAlign w:val="bottom"/>
          </w:tcPr>
          <w:p>
            <w:pPr>
              <w:spacing w:after="0"/>
              <w:rPr>
                <w:sz w:val="1"/>
                <w:szCs w:val="1"/>
                <w:color w:val="auto"/>
              </w:rPr>
            </w:pPr>
          </w:p>
        </w:tc>
      </w:tr>
      <w:tr>
        <w:trPr>
          <w:trHeight w:val="139"/>
        </w:trPr>
        <w:tc>
          <w:tcPr>
            <w:tcW w:w="27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336,999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336,999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(336,849)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4"/>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Receivables from broker-dealers and</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20" w:type="dxa"/>
            <w:vAlign w:val="bottom"/>
            <w:gridSpan w:val="2"/>
          </w:tcPr>
          <w:p>
            <w:pPr>
              <w:ind w:left="140"/>
              <w:spacing w:after="0"/>
              <w:rPr>
                <w:sz w:val="20"/>
                <w:szCs w:val="20"/>
                <w:color w:val="auto"/>
              </w:rPr>
            </w:pPr>
            <w:r>
              <w:rPr>
                <w:rFonts w:ascii="Arial" w:cs="Arial" w:eastAsia="Arial" w:hAnsi="Arial"/>
                <w:sz w:val="14"/>
                <w:szCs w:val="14"/>
                <w:color w:val="auto"/>
              </w:rPr>
              <w:t>clearing 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87,268</w:t>
            </w:r>
          </w:p>
        </w:tc>
        <w:tc>
          <w:tcPr>
            <w:tcW w:w="0" w:type="dxa"/>
            <w:vAlign w:val="bottom"/>
          </w:tcPr>
          <w:p>
            <w:pPr>
              <w:spacing w:after="0"/>
              <w:rPr>
                <w:sz w:val="1"/>
                <w:szCs w:val="1"/>
                <w:color w:val="auto"/>
              </w:rPr>
            </w:pPr>
          </w:p>
        </w:tc>
      </w:tr>
      <w:tr>
        <w:trPr>
          <w:trHeight w:val="185"/>
        </w:trPr>
        <w:tc>
          <w:tcPr>
            <w:tcW w:w="2720" w:type="dxa"/>
            <w:vAlign w:val="bottom"/>
            <w:gridSpan w:val="2"/>
          </w:tcPr>
          <w:p>
            <w:pPr>
              <w:ind w:left="14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80"/>
              <w:spacing w:after="0"/>
              <w:rPr>
                <w:sz w:val="20"/>
                <w:szCs w:val="20"/>
                <w:color w:val="auto"/>
              </w:rPr>
            </w:pPr>
            <w:r>
              <w:rPr>
                <w:rFonts w:ascii="Arial" w:cs="Arial" w:eastAsia="Arial" w:hAnsi="Arial"/>
                <w:sz w:val="14"/>
                <w:szCs w:val="14"/>
                <w:color w:val="auto"/>
                <w:w w:val="90"/>
              </w:rPr>
              <w:t>(493,237)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0" w:type="dxa"/>
            <w:vAlign w:val="bottom"/>
          </w:tcPr>
          <w:p>
            <w:pPr>
              <w:spacing w:after="0"/>
              <w:rPr>
                <w:sz w:val="1"/>
                <w:szCs w:val="1"/>
                <w:color w:val="auto"/>
              </w:rPr>
            </w:pPr>
          </w:p>
        </w:tc>
      </w:tr>
      <w:tr>
        <w:trPr>
          <w:trHeight w:val="187"/>
        </w:trPr>
        <w:tc>
          <w:tcPr>
            <w:tcW w:w="2720" w:type="dxa"/>
            <w:vAlign w:val="bottom"/>
            <w:gridSpan w:val="2"/>
          </w:tcPr>
          <w:p>
            <w:pPr>
              <w:ind w:left="2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19"/>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2,117,694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w w:val="90"/>
              </w:rPr>
              <w:t>(493,237)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130,343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Offsetting of Financial Liabilities: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Securities loaned</w:t>
      </w:r>
    </w:p>
    <w:p>
      <w:pPr>
        <w:spacing w:after="0" w:line="33" w:lineRule="exact"/>
        <w:rPr>
          <w:sz w:val="20"/>
          <w:szCs w:val="20"/>
          <w:color w:val="auto"/>
        </w:rPr>
      </w:pPr>
    </w:p>
    <w:p>
      <w:pPr>
        <w:ind w:left="160"/>
        <w:spacing w:after="0" w:line="236" w:lineRule="auto"/>
        <w:rPr>
          <w:sz w:val="20"/>
          <w:szCs w:val="20"/>
          <w:color w:val="auto"/>
        </w:rPr>
      </w:pPr>
      <w:r>
        <w:rPr>
          <w:rFonts w:ascii="Arial" w:cs="Arial" w:eastAsia="Arial" w:hAnsi="Arial"/>
          <w:sz w:val="14"/>
          <w:szCs w:val="14"/>
          <w:color w:val="auto"/>
        </w:rPr>
        <w:t>Securities sold under agreements to repurchase</w:t>
      </w:r>
    </w:p>
    <w:p>
      <w:pPr>
        <w:spacing w:after="0" w:line="8" w:lineRule="exact"/>
        <w:rPr>
          <w:sz w:val="20"/>
          <w:szCs w:val="20"/>
          <w:color w:val="auto"/>
        </w:rPr>
      </w:pPr>
    </w:p>
    <w:p>
      <w:pPr>
        <w:ind w:left="240" w:right="200" w:hanging="77"/>
        <w:spacing w:after="0" w:line="300" w:lineRule="auto"/>
        <w:rPr>
          <w:sz w:val="20"/>
          <w:szCs w:val="20"/>
          <w:color w:val="auto"/>
        </w:rPr>
      </w:pPr>
      <w:r>
        <w:rPr>
          <w:rFonts w:ascii="Arial" w:cs="Arial" w:eastAsia="Arial" w:hAnsi="Arial"/>
          <w:sz w:val="14"/>
          <w:szCs w:val="14"/>
          <w:color w:val="auto"/>
        </w:rPr>
        <w:t>Trading liabilities, at fair value: Currency forwards Options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Amounts Not Offset in the Condensed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Net Amounts of</w:t>
            </w:r>
          </w:p>
        </w:tc>
        <w:tc>
          <w:tcPr>
            <w:tcW w:w="160" w:type="dxa"/>
            <w:vAlign w:val="bottom"/>
          </w:tcPr>
          <w:p>
            <w:pPr>
              <w:spacing w:after="0"/>
              <w:rPr>
                <w:sz w:val="12"/>
                <w:szCs w:val="12"/>
                <w:color w:val="auto"/>
              </w:rPr>
            </w:pPr>
          </w:p>
        </w:tc>
        <w:tc>
          <w:tcPr>
            <w:tcW w:w="2600" w:type="dxa"/>
            <w:vAlign w:val="bottom"/>
            <w:gridSpan w:val="5"/>
          </w:tcPr>
          <w:p>
            <w:pPr>
              <w:jc w:val="right"/>
              <w:ind w:right="320"/>
              <w:spacing w:after="0" w:line="139" w:lineRule="exact"/>
              <w:rPr>
                <w:sz w:val="20"/>
                <w:szCs w:val="20"/>
                <w:color w:val="auto"/>
              </w:rPr>
            </w:pPr>
            <w:r>
              <w:rPr>
                <w:rFonts w:ascii="Arial" w:cs="Arial" w:eastAsia="Arial" w:hAnsi="Arial"/>
                <w:sz w:val="14"/>
                <w:szCs w:val="14"/>
                <w:b w:val="1"/>
                <w:bCs w:val="1"/>
                <w:color w:val="auto"/>
                <w:w w:val="90"/>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Amounts Offset in the</w:t>
            </w: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5"/>
          </w:tcPr>
          <w:p>
            <w:pPr>
              <w:jc w:val="center"/>
              <w:ind w:right="240"/>
              <w:spacing w:after="0" w:line="130" w:lineRule="exact"/>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20" w:type="dxa"/>
            <w:vAlign w:val="bottom"/>
            <w:gridSpan w:val="3"/>
          </w:tcPr>
          <w:p>
            <w:pPr>
              <w:jc w:val="center"/>
              <w:ind w:right="100"/>
              <w:spacing w:after="0" w:line="65" w:lineRule="exact"/>
              <w:rPr>
                <w:sz w:val="20"/>
                <w:szCs w:val="20"/>
                <w:color w:val="auto"/>
              </w:rPr>
            </w:pPr>
            <w:r>
              <w:rPr>
                <w:rFonts w:ascii="Arial" w:cs="Arial" w:eastAsia="Arial" w:hAnsi="Arial"/>
                <w:sz w:val="7"/>
                <w:szCs w:val="7"/>
                <w:b w:val="1"/>
                <w:bCs w:val="1"/>
                <w:color w:val="auto"/>
              </w:rPr>
              <w:t>Liabilities Presented in</w:t>
            </w: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Condensed Consolidated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the Consolidated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Financial</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Counterparty</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3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Recognized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Statement of Financial</w:t>
            </w:r>
          </w:p>
        </w:tc>
        <w:tc>
          <w:tcPr>
            <w:tcW w:w="100" w:type="dxa"/>
            <w:vAlign w:val="bottom"/>
          </w:tcPr>
          <w:p>
            <w:pPr>
              <w:spacing w:after="0"/>
              <w:rPr>
                <w:sz w:val="12"/>
                <w:szCs w:val="12"/>
                <w:color w:val="auto"/>
              </w:rPr>
            </w:pPr>
          </w:p>
        </w:tc>
        <w:tc>
          <w:tcPr>
            <w:tcW w:w="15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Statement of Financial</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1"/>
              </w:rPr>
              <w:t>Instrument</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w w:val="95"/>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Condition</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0"/>
              </w:rPr>
              <w:t>Collateral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1,060,432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1,060,432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(1,027,062)</w:t>
            </w:r>
          </w:p>
        </w:tc>
        <w:tc>
          <w:tcPr>
            <w:tcW w:w="100" w:type="dxa"/>
            <w:vAlign w:val="bottom"/>
          </w:tcPr>
          <w:p>
            <w:pPr>
              <w:spacing w:after="0"/>
              <w:rPr>
                <w:sz w:val="24"/>
                <w:szCs w:val="2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(9,100)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24,270</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627,549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627,549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(627,388)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497,799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(497,799)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2,189,669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(497,799)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1,691,870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(1,654,450)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24,431</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-740410</wp:posOffset>
            </wp:positionV>
            <wp:extent cx="710501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015" cy="20574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-410845</wp:posOffset>
            </wp:positionV>
            <wp:extent cx="7105015" cy="1231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015" cy="1231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-163830</wp:posOffset>
            </wp:positionV>
            <wp:extent cx="7105015" cy="147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015" cy="1479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-995680</wp:posOffset>
            </wp:positionV>
            <wp:extent cx="7105015" cy="131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015" cy="13144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120" w:space="620"/>
            <w:col w:w="8480"/>
          </w:cols>
          <w:pgMar w:left="320" w:top="1123" w:right="359" w:bottom="1440" w:gutter="0" w:footer="0" w:header="0"/>
        </w:sectPr>
      </w:pPr>
    </w:p>
    <w:p>
      <w:pPr>
        <w:ind w:right="280" w:firstLine="622"/>
        <w:spacing w:after="0" w:line="284"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 as of September 30, 2023 and December 31, 2022:</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179"/>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8"/>
              </w:rPr>
              <w:t>September 30, 2023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2"/>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92"/>
              </w:rPr>
              <w:t>Overnight and</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Less than 30 days</w:t>
            </w:r>
          </w:p>
        </w:tc>
        <w:tc>
          <w:tcPr>
            <w:tcW w:w="220" w:type="dxa"/>
            <w:vAlign w:val="bottom"/>
          </w:tcPr>
          <w:p>
            <w:pPr>
              <w:spacing w:after="0"/>
              <w:rPr>
                <w:sz w:val="11"/>
                <w:szCs w:val="11"/>
                <w:color w:val="auto"/>
              </w:rPr>
            </w:pPr>
          </w:p>
        </w:tc>
        <w:tc>
          <w:tcPr>
            <w:tcW w:w="920" w:type="dxa"/>
            <w:vAlign w:val="bottom"/>
          </w:tcPr>
          <w:p>
            <w:pPr>
              <w:jc w:val="center"/>
              <w:ind w:right="151"/>
              <w:spacing w:after="0" w:line="130" w:lineRule="exact"/>
              <w:rPr>
                <w:sz w:val="20"/>
                <w:szCs w:val="20"/>
                <w:color w:val="auto"/>
              </w:rPr>
            </w:pPr>
            <w:r>
              <w:rPr>
                <w:rFonts w:ascii="Arial" w:cs="Arial" w:eastAsia="Arial" w:hAnsi="Arial"/>
                <w:sz w:val="14"/>
                <w:szCs w:val="14"/>
                <w:b w:val="1"/>
                <w:bCs w:val="1"/>
                <w:color w:val="auto"/>
                <w:w w:val="87"/>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1"/>
              <w:spacing w:after="0" w:line="130"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1"/>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days</w:t>
            </w:r>
          </w:p>
        </w:tc>
        <w:tc>
          <w:tcPr>
            <w:tcW w:w="360" w:type="dxa"/>
            <w:vAlign w:val="bottom"/>
          </w:tcPr>
          <w:p>
            <w:pPr>
              <w:spacing w:after="0"/>
              <w:rPr>
                <w:sz w:val="16"/>
                <w:szCs w:val="16"/>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Days</w:t>
            </w: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7"/>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2,976,948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2,976,948</w:t>
            </w:r>
          </w:p>
        </w:tc>
        <w:tc>
          <w:tcPr>
            <w:tcW w:w="0" w:type="dxa"/>
            <w:vAlign w:val="bottom"/>
          </w:tcPr>
          <w:p>
            <w:pPr>
              <w:spacing w:after="0"/>
              <w:rPr>
                <w:sz w:val="1"/>
                <w:szCs w:val="1"/>
                <w:color w:val="auto"/>
              </w:rPr>
            </w:pPr>
          </w:p>
        </w:tc>
      </w:tr>
      <w:tr>
        <w:trPr>
          <w:trHeight w:val="219"/>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2,976,948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3,376,948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1,459,980</w:t>
            </w:r>
          </w:p>
        </w:tc>
        <w:tc>
          <w:tcPr>
            <w:tcW w:w="12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1,459,980</w:t>
            </w:r>
          </w:p>
        </w:tc>
        <w:tc>
          <w:tcPr>
            <w:tcW w:w="0" w:type="dxa"/>
            <w:vAlign w:val="bottom"/>
          </w:tcPr>
          <w:p>
            <w:pPr>
              <w:spacing w:after="0"/>
              <w:rPr>
                <w:sz w:val="1"/>
                <w:szCs w:val="1"/>
                <w:color w:val="auto"/>
              </w:rPr>
            </w:pPr>
          </w:p>
        </w:tc>
      </w:tr>
      <w:tr>
        <w:trPr>
          <w:trHeight w:val="219"/>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1,459,980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1,459,980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88"/>
              </w:rPr>
              <w:t>December 31, 2022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2"/>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3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Overnight and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Less than 30 days</w:t>
            </w:r>
          </w:p>
        </w:tc>
        <w:tc>
          <w:tcPr>
            <w:tcW w:w="220" w:type="dxa"/>
            <w:vAlign w:val="bottom"/>
          </w:tcPr>
          <w:p>
            <w:pPr>
              <w:spacing w:after="0"/>
              <w:rPr>
                <w:sz w:val="11"/>
                <w:szCs w:val="11"/>
                <w:color w:val="auto"/>
              </w:rPr>
            </w:pPr>
          </w:p>
        </w:tc>
        <w:tc>
          <w:tcPr>
            <w:tcW w:w="920" w:type="dxa"/>
            <w:vAlign w:val="bottom"/>
          </w:tcPr>
          <w:p>
            <w:pPr>
              <w:jc w:val="center"/>
              <w:ind w:right="171"/>
              <w:spacing w:after="0" w:line="133" w:lineRule="exact"/>
              <w:rPr>
                <w:sz w:val="20"/>
                <w:szCs w:val="20"/>
                <w:color w:val="auto"/>
              </w:rPr>
            </w:pPr>
            <w:r>
              <w:rPr>
                <w:rFonts w:ascii="Arial" w:cs="Arial" w:eastAsia="Arial" w:hAnsi="Arial"/>
                <w:sz w:val="14"/>
                <w:szCs w:val="14"/>
                <w:b w:val="1"/>
                <w:bCs w:val="1"/>
                <w:color w:val="auto"/>
                <w:w w:val="91"/>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311"/>
              <w:spacing w:after="0" w:line="133" w:lineRule="exact"/>
              <w:rPr>
                <w:sz w:val="20"/>
                <w:szCs w:val="20"/>
                <w:color w:val="auto"/>
              </w:rPr>
            </w:pPr>
            <w:r>
              <w:rPr>
                <w:rFonts w:ascii="Arial" w:cs="Arial" w:eastAsia="Arial" w:hAnsi="Arial"/>
                <w:sz w:val="14"/>
                <w:szCs w:val="14"/>
                <w:b w:val="1"/>
                <w:bCs w:val="1"/>
                <w:color w:val="auto"/>
                <w:w w:val="87"/>
              </w:rPr>
              <w:t>61 - 90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days</w:t>
            </w:r>
          </w:p>
        </w:tc>
        <w:tc>
          <w:tcPr>
            <w:tcW w:w="36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Days</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00" w:type="dxa"/>
            <w:vAlign w:val="bottom"/>
            <w:gridSpan w:val="2"/>
          </w:tcPr>
          <w:p>
            <w:pPr>
              <w:spacing w:after="0"/>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7"/>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227,549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227,549</w:t>
            </w:r>
          </w:p>
        </w:tc>
        <w:tc>
          <w:tcPr>
            <w:tcW w:w="0" w:type="dxa"/>
            <w:vAlign w:val="bottom"/>
          </w:tcPr>
          <w:p>
            <w:pPr>
              <w:spacing w:after="0"/>
              <w:rPr>
                <w:sz w:val="1"/>
                <w:szCs w:val="1"/>
                <w:color w:val="auto"/>
              </w:rPr>
            </w:pPr>
          </w:p>
        </w:tc>
      </w:tr>
      <w:tr>
        <w:trPr>
          <w:trHeight w:val="219"/>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627,549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Securities loaned:</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1,060,432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1,060,432</w:t>
            </w:r>
          </w:p>
        </w:tc>
        <w:tc>
          <w:tcPr>
            <w:tcW w:w="0" w:type="dxa"/>
            <w:vAlign w:val="bottom"/>
          </w:tcPr>
          <w:p>
            <w:pPr>
              <w:spacing w:after="0"/>
              <w:rPr>
                <w:sz w:val="1"/>
                <w:szCs w:val="1"/>
                <w:color w:val="auto"/>
              </w:rPr>
            </w:pPr>
          </w:p>
        </w:tc>
      </w:tr>
      <w:tr>
        <w:trPr>
          <w:trHeight w:val="219"/>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1,060,432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1,060,432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23"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10. Derivative Instruments</w:t>
      </w:r>
    </w:p>
    <w:p>
      <w:pPr>
        <w:spacing w:after="0" w:line="35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September 30, 2023 and December 31, 2022:</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23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Assets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Notional</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4"/>
                <w:szCs w:val="14"/>
                <w:b w:val="1"/>
                <w:bCs w:val="1"/>
                <w:color w:val="auto"/>
              </w:rPr>
              <w:t>Derivative instruments not designated as</w:t>
            </w:r>
          </w:p>
        </w:tc>
        <w:tc>
          <w:tcPr>
            <w:tcW w:w="100" w:type="dxa"/>
            <w:vAlign w:val="bottom"/>
          </w:tcPr>
          <w:p>
            <w:pPr>
              <w:spacing w:after="0"/>
              <w:rPr>
                <w:sz w:val="10"/>
                <w:szCs w:val="10"/>
                <w:color w:val="auto"/>
              </w:rPr>
            </w:pPr>
          </w:p>
        </w:tc>
        <w:tc>
          <w:tcPr>
            <w:tcW w:w="3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Equities futures</w:t>
            </w:r>
          </w:p>
        </w:tc>
        <w:tc>
          <w:tcPr>
            <w:tcW w:w="31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1,876,199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663,110</w:t>
            </w:r>
          </w:p>
        </w:tc>
        <w:tc>
          <w:tcPr>
            <w:tcW w:w="0" w:type="dxa"/>
            <w:vAlign w:val="bottom"/>
          </w:tcPr>
          <w:p>
            <w:pPr>
              <w:spacing w:after="0"/>
              <w:rPr>
                <w:sz w:val="1"/>
                <w:szCs w:val="1"/>
                <w:color w:val="auto"/>
              </w:rPr>
            </w:pPr>
          </w:p>
        </w:tc>
      </w:tr>
      <w:tr>
        <w:trPr>
          <w:trHeight w:val="187"/>
        </w:trPr>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9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Commodity futures</w:t>
            </w:r>
          </w:p>
        </w:tc>
        <w:tc>
          <w:tcPr>
            <w:tcW w:w="31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28,188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6,796,487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(31,007)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7,597,057</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Currency futures</w:t>
            </w:r>
          </w:p>
        </w:tc>
        <w:tc>
          <w:tcPr>
            <w:tcW w:w="31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6,723,854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(24,023)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7,460,531</w:t>
            </w:r>
          </w:p>
        </w:tc>
        <w:tc>
          <w:tcPr>
            <w:tcW w:w="0" w:type="dxa"/>
            <w:vAlign w:val="bottom"/>
          </w:tcPr>
          <w:p>
            <w:pPr>
              <w:spacing w:after="0"/>
              <w:rPr>
                <w:sz w:val="1"/>
                <w:szCs w:val="1"/>
                <w:color w:val="auto"/>
              </w:rPr>
            </w:pPr>
          </w:p>
        </w:tc>
      </w:tr>
      <w:tr>
        <w:trPr>
          <w:trHeight w:val="187"/>
        </w:trPr>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9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Fixed income futures</w:t>
            </w:r>
          </w:p>
        </w:tc>
        <w:tc>
          <w:tcPr>
            <w:tcW w:w="31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11,659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30,292</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Financial instruments owned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1,041,790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691,737</w:t>
            </w: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Currency forwards</w:t>
            </w: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Financial instruments owned</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361,076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35,857,456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500,553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30,286,330</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Derivative instruments designated as hedging</w:t>
            </w: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Interest rate swap</w:t>
            </w:r>
          </w:p>
        </w:tc>
        <w:tc>
          <w:tcPr>
            <w:tcW w:w="31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71,662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1,525,000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87,268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1,525,000</w:t>
            </w:r>
          </w:p>
        </w:tc>
        <w:tc>
          <w:tcPr>
            <w:tcW w:w="0" w:type="dxa"/>
            <w:vAlign w:val="bottom"/>
          </w:tcPr>
          <w:p>
            <w:pPr>
              <w:spacing w:after="0"/>
              <w:rPr>
                <w:sz w:val="1"/>
                <w:szCs w:val="1"/>
                <w:color w:val="auto"/>
              </w:rPr>
            </w:pPr>
          </w:p>
        </w:tc>
      </w:tr>
      <w:tr>
        <w:trPr>
          <w:trHeight w:val="187"/>
        </w:trPr>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Liabilities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Notional</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4"/>
                <w:szCs w:val="14"/>
                <w:b w:val="1"/>
                <w:bCs w:val="1"/>
                <w:color w:val="auto"/>
              </w:rPr>
              <w:t>Derivative instruments not designated as</w:t>
            </w:r>
          </w:p>
        </w:tc>
        <w:tc>
          <w:tcPr>
            <w:tcW w:w="100" w:type="dxa"/>
            <w:vAlign w:val="bottom"/>
          </w:tcPr>
          <w:p>
            <w:pPr>
              <w:spacing w:after="0"/>
              <w:rPr>
                <w:sz w:val="10"/>
                <w:szCs w:val="10"/>
                <w:color w:val="auto"/>
              </w:rPr>
            </w:pPr>
          </w:p>
        </w:tc>
        <w:tc>
          <w:tcPr>
            <w:tcW w:w="3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 futures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Payables to broker-dealers and clearing organizations</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3,238,651</w:t>
            </w: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Commodity futures</w:t>
            </w:r>
          </w:p>
        </w:tc>
        <w:tc>
          <w:tcPr>
            <w:tcW w:w="3140" w:type="dxa"/>
            <w:vAlign w:val="bottom"/>
            <w:gridSpan w:val="2"/>
          </w:tcPr>
          <w:p>
            <w:pPr>
              <w:ind w:left="20"/>
              <w:spacing w:after="0"/>
              <w:rPr>
                <w:sz w:val="20"/>
                <w:szCs w:val="20"/>
                <w:color w:val="auto"/>
              </w:rPr>
            </w:pPr>
            <w:r>
              <w:rPr>
                <w:rFonts w:ascii="Arial" w:cs="Arial" w:eastAsia="Arial" w:hAnsi="Arial"/>
                <w:sz w:val="14"/>
                <w:szCs w:val="14"/>
                <w:color w:val="auto"/>
                <w:w w:val="92"/>
              </w:rPr>
              <w:t>Payables to broker-dealers and clearing organizations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39,046</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futures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Payables to broker-dealers and clearing organizations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6,386</w:t>
            </w: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Fixed income futures</w:t>
            </w:r>
          </w:p>
        </w:tc>
        <w:tc>
          <w:tcPr>
            <w:tcW w:w="3140" w:type="dxa"/>
            <w:vAlign w:val="bottom"/>
            <w:gridSpan w:val="2"/>
          </w:tcPr>
          <w:p>
            <w:pPr>
              <w:ind w:left="20"/>
              <w:spacing w:after="0"/>
              <w:rPr>
                <w:sz w:val="20"/>
                <w:szCs w:val="20"/>
                <w:color w:val="auto"/>
              </w:rPr>
            </w:pPr>
            <w:r>
              <w:rPr>
                <w:rFonts w:ascii="Arial" w:cs="Arial" w:eastAsia="Arial" w:hAnsi="Arial"/>
                <w:sz w:val="14"/>
                <w:szCs w:val="14"/>
                <w:color w:val="auto"/>
                <w:w w:val="92"/>
              </w:rPr>
              <w:t>Payables to broker-dealers and clearing organizations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111,852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123,043</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1,007,927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742,531</w:t>
            </w:r>
          </w:p>
        </w:tc>
        <w:tc>
          <w:tcPr>
            <w:tcW w:w="0" w:type="dxa"/>
            <w:vAlign w:val="bottom"/>
          </w:tcPr>
          <w:p>
            <w:pPr>
              <w:spacing w:after="0"/>
              <w:rPr>
                <w:sz w:val="1"/>
                <w:szCs w:val="1"/>
                <w:color w:val="auto"/>
              </w:rPr>
            </w:pPr>
          </w:p>
        </w:tc>
      </w:tr>
      <w:tr>
        <w:trPr>
          <w:trHeight w:val="175"/>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Currency forwards</w:t>
            </w: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361,910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35,857,874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497,799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30,284,952</w:t>
            </w: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right="20" w:firstLine="622"/>
        <w:spacing w:after="0" w:line="284"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86" w:lineRule="exact"/>
        <w:rPr>
          <w:sz w:val="20"/>
          <w:szCs w:val="20"/>
          <w:color w:val="auto"/>
        </w:rPr>
      </w:pPr>
    </w:p>
    <w:p>
      <w:pPr>
        <w:ind w:right="100" w:firstLine="622"/>
        <w:spacing w:after="0" w:line="294" w:lineRule="auto"/>
        <w:rPr>
          <w:sz w:val="20"/>
          <w:szCs w:val="20"/>
          <w:color w:val="auto"/>
        </w:rPr>
      </w:pPr>
      <w:r>
        <w:rPr>
          <w:rFonts w:ascii="Arial" w:cs="Arial" w:eastAsia="Arial" w:hAnsi="Arial"/>
          <w:sz w:val="16"/>
          <w:szCs w:val="16"/>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nine months ended September 30, 2023 and 2022.</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32" w:name="page33"/>
    <w:bookmarkEnd w:id="32"/>
    <w:tbl>
      <w:tblPr>
        <w:tblLayout w:type="fixed"/>
        <w:tblInd w:w="40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5"/>
                <w:szCs w:val="15"/>
                <w:color w:val="auto"/>
              </w:rPr>
            </w:pPr>
          </w:p>
        </w:tc>
        <w:tc>
          <w:tcPr>
            <w:tcW w:w="23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5"/>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960" w:type="dxa"/>
            <w:vAlign w:val="bottom"/>
            <w:gridSpan w:val="2"/>
            <w:vMerge w:val="continue"/>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3"/>
        </w:trPr>
        <w:tc>
          <w:tcPr>
            <w:tcW w:w="28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hedging instruments:</w:t>
            </w: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rPr>
                <w:sz w:val="20"/>
                <w:szCs w:val="20"/>
                <w:color w:val="auto"/>
              </w:rPr>
            </w:pPr>
            <w:r>
              <w:rPr>
                <w:rFonts w:ascii="Arial" w:cs="Arial" w:eastAsia="Arial" w:hAnsi="Arial"/>
                <w:sz w:val="14"/>
                <w:szCs w:val="14"/>
                <w:color w:val="auto"/>
              </w:rPr>
              <w:t>Futures</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84,911</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9,760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ind w:left="520"/>
              <w:spacing w:after="0"/>
              <w:rPr>
                <w:sz w:val="20"/>
                <w:szCs w:val="20"/>
                <w:color w:val="auto"/>
              </w:rPr>
            </w:pPr>
            <w:r>
              <w:rPr>
                <w:rFonts w:ascii="Arial" w:cs="Arial" w:eastAsia="Arial" w:hAnsi="Arial"/>
                <w:sz w:val="14"/>
                <w:szCs w:val="14"/>
                <w:color w:val="auto"/>
                <w:w w:val="98"/>
              </w:rPr>
              <w:t>204,928</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205,561</w:t>
            </w:r>
          </w:p>
        </w:tc>
        <w:tc>
          <w:tcPr>
            <w:tcW w:w="0" w:type="dxa"/>
            <w:vAlign w:val="bottom"/>
          </w:tcPr>
          <w:p>
            <w:pPr>
              <w:spacing w:after="0"/>
              <w:rPr>
                <w:sz w:val="1"/>
                <w:szCs w:val="1"/>
                <w:color w:val="auto"/>
              </w:rPr>
            </w:pPr>
          </w:p>
        </w:tc>
      </w:tr>
      <w:tr>
        <w:trPr>
          <w:trHeight w:val="204"/>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Currency forwards</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1"/>
              </w:rPr>
              <w:t>(91,352)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(14,478)</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ind w:left="660"/>
              <w:spacing w:after="0"/>
              <w:rPr>
                <w:sz w:val="20"/>
                <w:szCs w:val="20"/>
                <w:color w:val="auto"/>
              </w:rPr>
            </w:pPr>
            <w:r>
              <w:rPr>
                <w:rFonts w:ascii="Arial" w:cs="Arial" w:eastAsia="Arial" w:hAnsi="Arial"/>
                <w:sz w:val="14"/>
                <w:szCs w:val="14"/>
                <w:color w:val="auto"/>
              </w:rPr>
              <w:t>6,882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swap on term loan</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4"/>
              </w:rPr>
              <w:t>(1,406)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34,929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8"/>
              </w:rPr>
              <w:t>119,052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193,107</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5"/>
              </w:rPr>
              <w:t>Derivative instruments designated as hedging</w:t>
            </w: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swaps (1)</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35,852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91"/>
              </w:rPr>
              <w:t>(14,738)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108,427</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35,852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w w:val="91"/>
              </w:rPr>
              <w:t>(14,738)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108,427</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20" w:firstLine="4"/>
        <w:spacing w:after="0" w:line="325" w:lineRule="auto"/>
        <w:tabs>
          <w:tab w:leader="none" w:pos="196"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Condensed Consolidated Statements of Comprehensive Income beginning in the first quarter of 2020.</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Variable Interest Entities</w:t>
      </w:r>
    </w:p>
    <w:p>
      <w:pPr>
        <w:spacing w:after="0" w:line="31" w:lineRule="exact"/>
        <w:rPr>
          <w:sz w:val="20"/>
          <w:szCs w:val="20"/>
          <w:color w:val="auto"/>
        </w:rPr>
      </w:pPr>
    </w:p>
    <w:p>
      <w:pPr>
        <w:jc w:val="both"/>
        <w:ind w:right="20" w:firstLine="622"/>
        <w:spacing w:after="0" w:line="285"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88" w:lineRule="exact"/>
        <w:rPr>
          <w:sz w:val="20"/>
          <w:szCs w:val="20"/>
          <w:color w:val="auto"/>
        </w:rPr>
      </w:pPr>
    </w:p>
    <w:p>
      <w:pPr>
        <w:ind w:right="60" w:firstLine="622"/>
        <w:spacing w:after="0" w:line="269"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8" w:lineRule="exact"/>
        <w:rPr>
          <w:sz w:val="20"/>
          <w:szCs w:val="20"/>
          <w:color w:val="auto"/>
        </w:rPr>
      </w:pPr>
    </w:p>
    <w:p>
      <w:pPr>
        <w:ind w:right="100" w:firstLine="622"/>
        <w:spacing w:after="0" w:line="264" w:lineRule="auto"/>
        <w:rPr>
          <w:sz w:val="20"/>
          <w:szCs w:val="20"/>
          <w:color w:val="auto"/>
        </w:rPr>
      </w:pPr>
      <w:r>
        <w:rPr>
          <w:rFonts w:ascii="Arial" w:cs="Arial" w:eastAsia="Arial" w:hAnsi="Arial"/>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September 30, 2023, the Company held noncontrolling interests of 12.5% and 50.0%, respectively, in these JVs.</w:t>
      </w:r>
    </w:p>
    <w:p>
      <w:pPr>
        <w:spacing w:after="0" w:line="203" w:lineRule="exact"/>
        <w:rPr>
          <w:sz w:val="20"/>
          <w:szCs w:val="20"/>
          <w:color w:val="auto"/>
        </w:rPr>
      </w:pPr>
    </w:p>
    <w:p>
      <w:pPr>
        <w:ind w:right="180" w:firstLine="622"/>
        <w:spacing w:after="0" w:line="284" w:lineRule="auto"/>
        <w:rPr>
          <w:sz w:val="20"/>
          <w:szCs w:val="20"/>
          <w:color w:val="auto"/>
        </w:rPr>
      </w:pPr>
      <w:r>
        <w:rPr>
          <w:rFonts w:ascii="Arial" w:cs="Arial" w:eastAsia="Arial" w:hAnsi="Arial"/>
          <w:sz w:val="17"/>
          <w:szCs w:val="17"/>
          <w:color w:val="auto"/>
        </w:rPr>
        <w:t>The Company has an interest in a JV that offers derivatives trading technology and execution services to broker-dealers, professional traders and select hedge funds. As of September 30, 2023, the Company held approximately a 9.8% noncontrolling interest in this JV.</w:t>
      </w:r>
    </w:p>
    <w:p>
      <w:pPr>
        <w:spacing w:after="0" w:line="186" w:lineRule="exact"/>
        <w:rPr>
          <w:sz w:val="20"/>
          <w:szCs w:val="20"/>
          <w:color w:val="auto"/>
        </w:rPr>
      </w:pPr>
    </w:p>
    <w:p>
      <w:pPr>
        <w:ind w:right="100" w:firstLine="622"/>
        <w:spacing w:after="0" w:line="269" w:lineRule="auto"/>
        <w:rPr>
          <w:sz w:val="20"/>
          <w:szCs w:val="20"/>
          <w:color w:val="auto"/>
        </w:rPr>
      </w:pPr>
      <w:r>
        <w:rPr>
          <w:rFonts w:ascii="Arial" w:cs="Arial" w:eastAsia="Arial" w:hAnsi="Arial"/>
          <w:sz w:val="17"/>
          <w:szCs w:val="17"/>
          <w:color w:val="auto"/>
        </w:rPr>
        <w:t>The Company has an interest in a JV that operates a member-owned equities exchange with the goal of increasing competition and transparency, while reducing fixed costs and simplifying execution of equity trading in the U.S. As of September 30, 2023, the Company held approximately a 13.5% noncontrolling interest in this JV.</w:t>
      </w:r>
    </w:p>
    <w:p>
      <w:pPr>
        <w:spacing w:after="0" w:line="198" w:lineRule="exact"/>
        <w:rPr>
          <w:sz w:val="20"/>
          <w:szCs w:val="20"/>
          <w:color w:val="auto"/>
        </w:rPr>
      </w:pPr>
    </w:p>
    <w:p>
      <w:pPr>
        <w:jc w:val="both"/>
        <w:ind w:right="420" w:firstLine="622"/>
        <w:spacing w:after="0" w:line="269" w:lineRule="auto"/>
        <w:rPr>
          <w:sz w:val="20"/>
          <w:szCs w:val="20"/>
          <w:color w:val="auto"/>
        </w:rPr>
      </w:pPr>
      <w:r>
        <w:rPr>
          <w:rFonts w:ascii="Arial" w:cs="Arial" w:eastAsia="Arial" w:hAnsi="Arial"/>
          <w:sz w:val="17"/>
          <w:szCs w:val="17"/>
          <w:color w:val="auto"/>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September 30, 2023, the Company held approximately a 9.3% noncontrolling interest in this JV.</w:t>
      </w:r>
    </w:p>
    <w:p>
      <w:pPr>
        <w:spacing w:after="0" w:line="198" w:lineRule="exact"/>
        <w:rPr>
          <w:sz w:val="20"/>
          <w:szCs w:val="20"/>
          <w:color w:val="auto"/>
        </w:rPr>
      </w:pPr>
    </w:p>
    <w:p>
      <w:pPr>
        <w:ind w:firstLine="622"/>
        <w:spacing w:after="0" w:line="282" w:lineRule="auto"/>
        <w:rPr>
          <w:sz w:val="20"/>
          <w:szCs w:val="20"/>
          <w:color w:val="auto"/>
        </w:rPr>
      </w:pPr>
      <w:r>
        <w:rPr>
          <w:rFonts w:ascii="Arial" w:cs="Arial" w:eastAsia="Arial" w:hAnsi="Arial"/>
          <w:sz w:val="16"/>
          <w:szCs w:val="16"/>
          <w:color w:val="auto"/>
        </w:rPr>
        <w:t>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90" w:lineRule="exact"/>
        <w:rPr>
          <w:sz w:val="20"/>
          <w:szCs w:val="20"/>
          <w:color w:val="auto"/>
        </w:rPr>
      </w:pPr>
    </w:p>
    <w:p>
      <w:pPr>
        <w:ind w:right="340" w:firstLine="622"/>
        <w:spacing w:after="0" w:line="284"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7"/>
          <w:szCs w:val="17"/>
          <w:color w:val="auto"/>
        </w:rPr>
        <w:t>The following table presents the Company’s nonconsolidated VIEs at September 30, 2023:</w:t>
      </w:r>
    </w:p>
    <w:p>
      <w:pPr>
        <w:spacing w:after="0" w:line="287" w:lineRule="exact"/>
        <w:rPr>
          <w:sz w:val="20"/>
          <w:szCs w:val="20"/>
          <w:color w:val="auto"/>
        </w:rPr>
      </w:pPr>
    </w:p>
    <w:tbl>
      <w:tblPr>
        <w:tblLayout w:type="fixed"/>
        <w:tblInd w:w="14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w w:val="92"/>
              </w:rPr>
              <w:t>Carrying Amount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Maximum Exposure to</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5"/>
        </w:trPr>
        <w:tc>
          <w:tcPr>
            <w:tcW w:w="4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57,561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289,322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Company’s nonconsolidated VIEs at December 31, 2022:</w:t>
      </w:r>
    </w:p>
    <w:p>
      <w:pPr>
        <w:spacing w:after="0" w:line="339" w:lineRule="exact"/>
        <w:rPr>
          <w:sz w:val="20"/>
          <w:szCs w:val="20"/>
          <w:color w:val="auto"/>
        </w:rPr>
      </w:pPr>
    </w:p>
    <w:tbl>
      <w:tblPr>
        <w:tblLayout w:type="fixed"/>
        <w:tblInd w:w="14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w w:val="92"/>
              </w:rPr>
              <w:t>Carrying Amount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Maximum Exposure to</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7"/>
        </w:trPr>
        <w:tc>
          <w:tcPr>
            <w:tcW w:w="4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43,589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239,682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right="20" w:firstLine="622"/>
        <w:spacing w:after="0" w:line="264" w:lineRule="auto"/>
        <w:rPr>
          <w:sz w:val="20"/>
          <w:szCs w:val="20"/>
          <w:color w:val="auto"/>
        </w:rPr>
      </w:pPr>
      <w:r>
        <w:rPr>
          <w:rFonts w:ascii="Arial" w:cs="Arial" w:eastAsia="Arial" w:hAnsi="Arial"/>
          <w:sz w:val="17"/>
          <w:szCs w:val="17"/>
          <w:color w:val="auto"/>
        </w:rPr>
        <w:t>During the second quarter of 2022, the Company formed a JV to support the growth and expansion of a multi-asset request-for-quote communication platform. As of September 30, 2023, the Company held a 51% controlling interest in this entity. This JV meets the criteria to be considered a VIE, and based on the standard for control set forth above, the Company consolidates this entity and records the interest that the Company does not own as noncontrolling interest in the Condensed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Revenues from Contracts with Customers</w:t>
      </w:r>
    </w:p>
    <w:p>
      <w:pPr>
        <w:spacing w:after="0" w:line="251" w:lineRule="exact"/>
        <w:rPr>
          <w:sz w:val="20"/>
          <w:szCs w:val="20"/>
          <w:color w:val="auto"/>
        </w:rPr>
      </w:pPr>
    </w:p>
    <w:p>
      <w:pPr>
        <w:ind w:firstLine="622"/>
        <w:spacing w:after="0" w:line="317" w:lineRule="auto"/>
        <w:rPr>
          <w:sz w:val="20"/>
          <w:szCs w:val="20"/>
          <w:color w:val="auto"/>
        </w:rPr>
      </w:pPr>
      <w:r>
        <w:rPr>
          <w:rFonts w:ascii="Arial" w:cs="Arial" w:eastAsia="Arial" w:hAnsi="Arial"/>
          <w:sz w:val="16"/>
          <w:szCs w:val="16"/>
          <w:color w:val="auto"/>
        </w:rPr>
        <w:t>For more information on revenue recognition and the nature of services provided, see Note 2 "Summary of Significant Accounting Policies" and Note 13 "Revenues from Contracts with Customers" to the Consolidated Financial Statements of the Company's 2022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45" w:lineRule="exact"/>
        <w:rPr>
          <w:sz w:val="20"/>
          <w:szCs w:val="20"/>
          <w:color w:val="auto"/>
        </w:rPr>
      </w:pPr>
    </w:p>
    <w:p>
      <w:pPr>
        <w:ind w:right="580" w:firstLine="622"/>
        <w:spacing w:after="0" w:line="284" w:lineRule="auto"/>
        <w:rPr>
          <w:sz w:val="20"/>
          <w:szCs w:val="20"/>
          <w:color w:val="auto"/>
        </w:rPr>
      </w:pPr>
      <w:r>
        <w:rPr>
          <w:rFonts w:ascii="Arial" w:cs="Arial" w:eastAsia="Arial" w:hAnsi="Arial"/>
          <w:sz w:val="17"/>
          <w:szCs w:val="17"/>
          <w:color w:val="auto"/>
        </w:rPr>
        <w:t>The following tables present the Company’s revenue from contracts with customers disaggregated by service, and timing of revenue recognition, reconciled to the Company’s segments, for the three and nine months ended September 30, 2023, and 2022:</w:t>
      </w:r>
    </w:p>
    <w:p>
      <w:pPr>
        <w:spacing w:after="0" w:line="33" w:lineRule="exact"/>
        <w:rPr>
          <w:sz w:val="20"/>
          <w:szCs w:val="20"/>
          <w:color w:val="auto"/>
        </w:rPr>
      </w:pPr>
    </w:p>
    <w:tbl>
      <w:tblPr>
        <w:tblLayout w:type="fixed"/>
        <w:tblInd w:w="62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w w:val="98"/>
              </w:rPr>
              <w:t>Three Months Ended September 30, 2023</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79,464</w:t>
            </w:r>
          </w:p>
        </w:tc>
        <w:tc>
          <w:tcPr>
            <w:tcW w:w="0" w:type="dxa"/>
            <w:vAlign w:val="bottom"/>
          </w:tcPr>
          <w:p>
            <w:pPr>
              <w:spacing w:after="0"/>
              <w:rPr>
                <w:sz w:val="1"/>
                <w:szCs w:val="1"/>
                <w:color w:val="auto"/>
              </w:rPr>
            </w:pPr>
          </w:p>
        </w:tc>
      </w:tr>
      <w:tr>
        <w:trPr>
          <w:trHeight w:val="185"/>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Workflow technology</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21,526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21,526</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Analytics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9,286</w:t>
            </w:r>
          </w:p>
        </w:tc>
        <w:tc>
          <w:tcPr>
            <w:tcW w:w="0" w:type="dxa"/>
            <w:vAlign w:val="bottom"/>
          </w:tcPr>
          <w:p>
            <w:pPr>
              <w:spacing w:after="0"/>
              <w:rPr>
                <w:sz w:val="1"/>
                <w:szCs w:val="1"/>
                <w:color w:val="auto"/>
              </w:rPr>
            </w:pPr>
          </w:p>
        </w:tc>
      </w:tr>
      <w:tr>
        <w:trPr>
          <w:trHeight w:val="178"/>
        </w:trPr>
        <w:tc>
          <w:tcPr>
            <w:tcW w:w="4120" w:type="dxa"/>
            <w:vAlign w:val="bottom"/>
            <w:gridSpan w:val="2"/>
          </w:tcPr>
          <w:p>
            <w:pPr>
              <w:ind w:left="220"/>
              <w:spacing w:after="0"/>
              <w:rPr>
                <w:sz w:val="20"/>
                <w:szCs w:val="20"/>
                <w:color w:val="auto"/>
              </w:rPr>
            </w:pPr>
            <w:r>
              <w:rPr>
                <w:rFonts w:ascii="Arial" w:cs="Arial" w:eastAsia="Arial" w:hAnsi="Arial"/>
                <w:sz w:val="14"/>
                <w:szCs w:val="14"/>
                <w:color w:val="auto"/>
              </w:rPr>
              <w:t>Total revenue from contracts with customers</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6,343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103,933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110,276</w:t>
            </w:r>
          </w:p>
        </w:tc>
        <w:tc>
          <w:tcPr>
            <w:tcW w:w="0" w:type="dxa"/>
            <w:vAlign w:val="bottom"/>
          </w:tcPr>
          <w:p>
            <w:pPr>
              <w:spacing w:after="0"/>
              <w:rPr>
                <w:sz w:val="1"/>
                <w:szCs w:val="1"/>
                <w:color w:val="auto"/>
              </w:rPr>
            </w:pPr>
          </w:p>
        </w:tc>
      </w:tr>
      <w:tr>
        <w:trPr>
          <w:trHeight w:val="269"/>
        </w:trPr>
        <w:tc>
          <w:tcPr>
            <w:tcW w:w="4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4120" w:type="dxa"/>
            <w:vAlign w:val="bottom"/>
            <w:gridSpan w:val="2"/>
          </w:tcPr>
          <w:p>
            <w:pPr>
              <w:ind w:left="220"/>
              <w:spacing w:after="0"/>
              <w:rPr>
                <w:sz w:val="20"/>
                <w:szCs w:val="20"/>
                <w:color w:val="auto"/>
              </w:rPr>
            </w:pPr>
            <w:r>
              <w:rPr>
                <w:rFonts w:ascii="Arial" w:cs="Arial" w:eastAsia="Arial" w:hAnsi="Arial"/>
                <w:sz w:val="14"/>
                <w:szCs w:val="14"/>
                <w:color w:val="auto"/>
              </w:rPr>
              <w:t>Other sources of revenue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511,008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519,888</w:t>
            </w:r>
          </w:p>
        </w:tc>
        <w:tc>
          <w:tcPr>
            <w:tcW w:w="0" w:type="dxa"/>
            <w:vAlign w:val="bottom"/>
          </w:tcPr>
          <w:p>
            <w:pPr>
              <w:spacing w:after="0"/>
              <w:rPr>
                <w:sz w:val="1"/>
                <w:szCs w:val="1"/>
                <w:color w:val="auto"/>
              </w:rPr>
            </w:pPr>
          </w:p>
        </w:tc>
      </w:tr>
      <w:tr>
        <w:trPr>
          <w:trHeight w:val="269"/>
        </w:trPr>
        <w:tc>
          <w:tcPr>
            <w:tcW w:w="4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120" w:type="dxa"/>
            <w:vAlign w:val="bottom"/>
            <w:gridSpan w:val="2"/>
          </w:tcPr>
          <w:p>
            <w:pPr>
              <w:ind w:left="2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517,351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112,453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630,164</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517,351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611,863</w:t>
            </w:r>
          </w:p>
        </w:tc>
        <w:tc>
          <w:tcPr>
            <w:tcW w:w="0" w:type="dxa"/>
            <w:vAlign w:val="bottom"/>
          </w:tcPr>
          <w:p>
            <w:pPr>
              <w:spacing w:after="0"/>
              <w:rPr>
                <w:sz w:val="1"/>
                <w:szCs w:val="1"/>
                <w:color w:val="auto"/>
              </w:rPr>
            </w:pPr>
          </w:p>
        </w:tc>
      </w:tr>
      <w:tr>
        <w:trPr>
          <w:trHeight w:val="187"/>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18,301</w:t>
            </w:r>
          </w:p>
        </w:tc>
        <w:tc>
          <w:tcPr>
            <w:tcW w:w="0" w:type="dxa"/>
            <w:vAlign w:val="bottom"/>
          </w:tcPr>
          <w:p>
            <w:pPr>
              <w:spacing w:after="0"/>
              <w:rPr>
                <w:sz w:val="1"/>
                <w:szCs w:val="1"/>
                <w:color w:val="auto"/>
              </w:rPr>
            </w:pPr>
          </w:p>
        </w:tc>
      </w:tr>
      <w:tr>
        <w:trPr>
          <w:trHeight w:val="219"/>
        </w:trPr>
        <w:tc>
          <w:tcPr>
            <w:tcW w:w="41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630,164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w w:val="98"/>
              </w:rPr>
              <w:t>Three Months Ended September 30, 2022</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89,193</w:t>
            </w:r>
          </w:p>
        </w:tc>
        <w:tc>
          <w:tcPr>
            <w:tcW w:w="0" w:type="dxa"/>
            <w:vAlign w:val="bottom"/>
          </w:tcPr>
          <w:p>
            <w:pPr>
              <w:spacing w:after="0"/>
              <w:rPr>
                <w:sz w:val="1"/>
                <w:szCs w:val="1"/>
                <w:color w:val="auto"/>
              </w:rPr>
            </w:pPr>
          </w:p>
        </w:tc>
      </w:tr>
      <w:tr>
        <w:trPr>
          <w:trHeight w:val="185"/>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Workflow technology</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21,968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21,968</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Analytics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w:t>
            </w:r>
          </w:p>
        </w:tc>
        <w:tc>
          <w:tcPr>
            <w:tcW w:w="0" w:type="dxa"/>
            <w:vAlign w:val="bottom"/>
          </w:tcPr>
          <w:p>
            <w:pPr>
              <w:spacing w:after="0"/>
              <w:rPr>
                <w:sz w:val="1"/>
                <w:szCs w:val="1"/>
                <w:color w:val="auto"/>
              </w:rPr>
            </w:pPr>
          </w:p>
        </w:tc>
      </w:tr>
      <w:tr>
        <w:trPr>
          <w:trHeight w:val="178"/>
        </w:trPr>
        <w:tc>
          <w:tcPr>
            <w:tcW w:w="4120" w:type="dxa"/>
            <w:vAlign w:val="bottom"/>
            <w:gridSpan w:val="2"/>
          </w:tcPr>
          <w:p>
            <w:pPr>
              <w:ind w:left="220"/>
              <w:spacing w:after="0"/>
              <w:rPr>
                <w:sz w:val="20"/>
                <w:szCs w:val="20"/>
                <w:color w:val="auto"/>
              </w:rPr>
            </w:pPr>
            <w:r>
              <w:rPr>
                <w:rFonts w:ascii="Arial" w:cs="Arial" w:eastAsia="Arial" w:hAnsi="Arial"/>
                <w:sz w:val="14"/>
                <w:szCs w:val="14"/>
                <w:color w:val="auto"/>
              </w:rPr>
              <w:t>Total revenue from contracts with customers</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10,687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110,299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120,986</w:t>
            </w:r>
          </w:p>
        </w:tc>
        <w:tc>
          <w:tcPr>
            <w:tcW w:w="0" w:type="dxa"/>
            <w:vAlign w:val="bottom"/>
          </w:tcPr>
          <w:p>
            <w:pPr>
              <w:spacing w:after="0"/>
              <w:rPr>
                <w:sz w:val="1"/>
                <w:szCs w:val="1"/>
                <w:color w:val="auto"/>
              </w:rPr>
            </w:pPr>
          </w:p>
        </w:tc>
      </w:tr>
      <w:tr>
        <w:trPr>
          <w:trHeight w:val="269"/>
        </w:trPr>
        <w:tc>
          <w:tcPr>
            <w:tcW w:w="4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4120" w:type="dxa"/>
            <w:vAlign w:val="bottom"/>
            <w:gridSpan w:val="2"/>
          </w:tcPr>
          <w:p>
            <w:pPr>
              <w:ind w:left="220"/>
              <w:spacing w:after="0"/>
              <w:rPr>
                <w:sz w:val="20"/>
                <w:szCs w:val="20"/>
                <w:color w:val="auto"/>
              </w:rPr>
            </w:pPr>
            <w:r>
              <w:rPr>
                <w:rFonts w:ascii="Arial" w:cs="Arial" w:eastAsia="Arial" w:hAnsi="Arial"/>
                <w:sz w:val="14"/>
                <w:szCs w:val="14"/>
                <w:color w:val="auto"/>
              </w:rPr>
              <w:t>Other sources of revenue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437,199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720"/>
              <w:spacing w:after="0"/>
              <w:rPr>
                <w:sz w:val="20"/>
                <w:szCs w:val="20"/>
                <w:color w:val="auto"/>
              </w:rPr>
            </w:pPr>
            <w:r>
              <w:rPr>
                <w:rFonts w:ascii="Arial" w:cs="Arial" w:eastAsia="Arial" w:hAnsi="Arial"/>
                <w:sz w:val="14"/>
                <w:szCs w:val="14"/>
                <w:color w:val="auto"/>
                <w:w w:val="90"/>
              </w:rPr>
              <w:t>(6,441)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440,058</w:t>
            </w:r>
          </w:p>
        </w:tc>
        <w:tc>
          <w:tcPr>
            <w:tcW w:w="0" w:type="dxa"/>
            <w:vAlign w:val="bottom"/>
          </w:tcPr>
          <w:p>
            <w:pPr>
              <w:spacing w:after="0"/>
              <w:rPr>
                <w:sz w:val="1"/>
                <w:szCs w:val="1"/>
                <w:color w:val="auto"/>
              </w:rPr>
            </w:pPr>
          </w:p>
        </w:tc>
      </w:tr>
      <w:tr>
        <w:trPr>
          <w:trHeight w:val="269"/>
        </w:trPr>
        <w:tc>
          <w:tcPr>
            <w:tcW w:w="4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120" w:type="dxa"/>
            <w:vAlign w:val="bottom"/>
            <w:gridSpan w:val="2"/>
          </w:tcPr>
          <w:p>
            <w:pPr>
              <w:ind w:left="2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447,886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119,599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w w:val="90"/>
              </w:rPr>
              <w:t>(6,441)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561,044</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0"/>
              </w:rPr>
              <w:t>(6,441)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543,066</w:t>
            </w:r>
          </w:p>
        </w:tc>
        <w:tc>
          <w:tcPr>
            <w:tcW w:w="0" w:type="dxa"/>
            <w:vAlign w:val="bottom"/>
          </w:tcPr>
          <w:p>
            <w:pPr>
              <w:spacing w:after="0"/>
              <w:rPr>
                <w:sz w:val="1"/>
                <w:szCs w:val="1"/>
                <w:color w:val="auto"/>
              </w:rPr>
            </w:pPr>
          </w:p>
        </w:tc>
      </w:tr>
      <w:tr>
        <w:trPr>
          <w:trHeight w:val="187"/>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17,978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17,978</w:t>
            </w:r>
          </w:p>
        </w:tc>
        <w:tc>
          <w:tcPr>
            <w:tcW w:w="0" w:type="dxa"/>
            <w:vAlign w:val="bottom"/>
          </w:tcPr>
          <w:p>
            <w:pPr>
              <w:spacing w:after="0"/>
              <w:rPr>
                <w:sz w:val="1"/>
                <w:szCs w:val="1"/>
                <w:color w:val="auto"/>
              </w:rPr>
            </w:pPr>
          </w:p>
        </w:tc>
      </w:tr>
      <w:tr>
        <w:trPr>
          <w:trHeight w:val="219"/>
        </w:trPr>
        <w:tc>
          <w:tcPr>
            <w:tcW w:w="41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447,886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w w:val="90"/>
              </w:rPr>
              <w:t>(6,441)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561,044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 2023</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Commissions,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22,677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220,372</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243,049</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Workflow technology</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69,058</w:t>
            </w:r>
          </w:p>
        </w:tc>
        <w:tc>
          <w:tcPr>
            <w:tcW w:w="0" w:type="dxa"/>
            <w:vAlign w:val="bottom"/>
          </w:tcPr>
          <w:p>
            <w:pPr>
              <w:spacing w:after="0"/>
              <w:rPr>
                <w:sz w:val="1"/>
                <w:szCs w:val="1"/>
                <w:color w:val="auto"/>
              </w:rPr>
            </w:pPr>
          </w:p>
        </w:tc>
      </w:tr>
      <w:tr>
        <w:trPr>
          <w:trHeight w:val="187"/>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Analytics</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29,116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29,116</w:t>
            </w:r>
          </w:p>
        </w:tc>
        <w:tc>
          <w:tcPr>
            <w:tcW w:w="0" w:type="dxa"/>
            <w:vAlign w:val="bottom"/>
          </w:tcPr>
          <w:p>
            <w:pPr>
              <w:spacing w:after="0"/>
              <w:rPr>
                <w:sz w:val="1"/>
                <w:szCs w:val="1"/>
                <w:color w:val="auto"/>
              </w:rPr>
            </w:pPr>
          </w:p>
        </w:tc>
      </w:tr>
      <w:tr>
        <w:trPr>
          <w:trHeight w:val="194"/>
        </w:trPr>
        <w:tc>
          <w:tcPr>
            <w:tcW w:w="41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 from contracts with customers</w:t>
            </w: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318,546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341,223</w:t>
            </w:r>
          </w:p>
        </w:tc>
        <w:tc>
          <w:tcPr>
            <w:tcW w:w="0" w:type="dxa"/>
            <w:vAlign w:val="bottom"/>
          </w:tcPr>
          <w:p>
            <w:pPr>
              <w:spacing w:after="0"/>
              <w:rPr>
                <w:sz w:val="1"/>
                <w:szCs w:val="1"/>
                <w:color w:val="auto"/>
              </w:rPr>
            </w:pPr>
          </w:p>
        </w:tc>
      </w:tr>
      <w:tr>
        <w:trPr>
          <w:trHeight w:val="259"/>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sources of revenue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1,398,845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4"/>
              </w:rPr>
              <w:t>(4,171)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1,416,173</w:t>
            </w:r>
          </w:p>
        </w:tc>
        <w:tc>
          <w:tcPr>
            <w:tcW w:w="0" w:type="dxa"/>
            <w:vAlign w:val="bottom"/>
          </w:tcPr>
          <w:p>
            <w:pPr>
              <w:spacing w:after="0"/>
              <w:rPr>
                <w:sz w:val="1"/>
                <w:szCs w:val="1"/>
                <w:color w:val="auto"/>
              </w:rPr>
            </w:pPr>
          </w:p>
        </w:tc>
      </w:tr>
      <w:tr>
        <w:trPr>
          <w:trHeight w:val="259"/>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1,421,522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340,045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w w:val="94"/>
              </w:rPr>
              <w:t>(4,171)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1,757,396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1,421,522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285,570</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700"/>
              <w:spacing w:after="0"/>
              <w:rPr>
                <w:sz w:val="20"/>
                <w:szCs w:val="20"/>
                <w:color w:val="auto"/>
              </w:rPr>
            </w:pPr>
            <w:r>
              <w:rPr>
                <w:rFonts w:ascii="Arial" w:cs="Arial" w:eastAsia="Arial" w:hAnsi="Arial"/>
                <w:sz w:val="14"/>
                <w:szCs w:val="14"/>
                <w:color w:val="auto"/>
                <w:w w:val="94"/>
              </w:rPr>
              <w:t>(4,171)</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1,702,921</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54,475</w:t>
            </w:r>
          </w:p>
        </w:tc>
        <w:tc>
          <w:tcPr>
            <w:tcW w:w="0" w:type="dxa"/>
            <w:vAlign w:val="bottom"/>
          </w:tcPr>
          <w:p>
            <w:pPr>
              <w:spacing w:after="0"/>
              <w:rPr>
                <w:sz w:val="1"/>
                <w:szCs w:val="1"/>
                <w:color w:val="auto"/>
              </w:rPr>
            </w:pPr>
          </w:p>
        </w:tc>
      </w:tr>
      <w:tr>
        <w:trPr>
          <w:trHeight w:val="194"/>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1,421,522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340,045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w w:val="94"/>
              </w:rPr>
              <w:t>(4,171)</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1,757,396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Nine Months Ended September 30, 2022</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Execution Services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Commissions,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30,881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277,693</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308,574</w:t>
            </w:r>
          </w:p>
        </w:tc>
        <w:tc>
          <w:tcPr>
            <w:tcW w:w="0" w:type="dxa"/>
            <w:vAlign w:val="bottom"/>
          </w:tcPr>
          <w:p>
            <w:pPr>
              <w:spacing w:after="0"/>
              <w:rPr>
                <w:sz w:val="1"/>
                <w:szCs w:val="1"/>
                <w:color w:val="auto"/>
              </w:rPr>
            </w:pPr>
          </w:p>
        </w:tc>
      </w:tr>
      <w:tr>
        <w:trPr>
          <w:trHeight w:val="204"/>
        </w:trPr>
        <w:tc>
          <w:tcPr>
            <w:tcW w:w="4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73,238</w:t>
            </w:r>
          </w:p>
        </w:tc>
        <w:tc>
          <w:tcPr>
            <w:tcW w:w="0" w:type="dxa"/>
            <w:vAlign w:val="bottom"/>
          </w:tcPr>
          <w:p>
            <w:pPr>
              <w:spacing w:after="0"/>
              <w:rPr>
                <w:sz w:val="1"/>
                <w:szCs w:val="1"/>
                <w:color w:val="auto"/>
              </w:rPr>
            </w:pPr>
          </w:p>
        </w:tc>
      </w:tr>
      <w:tr>
        <w:trPr>
          <w:trHeight w:val="187"/>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30,169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30,169</w:t>
            </w:r>
          </w:p>
        </w:tc>
        <w:tc>
          <w:tcPr>
            <w:tcW w:w="0" w:type="dxa"/>
            <w:vAlign w:val="bottom"/>
          </w:tcPr>
          <w:p>
            <w:pPr>
              <w:spacing w:after="0"/>
              <w:rPr>
                <w:sz w:val="1"/>
                <w:szCs w:val="1"/>
                <w:color w:val="auto"/>
              </w:rPr>
            </w:pPr>
          </w:p>
        </w:tc>
      </w:tr>
      <w:tr>
        <w:trPr>
          <w:trHeight w:val="194"/>
        </w:trPr>
        <w:tc>
          <w:tcPr>
            <w:tcW w:w="41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30,881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381,100</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411,981</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1,396,163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1,455,063</w:t>
            </w:r>
          </w:p>
        </w:tc>
        <w:tc>
          <w:tcPr>
            <w:tcW w:w="0" w:type="dxa"/>
            <w:vAlign w:val="bottom"/>
          </w:tcPr>
          <w:p>
            <w:pPr>
              <w:spacing w:after="0"/>
              <w:rPr>
                <w:sz w:val="1"/>
                <w:szCs w:val="1"/>
                <w:color w:val="auto"/>
              </w:rPr>
            </w:pPr>
          </w:p>
        </w:tc>
      </w:tr>
      <w:tr>
        <w:trPr>
          <w:trHeight w:val="259"/>
        </w:trPr>
        <w:tc>
          <w:tcPr>
            <w:tcW w:w="4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1,427,044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402,340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1,867,044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1,427,044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347,934</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37,660</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1,812,638</w:t>
            </w:r>
          </w:p>
        </w:tc>
        <w:tc>
          <w:tcPr>
            <w:tcW w:w="0" w:type="dxa"/>
            <w:vAlign w:val="bottom"/>
          </w:tcPr>
          <w:p>
            <w:pPr>
              <w:spacing w:after="0"/>
              <w:rPr>
                <w:sz w:val="1"/>
                <w:szCs w:val="1"/>
                <w:color w:val="auto"/>
              </w:rPr>
            </w:pPr>
          </w:p>
        </w:tc>
      </w:tr>
      <w:tr>
        <w:trPr>
          <w:trHeight w:val="197"/>
        </w:trPr>
        <w:tc>
          <w:tcPr>
            <w:tcW w:w="4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54,406</w:t>
            </w:r>
          </w:p>
        </w:tc>
        <w:tc>
          <w:tcPr>
            <w:tcW w:w="0" w:type="dxa"/>
            <w:vAlign w:val="bottom"/>
          </w:tcPr>
          <w:p>
            <w:pPr>
              <w:spacing w:after="0"/>
              <w:rPr>
                <w:sz w:val="1"/>
                <w:szCs w:val="1"/>
                <w:color w:val="auto"/>
              </w:rPr>
            </w:pPr>
          </w:p>
        </w:tc>
      </w:tr>
      <w:tr>
        <w:trPr>
          <w:trHeight w:val="194"/>
        </w:trPr>
        <w:tc>
          <w:tcPr>
            <w:tcW w:w="4140" w:type="dxa"/>
            <w:vAlign w:val="bottom"/>
            <w:gridSpan w:val="2"/>
          </w:tcPr>
          <w:p>
            <w:pPr>
              <w:ind w:left="22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1,427,044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402,340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37,660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1,867,044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68580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900"/>
          </w:cols>
          <w:pgMar w:left="940" w:top="947" w:right="105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color w:val="auto"/>
        </w:rPr>
        <w:t>Remaining Performance Obligations and Revenue Recognized from Past Performance Obligations</w:t>
      </w:r>
    </w:p>
    <w:p>
      <w:pPr>
        <w:spacing w:after="0" w:line="245" w:lineRule="exact"/>
        <w:rPr>
          <w:sz w:val="20"/>
          <w:szCs w:val="20"/>
          <w:color w:val="auto"/>
        </w:rPr>
      </w:pPr>
    </w:p>
    <w:p>
      <w:pPr>
        <w:ind w:right="620" w:firstLine="622"/>
        <w:spacing w:after="0" w:line="284" w:lineRule="auto"/>
        <w:rPr>
          <w:sz w:val="20"/>
          <w:szCs w:val="20"/>
          <w:color w:val="auto"/>
        </w:rPr>
      </w:pPr>
      <w:r>
        <w:rPr>
          <w:rFonts w:ascii="Arial" w:cs="Arial" w:eastAsia="Arial" w:hAnsi="Arial"/>
          <w:sz w:val="17"/>
          <w:szCs w:val="17"/>
          <w:color w:val="auto"/>
        </w:rPr>
        <w:t>As of September 30, 2023 and 2022, the aggregate amount of the transaction price allocated to the performance obligations relating to workflow technology and analytics revenues that are unsatisfied (or partially unsatisfied) was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245" w:lineRule="exact"/>
        <w:rPr>
          <w:sz w:val="20"/>
          <w:szCs w:val="20"/>
          <w:color w:val="auto"/>
        </w:rPr>
      </w:pPr>
    </w:p>
    <w:p>
      <w:pPr>
        <w:ind w:right="140" w:firstLine="622"/>
        <w:spacing w:after="0" w:line="269"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8" w:lineRule="exact"/>
        <w:rPr>
          <w:sz w:val="20"/>
          <w:szCs w:val="20"/>
          <w:color w:val="auto"/>
        </w:rPr>
      </w:pPr>
    </w:p>
    <w:p>
      <w:pPr>
        <w:ind w:right="40" w:firstLine="622"/>
        <w:spacing w:after="0" w:line="317" w:lineRule="auto"/>
        <w:rPr>
          <w:sz w:val="20"/>
          <w:szCs w:val="20"/>
          <w:color w:val="auto"/>
        </w:rPr>
      </w:pPr>
      <w:r>
        <w:rPr>
          <w:rFonts w:ascii="Arial" w:cs="Arial" w:eastAsia="Arial" w:hAnsi="Arial"/>
          <w:sz w:val="16"/>
          <w:szCs w:val="16"/>
          <w:color w:val="auto"/>
        </w:rPr>
        <w:t>Receivables related to revenues from contracts with customers amounted to $52.7 million and $56.1 million as of September 30, 2023 and December 31, 2022, respectively. The Company did not identify any contract assets. There were no impairment losses on receivables as of September 30, 2023.</w:t>
      </w:r>
    </w:p>
    <w:p>
      <w:pPr>
        <w:spacing w:after="0" w:line="162" w:lineRule="exact"/>
        <w:rPr>
          <w:sz w:val="20"/>
          <w:szCs w:val="20"/>
          <w:color w:val="auto"/>
        </w:rPr>
      </w:pPr>
    </w:p>
    <w:p>
      <w:pPr>
        <w:ind w:right="180" w:firstLine="622"/>
        <w:spacing w:after="0" w:line="264" w:lineRule="auto"/>
        <w:rPr>
          <w:sz w:val="20"/>
          <w:szCs w:val="20"/>
          <w:color w:val="auto"/>
        </w:rPr>
      </w:pPr>
      <w:r>
        <w:rPr>
          <w:rFonts w:ascii="Arial" w:cs="Arial" w:eastAsia="Arial" w:hAnsi="Arial"/>
          <w:sz w:val="17"/>
          <w:szCs w:val="17"/>
          <w:color w:val="auto"/>
        </w:rPr>
        <w:t>Deferred revenue primarily relates to deferred commissions allocated to analytics products and subscription fees billed in advance of satisfying the performance obligations. Deferred revenue related to contracts with customers was $8.8 million and $9.6 million as of September 30, 2023 and December 31, 2022, respectively. The Company recognized the full amount of revenue during the nine months ended September 30, 2023 and 2022, that had been recorded as deferred revenue in the respective prior year.</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has not identified any costs to obtain or fulfill its contracts under ASC 606.</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38" w:lineRule="exact"/>
        <w:rPr>
          <w:sz w:val="20"/>
          <w:szCs w:val="20"/>
          <w:color w:val="auto"/>
        </w:rPr>
      </w:pPr>
    </w:p>
    <w:p>
      <w:pPr>
        <w:ind w:firstLine="622"/>
        <w:spacing w:after="0"/>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nine months ended September 30, 2023 and 2022,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$20.5 million, and 14.9%, and $21.7 million, and 21.4% for the three months ended September 30, 2023 and 2022, respectively and $51.1 million, and 16.6%, and $88.4 million, and 17.1% for the nine months ended September 30, 2023 and 2022, respectively. Income tax expense is also affected by the differing effective tax rates in foreign, state and local jurisdictions where certain of the Company’s subsidiaries are subject to corporate taxation.</w:t>
      </w:r>
    </w:p>
    <w:p>
      <w:pPr>
        <w:spacing w:after="0" w:line="224" w:lineRule="exact"/>
        <w:rPr>
          <w:sz w:val="20"/>
          <w:szCs w:val="20"/>
          <w:color w:val="auto"/>
        </w:rPr>
      </w:pPr>
    </w:p>
    <w:p>
      <w:pPr>
        <w:ind w:right="20" w:firstLine="622"/>
        <w:spacing w:after="0" w:line="279" w:lineRule="auto"/>
        <w:rPr>
          <w:sz w:val="20"/>
          <w:szCs w:val="20"/>
          <w:color w:val="auto"/>
        </w:rPr>
      </w:pPr>
      <w:r>
        <w:rPr>
          <w:rFonts w:ascii="Arial" w:cs="Arial" w:eastAsia="Arial" w:hAnsi="Arial"/>
          <w:sz w:val="16"/>
          <w:szCs w:val="16"/>
          <w:color w:val="auto"/>
        </w:rPr>
        <w:t>Included in Other assets on the Condensed Consolidated Statements of Financial Condition at September 30, 2023 and December 31, 2022 are current income tax receivables of $45.9 million and $54.1 million, respectively. The balances at September 30, 2023 and December 31, 2022 primarily comprised income tax benefits due to the Company from federal, state, local, and foreign tax jurisdictions based on income before taxes. Included in Accounts payable, accrued expenses and other liabilities on the Condensed Consolidated Statements of Financial Condition at September 30, 2023 and December 31, 2022 are current tax liabilities of $7.5 million and $13.4 million, respectively. The balances at September 30, 2023 and December 31, 2022 primarily comprise income taxes owed to federal, state and local, and foreign tax jurisdictions based on income before taxes.</w:t>
      </w:r>
    </w:p>
    <w:p>
      <w:pPr>
        <w:spacing w:after="0" w:line="195" w:lineRule="exact"/>
        <w:rPr>
          <w:sz w:val="20"/>
          <w:szCs w:val="20"/>
          <w:color w:val="auto"/>
        </w:rPr>
      </w:pPr>
    </w:p>
    <w:p>
      <w:pPr>
        <w:ind w:right="280" w:firstLine="622"/>
        <w:spacing w:after="0" w:line="321" w:lineRule="auto"/>
        <w:rPr>
          <w:sz w:val="20"/>
          <w:szCs w:val="20"/>
          <w:color w:val="auto"/>
        </w:rPr>
      </w:pPr>
      <w:r>
        <w:rPr>
          <w:rFonts w:ascii="Arial" w:cs="Arial" w:eastAsia="Arial" w:hAnsi="Arial"/>
          <w:sz w:val="15"/>
          <w:szCs w:val="15"/>
          <w:color w:val="auto"/>
        </w:rPr>
        <w:t>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36" w:name="page37"/>
    <w:bookmarkEnd w:id="36"/>
    <w:p>
      <w:pPr>
        <w:ind w:right="40" w:firstLine="622"/>
        <w:spacing w:after="0" w:line="278" w:lineRule="auto"/>
        <w:rPr>
          <w:sz w:val="20"/>
          <w:szCs w:val="20"/>
          <w:color w:val="auto"/>
        </w:rPr>
      </w:pPr>
      <w:r>
        <w:rPr>
          <w:rFonts w:ascii="Arial" w:cs="Arial" w:eastAsia="Arial" w:hAnsi="Arial"/>
          <w:sz w:val="16"/>
          <w:szCs w:val="16"/>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September 30, 2023 and December 31, 2022, the Company did not have any U.S. federal net operating loss carryforwards and therefore the Company did not record a deferred tax asset related to federal net operating loss carryforwards. At September 30, 2023 and December 31, 2022,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181" w:lineRule="exact"/>
        <w:rPr>
          <w:sz w:val="20"/>
          <w:szCs w:val="20"/>
          <w:color w:val="auto"/>
        </w:rPr>
      </w:pPr>
    </w:p>
    <w:p>
      <w:pPr>
        <w:ind w:firstLine="622"/>
        <w:spacing w:after="0" w:line="243" w:lineRule="auto"/>
        <w:rPr>
          <w:sz w:val="20"/>
          <w:szCs w:val="20"/>
          <w:color w:val="auto"/>
        </w:rPr>
      </w:pPr>
      <w:r>
        <w:rPr>
          <w:rFonts w:ascii="Arial" w:cs="Arial" w:eastAsia="Arial" w:hAnsi="Arial"/>
          <w:sz w:val="17"/>
          <w:szCs w:val="17"/>
          <w:color w:val="auto"/>
        </w:rPr>
        <w:t>As a result of the ITG Acquisition, the Company had non-U.S. net operating losses of $65.4 million and $64.6 million at September 30, 2023 and December 31, 2022, respectively, and recorded a related deferred tax asset of $12.3 million and $12.4 million, respectively. A valuation allowance of $12.3 million and $12.4 million was recorded against this deferred tax asset at September 30, 2023 and December 31, 2022, respectively as it is more likely than not that a substantial portion of this deferred tax asset will not be realized. As a result of the Acquisition of KCG, the Company had non-U.S. net operating losses at September 30, 2023 and December 31, 2022 of $239.3 million, and recorded a related deferred tax asset of $44.9 million in both years. A full valuation allowance was also recorded against this deferred tax asset at both September 30, 2023 and December 31, 2022 as it is more likely than not that this deferred tax asset will not be realized.</w:t>
      </w:r>
    </w:p>
    <w:p>
      <w:pPr>
        <w:spacing w:after="0" w:line="209" w:lineRule="exact"/>
        <w:rPr>
          <w:sz w:val="20"/>
          <w:szCs w:val="20"/>
          <w:color w:val="auto"/>
        </w:rPr>
      </w:pPr>
    </w:p>
    <w:p>
      <w:pPr>
        <w:ind w:right="220" w:firstLine="622"/>
        <w:spacing w:after="0" w:line="284" w:lineRule="auto"/>
        <w:rPr>
          <w:sz w:val="20"/>
          <w:szCs w:val="20"/>
          <w:color w:val="auto"/>
        </w:rPr>
      </w:pPr>
      <w:r>
        <w:rPr>
          <w:rFonts w:ascii="Arial" w:cs="Arial" w:eastAsia="Arial" w:hAnsi="Arial"/>
          <w:sz w:val="17"/>
          <w:szCs w:val="17"/>
          <w:color w:val="auto"/>
        </w:rPr>
        <w:t>No valuation allowance against the remaining deferred taxes was recorded as of September 30, 2023 and December 31, 2022 because it is more likely than not that these deferred tax assets will be fully realized.</w:t>
      </w:r>
    </w:p>
    <w:p>
      <w:pPr>
        <w:spacing w:after="0" w:line="186" w:lineRule="exact"/>
        <w:rPr>
          <w:sz w:val="20"/>
          <w:szCs w:val="20"/>
          <w:color w:val="auto"/>
        </w:rPr>
      </w:pPr>
    </w:p>
    <w:p>
      <w:pPr>
        <w:ind w:right="140" w:firstLine="622"/>
        <w:spacing w:after="0" w:line="305" w:lineRule="auto"/>
        <w:rPr>
          <w:sz w:val="20"/>
          <w:szCs w:val="20"/>
          <w:color w:val="auto"/>
        </w:rPr>
      </w:pPr>
      <w:r>
        <w:rPr>
          <w:rFonts w:ascii="Arial" w:cs="Arial" w:eastAsia="Arial" w:hAnsi="Arial"/>
          <w:sz w:val="15"/>
          <w:szCs w:val="15"/>
          <w:color w:val="auto"/>
        </w:rPr>
        <w:t>The Company is subject to taxation in U.S. federal, state, local and foreign jurisdictions. As of September 30, 2023, the Company’s tax years for 2015 through 2022 and 2016 through 2022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2022.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75" w:lineRule="exact"/>
        <w:rPr>
          <w:sz w:val="20"/>
          <w:szCs w:val="20"/>
          <w:color w:val="auto"/>
        </w:rPr>
      </w:pPr>
    </w:p>
    <w:p>
      <w:pPr>
        <w:jc w:val="both"/>
        <w:ind w:right="20" w:firstLine="622"/>
        <w:spacing w:after="0" w:line="294" w:lineRule="auto"/>
        <w:rPr>
          <w:sz w:val="20"/>
          <w:szCs w:val="20"/>
          <w:color w:val="auto"/>
        </w:rPr>
      </w:pPr>
      <w:r>
        <w:rPr>
          <w:rFonts w:ascii="Arial" w:cs="Arial" w:eastAsia="Arial" w:hAnsi="Arial"/>
          <w:sz w:val="16"/>
          <w:szCs w:val="16"/>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80" w:lineRule="exact"/>
        <w:rPr>
          <w:sz w:val="20"/>
          <w:szCs w:val="20"/>
          <w:color w:val="auto"/>
        </w:rPr>
      </w:pPr>
    </w:p>
    <w:p>
      <w:pPr>
        <w:ind w:right="220" w:firstLine="622"/>
        <w:spacing w:after="0" w:line="269" w:lineRule="auto"/>
        <w:rPr>
          <w:sz w:val="20"/>
          <w:szCs w:val="20"/>
          <w:color w:val="auto"/>
        </w:rPr>
      </w:pPr>
      <w:r>
        <w:rPr>
          <w:rFonts w:ascii="Arial" w:cs="Arial" w:eastAsia="Arial" w:hAnsi="Arial"/>
          <w:sz w:val="17"/>
          <w:szCs w:val="17"/>
          <w:color w:val="auto"/>
        </w:rPr>
        <w:t>The Company had $7.0 million of unrecognized tax benefits as of September 30, 2023, all of which would affect the Company’s effective tax rate if recognized. The Company has determined that there are no uncertain tax positions that would have a material impact on the Company’s financial position as of September 30, 2023.</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Contingencies and Guarantees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Regulatory Proceedings</w:t>
      </w:r>
    </w:p>
    <w:p>
      <w:pPr>
        <w:spacing w:after="0" w:line="232" w:lineRule="exact"/>
        <w:rPr>
          <w:sz w:val="20"/>
          <w:szCs w:val="20"/>
          <w:color w:val="auto"/>
        </w:rPr>
      </w:pPr>
    </w:p>
    <w:p>
      <w:pPr>
        <w:ind w:right="80" w:firstLine="622"/>
        <w:spacing w:after="0" w:line="279" w:lineRule="auto"/>
        <w:rPr>
          <w:sz w:val="20"/>
          <w:szCs w:val="20"/>
          <w:color w:val="auto"/>
        </w:rPr>
      </w:pPr>
      <w:r>
        <w:rPr>
          <w:rFonts w:ascii="Arial" w:cs="Arial" w:eastAsia="Arial" w:hAnsi="Arial"/>
          <w:sz w:val="15"/>
          <w:szCs w:val="15"/>
          <w:color w:val="auto"/>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the U.S. Securities and Exchange Commission undertook an investigation of aspects of the Company’s internal information access barriers. The Company cooperated with this civil investigation and engaged in settlement discussions but has been unable to reach a settlement. In September 2023, the SEC filed an action against the Company alleging violations of federal securities laws with respect to the Company’s information barriers policies and procedures for a specified time period in and around January 2018 to April 2019 and related statements made</w:t>
      </w:r>
    </w:p>
    <w:p>
      <w:pPr>
        <w:spacing w:after="0" w:line="3"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color w:val="auto"/>
        </w:rPr>
        <w:t>by the Company during such period. The Company believes it has meritorious defenses and intends to defend itself vigorously. Specifically, the Company plans to assert,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37" w:name="page38"/>
    <w:bookmarkEnd w:id="37"/>
    <w:p>
      <w:pPr>
        <w:ind w:right="20" w:firstLine="622"/>
        <w:spacing w:after="0" w:line="278" w:lineRule="auto"/>
        <w:rPr>
          <w:sz w:val="20"/>
          <w:szCs w:val="20"/>
          <w:color w:val="auto"/>
        </w:rPr>
      </w:pPr>
      <w:r>
        <w:rPr>
          <w:rFonts w:ascii="Arial" w:cs="Arial" w:eastAsia="Arial" w:hAnsi="Arial"/>
          <w:sz w:val="16"/>
          <w:szCs w:val="16"/>
          <w:color w:val="auto"/>
        </w:rPr>
        <w:t xml:space="preserve">In a matter related to the SEC investigation noted above, on May 19, 2023, the Company and certain of its current and former executive officers were named as defendants in </w:t>
      </w:r>
      <w:r>
        <w:rPr>
          <w:rFonts w:ascii="Arial" w:cs="Arial" w:eastAsia="Arial" w:hAnsi="Arial"/>
          <w:sz w:val="16"/>
          <w:szCs w:val="16"/>
          <w:i w:val="1"/>
          <w:iCs w:val="1"/>
          <w:color w:val="auto"/>
        </w:rPr>
        <w:t>Hiebert v. Virtu Financial, Inc.,</w:t>
      </w:r>
      <w:r>
        <w:rPr>
          <w:rFonts w:ascii="Arial" w:cs="Arial" w:eastAsia="Arial" w:hAnsi="Arial"/>
          <w:sz w:val="16"/>
          <w:szCs w:val="16"/>
          <w:color w:val="auto"/>
        </w:rPr>
        <w:t xml:space="preserve"> No. 23-cv-03770. The complaint was filed by a purported stockholder in the Eastern District of New York on behalf of a putative class and asserts that the Company made materially false and misleading statements and omissions in its public filings in violation of federal securities laws, and is expected to be amended and restated by the newly appointed lead plaintiff. The Company also received a request for information pursuant to Section 220 of the Delaware General Corporation Law from counsel for a purported stockholder. The Company believes it has meritorious defenses against pending or contemplated claims that its public disclosures in relation to the SEC investigation were inadequate or misleading. The Company maintains that such disclosures were true and accurate and compliant with applicable law and will defend itself vigorously.</w:t>
      </w:r>
    </w:p>
    <w:p>
      <w:pPr>
        <w:spacing w:after="0" w:line="181" w:lineRule="exact"/>
        <w:rPr>
          <w:sz w:val="20"/>
          <w:szCs w:val="20"/>
          <w:color w:val="auto"/>
        </w:rPr>
      </w:pPr>
    </w:p>
    <w:p>
      <w:pPr>
        <w:ind w:firstLine="622"/>
        <w:spacing w:after="0" w:line="244" w:lineRule="auto"/>
        <w:rPr>
          <w:sz w:val="20"/>
          <w:szCs w:val="20"/>
          <w:color w:val="auto"/>
        </w:rPr>
      </w:pPr>
      <w:r>
        <w:rPr>
          <w:rFonts w:ascii="Arial" w:cs="Arial" w:eastAsia="Arial" w:hAnsi="Arial"/>
          <w:sz w:val="17"/>
          <w:szCs w:val="17"/>
          <w:color w:val="auto"/>
        </w:rPr>
        <w:t xml:space="preserve">On November 30, 2020, the Company was named as a defendant in </w:t>
      </w:r>
      <w:r>
        <w:rPr>
          <w:rFonts w:ascii="Arial" w:cs="Arial" w:eastAsia="Arial" w:hAnsi="Arial"/>
          <w:sz w:val="17"/>
          <w:szCs w:val="17"/>
          <w:i w:val="1"/>
          <w:iCs w:val="1"/>
          <w:color w:val="auto"/>
        </w:rPr>
        <w:t>In re United States Oil Fund, LP Securities Litigation</w:t>
      </w:r>
      <w:r>
        <w:rPr>
          <w:rFonts w:ascii="Arial" w:cs="Arial" w:eastAsia="Arial" w:hAnsi="Arial"/>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spacing w:after="0" w:line="208" w:lineRule="exact"/>
        <w:rPr>
          <w:sz w:val="20"/>
          <w:szCs w:val="20"/>
          <w:color w:val="auto"/>
        </w:rPr>
      </w:pPr>
    </w:p>
    <w:p>
      <w:pPr>
        <w:ind w:right="80" w:firstLine="622"/>
        <w:spacing w:after="0"/>
        <w:rPr>
          <w:sz w:val="20"/>
          <w:szCs w:val="20"/>
          <w:color w:val="auto"/>
        </w:rPr>
      </w:pPr>
      <w:r>
        <w:rPr>
          <w:rFonts w:ascii="Arial" w:cs="Arial" w:eastAsia="Arial" w:hAnsi="Arial"/>
          <w:sz w:val="17"/>
          <w:szCs w:val="17"/>
          <w:color w:val="auto"/>
        </w:rPr>
        <w:t xml:space="preserve">On March 7, 2022, the Company was named as a defendant in </w:t>
      </w:r>
      <w:r>
        <w:rPr>
          <w:rFonts w:ascii="Arial" w:cs="Arial" w:eastAsia="Arial" w:hAnsi="Arial"/>
          <w:sz w:val="17"/>
          <w:szCs w:val="17"/>
          <w:i w:val="1"/>
          <w:iCs w:val="1"/>
          <w:color w:val="auto"/>
        </w:rPr>
        <w:t>Iron Workers Local No. 55 Pension Fund v. Virtu Financial, Inc.</w:t>
      </w:r>
      <w:r>
        <w:rPr>
          <w:rFonts w:ascii="Arial" w:cs="Arial" w:eastAsia="Arial" w:hAnsi="Arial"/>
          <w:sz w:val="17"/>
          <w:szCs w:val="17"/>
          <w:color w:val="auto"/>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has made substantial productions of documents and other information in response to plaintiff's requests. Though no substantive claim has been brought, the Company believes that any potential allegations of wrongdoing are without merit and is defending itself vigorously.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On October 17, 2022, the Company’s subsidiary, along with several other parties, was named as a defendant in </w:t>
      </w:r>
      <w:r>
        <w:rPr>
          <w:rFonts w:ascii="Arial" w:cs="Arial" w:eastAsia="Arial" w:hAnsi="Arial"/>
          <w:sz w:val="16"/>
          <w:szCs w:val="16"/>
          <w:i w:val="1"/>
          <w:iCs w:val="1"/>
          <w:color w:val="auto"/>
        </w:rPr>
        <w:t>Mallinckrodt PLC, et al. (Reorganized</w:t>
      </w:r>
    </w:p>
    <w:p>
      <w:pPr>
        <w:spacing w:after="0" w:line="3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i w:val="1"/>
          <w:iCs w:val="1"/>
          <w:color w:val="auto"/>
        </w:rPr>
        <w:t xml:space="preserve">Debtors); Opioid Master Disbursement Trust II v. Argos Capital Appreciation Master Fund LP et al </w:t>
      </w:r>
      <w:r>
        <w:rPr>
          <w:rFonts w:ascii="Arial" w:cs="Arial" w:eastAsia="Arial" w:hAnsi="Arial"/>
          <w:sz w:val="17"/>
          <w:szCs w:val="17"/>
          <w:color w:val="auto"/>
        </w:rPr>
        <w:t>No. 20-12522. The complaint alleges that Mallinckrodt PLC</w:t>
      </w:r>
      <w:r>
        <w:rPr>
          <w:rFonts w:ascii="Arial" w:cs="Arial" w:eastAsia="Arial" w:hAnsi="Arial"/>
          <w:sz w:val="17"/>
          <w:szCs w:val="17"/>
          <w:i w:val="1"/>
          <w:iCs w:val="1"/>
          <w:color w:val="auto"/>
        </w:rPr>
        <w:t xml:space="preserve"> </w:t>
      </w:r>
      <w:r>
        <w:rPr>
          <w:rFonts w:ascii="Arial" w:cs="Arial" w:eastAsia="Arial" w:hAnsi="Arial"/>
          <w:sz w:val="17"/>
          <w:szCs w:val="17"/>
          <w:color w:val="auto"/>
        </w:rPr>
        <w:t>engaged in a share repurchase program from 2015 through 2018 pursuant to which it repurchased its own shares in various open market transactions, a period during which it was allegedly insolvent. The plaintiff is seeking to unwind the transactions consummated under the program, alleging such transactions constituted fraudulent transfers by the debtor. The Company believes it has meritorious defenses against any unwinding of transactions, which it has asserted, and will continue to defend itself vigorously.</w:t>
      </w:r>
    </w:p>
    <w:p>
      <w:pPr>
        <w:spacing w:after="0" w:line="194" w:lineRule="exact"/>
        <w:rPr>
          <w:sz w:val="20"/>
          <w:szCs w:val="20"/>
          <w:color w:val="auto"/>
        </w:rPr>
      </w:pPr>
    </w:p>
    <w:p>
      <w:pPr>
        <w:ind w:right="60" w:firstLine="622"/>
        <w:spacing w:after="0" w:line="248" w:lineRule="auto"/>
        <w:rPr>
          <w:sz w:val="20"/>
          <w:szCs w:val="20"/>
          <w:color w:val="auto"/>
        </w:rPr>
      </w:pPr>
      <w:r>
        <w:rPr>
          <w:rFonts w:ascii="Arial" w:cs="Arial" w:eastAsia="Arial" w:hAnsi="Arial"/>
          <w:sz w:val="17"/>
          <w:szCs w:val="17"/>
          <w:color w:val="auto"/>
        </w:rPr>
        <w:t xml:space="preserve">On December 1, 2022, the Company’s subsidiary, along with several other parties, was named as a defendant in </w:t>
      </w:r>
      <w:r>
        <w:rPr>
          <w:rFonts w:ascii="Arial" w:cs="Arial" w:eastAsia="Arial" w:hAnsi="Arial"/>
          <w:sz w:val="17"/>
          <w:szCs w:val="17"/>
          <w:i w:val="1"/>
          <w:iCs w:val="1"/>
          <w:color w:val="auto"/>
        </w:rPr>
        <w:t>Northwest Biotherapeutics, Inc.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Canaccord Genuity LLC, et al </w:t>
      </w:r>
      <w:r>
        <w:rPr>
          <w:rFonts w:ascii="Arial" w:cs="Arial" w:eastAsia="Arial" w:hAnsi="Arial"/>
          <w:sz w:val="17"/>
          <w:szCs w:val="17"/>
          <w:color w:val="auto"/>
        </w:rPr>
        <w:t>No. 1:22-cv-10185. The complaint alleges that defendants engaged in market manipulation in the plaintiff’s stock during a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2018 to 2022. The complaint did not specify the amount of alleged damages. The Company believes that the claims are without merit and is defending itself vigorously.</w:t>
      </w:r>
    </w:p>
    <w:p>
      <w:pPr>
        <w:spacing w:after="0" w:line="203" w:lineRule="exact"/>
        <w:rPr>
          <w:sz w:val="20"/>
          <w:szCs w:val="20"/>
          <w:color w:val="auto"/>
        </w:rPr>
      </w:pPr>
    </w:p>
    <w:p>
      <w:pPr>
        <w:ind w:right="60" w:firstLine="622"/>
        <w:spacing w:after="0" w:line="256" w:lineRule="auto"/>
        <w:rPr>
          <w:sz w:val="20"/>
          <w:szCs w:val="20"/>
          <w:color w:val="auto"/>
        </w:rPr>
      </w:pPr>
      <w:r>
        <w:rPr>
          <w:rFonts w:ascii="Arial" w:cs="Arial" w:eastAsia="Arial" w:hAnsi="Arial"/>
          <w:sz w:val="16"/>
          <w:szCs w:val="16"/>
          <w:color w:val="auto"/>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32" w:lineRule="exact"/>
        <w:rPr>
          <w:sz w:val="20"/>
          <w:szCs w:val="20"/>
          <w:color w:val="auto"/>
        </w:rPr>
      </w:pPr>
    </w:p>
    <w:p>
      <w:pPr>
        <w:ind w:firstLine="622"/>
        <w:spacing w:after="0" w:line="254" w:lineRule="auto"/>
        <w:rPr>
          <w:sz w:val="20"/>
          <w:szCs w:val="20"/>
          <w:color w:val="auto"/>
        </w:rPr>
      </w:pPr>
      <w:r>
        <w:rPr>
          <w:rFonts w:ascii="Arial" w:cs="Arial" w:eastAsia="Arial" w:hAnsi="Arial"/>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Specifically, in 2022 the SEC proposed several rule changes focused on equity market structure reform. These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the implementation of certain Market Data Infrastructure Rules, and amendment to the odd-lot information definition adopted under the MDI rules (collectively referred to as the “tick size, access fees and infostructure rule proposals”), and (iv) amendments to Rule 605 of Regulation NMS, along with a series of amendments to the definition of Exchange and Alternative Trading Systems (ATS), which would expand the scope of exchange and ATS registration and compliance requirements. Further, in 2023, the SEC proposed amendments to expand and update Regulation Systems Compliance and Integrity (SCI) and to restrict volume based tiered pricing by equity exchanges in certain cases, approved an amendment to adopt a revised funding model for the Consolidated Audit Trail (CAT), and has indicated that additional rule proposals may be forthcoming. If adopted, these or other potential rule changes could adversely affect the Company’s business or the Company’s industry.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2022, as filed with the Securities and Exchange Commission ("SEC") on February 17, 2023 (the "2022 Form 10-K").</w:t>
      </w:r>
    </w:p>
    <w:p>
      <w:pPr>
        <w:spacing w:after="0" w:line="214" w:lineRule="exact"/>
        <w:rPr>
          <w:sz w:val="20"/>
          <w:szCs w:val="20"/>
          <w:color w:val="auto"/>
        </w:rPr>
      </w:pPr>
    </w:p>
    <w:p>
      <w:pPr>
        <w:ind w:right="300" w:firstLine="622"/>
        <w:spacing w:after="0" w:line="317" w:lineRule="auto"/>
        <w:rPr>
          <w:sz w:val="20"/>
          <w:szCs w:val="20"/>
          <w:color w:val="auto"/>
        </w:rPr>
      </w:pPr>
      <w:r>
        <w:rPr>
          <w:rFonts w:ascii="Arial" w:cs="Arial" w:eastAsia="Arial" w:hAnsi="Arial"/>
          <w:sz w:val="16"/>
          <w:szCs w:val="16"/>
          <w:color w:val="auto"/>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45" w:lineRule="exact"/>
        <w:rPr>
          <w:sz w:val="20"/>
          <w:szCs w:val="20"/>
          <w:color w:val="auto"/>
        </w:rPr>
      </w:pPr>
    </w:p>
    <w:p>
      <w:pPr>
        <w:ind w:right="140" w:firstLine="622"/>
        <w:spacing w:after="0" w:line="279"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w:t>
      </w:r>
    </w:p>
    <w:p>
      <w:pPr>
        <w:spacing w:after="0" w:line="195" w:lineRule="exact"/>
        <w:rPr>
          <w:sz w:val="20"/>
          <w:szCs w:val="20"/>
          <w:color w:val="auto"/>
        </w:rPr>
      </w:pPr>
    </w:p>
    <w:p>
      <w:pPr>
        <w:ind w:right="60" w:firstLine="622"/>
        <w:spacing w:after="0" w:line="262" w:lineRule="auto"/>
        <w:rPr>
          <w:sz w:val="20"/>
          <w:szCs w:val="20"/>
          <w:color w:val="auto"/>
        </w:rPr>
      </w:pPr>
      <w:r>
        <w:rPr>
          <w:rFonts w:ascii="Arial" w:cs="Arial" w:eastAsia="Arial" w:hAnsi="Arial"/>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15. Leases</w:t>
      </w:r>
    </w:p>
    <w:p>
      <w:pPr>
        <w:spacing w:after="0" w:line="251" w:lineRule="exact"/>
        <w:rPr>
          <w:sz w:val="20"/>
          <w:szCs w:val="20"/>
          <w:color w:val="auto"/>
        </w:rPr>
      </w:pPr>
    </w:p>
    <w:p>
      <w:pPr>
        <w:jc w:val="both"/>
        <w:ind w:right="240" w:firstLine="622"/>
        <w:spacing w:after="0" w:line="269" w:lineRule="auto"/>
        <w:rPr>
          <w:sz w:val="20"/>
          <w:szCs w:val="20"/>
          <w:color w:val="auto"/>
        </w:rPr>
      </w:pPr>
      <w:r>
        <w:rPr>
          <w:rFonts w:ascii="Arial" w:cs="Arial" w:eastAsia="Arial" w:hAnsi="Arial"/>
          <w:sz w:val="17"/>
          <w:szCs w:val="17"/>
          <w:color w:val="auto"/>
        </w:rPr>
        <w:t>The Company primarily enters into lessee arrangements for corporate office space, data centers, and technology equipment. For more information on lease accounting, see Note 2 "Summary of Significant Accounting Policies" and Note 16 "Leases" to the Consolidated Financial Statements of the Company's 2022 Annual Report on Form 10-K.</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Lease assets and liabilities are summarized as follows:</w:t>
      </w:r>
    </w:p>
    <w:p>
      <w:pPr>
        <w:sectPr>
          <w:pgSz w:w="11900" w:h="16838" w:orient="portrait"/>
          <w:cols w:equalWidth="0" w:num="1">
            <w:col w:w="11160"/>
          </w:cols>
          <w:pgMar w:left="320" w:top="964" w:right="419" w:bottom="1440" w:gutter="0" w:footer="0" w:header="0"/>
        </w:sect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Operating leases</w:t>
      </w:r>
    </w:p>
    <w:p>
      <w:pPr>
        <w:spacing w:after="0" w:line="33" w:lineRule="exact"/>
        <w:rPr>
          <w:sz w:val="20"/>
          <w:szCs w:val="20"/>
          <w:color w:val="auto"/>
        </w:rPr>
      </w:pPr>
    </w:p>
    <w:p>
      <w:pPr>
        <w:ind w:left="220" w:right="100"/>
        <w:spacing w:after="0" w:line="353" w:lineRule="auto"/>
        <w:rPr>
          <w:sz w:val="20"/>
          <w:szCs w:val="20"/>
          <w:color w:val="auto"/>
        </w:rPr>
      </w:pPr>
      <w:r>
        <w:rPr>
          <w:rFonts w:ascii="Arial" w:cs="Arial" w:eastAsia="Arial" w:hAnsi="Arial"/>
          <w:sz w:val="13"/>
          <w:szCs w:val="13"/>
          <w:color w:val="auto"/>
        </w:rPr>
        <w:t>Operating lease right-of-use assets Operating lease liabilities</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Finance leases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Property and equipment, at cost</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Accumulated depreciation</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4420" w:type="dxa"/>
            <w:vAlign w:val="bottom"/>
            <w:gridSpan w:val="2"/>
          </w:tcPr>
          <w:p>
            <w:pPr>
              <w:ind w:left="1280"/>
              <w:spacing w:after="0"/>
              <w:rPr>
                <w:sz w:val="20"/>
                <w:szCs w:val="20"/>
                <w:color w:val="auto"/>
              </w:rPr>
            </w:pPr>
            <w:r>
              <w:rPr>
                <w:rFonts w:ascii="Arial" w:cs="Arial" w:eastAsia="Arial" w:hAnsi="Arial"/>
                <w:sz w:val="14"/>
                <w:szCs w:val="14"/>
                <w:b w:val="1"/>
                <w:bCs w:val="1"/>
                <w:color w:val="auto"/>
              </w:rPr>
              <w:t>Financial Statement Location</w:t>
            </w:r>
          </w:p>
        </w:tc>
        <w:tc>
          <w:tcPr>
            <w:tcW w:w="200" w:type="dxa"/>
            <w:vAlign w:val="bottom"/>
          </w:tcPr>
          <w:p>
            <w:pPr>
              <w:spacing w:after="0"/>
              <w:rPr>
                <w:sz w:val="15"/>
                <w:szCs w:val="15"/>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1620" w:type="dxa"/>
            <w:vAlign w:val="bottom"/>
          </w:tcPr>
          <w:p>
            <w:pPr>
              <w:jc w:val="right"/>
              <w:ind w:right="291"/>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357"/>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161,811</w:t>
            </w:r>
          </w:p>
        </w:tc>
        <w:tc>
          <w:tcPr>
            <w:tcW w:w="120" w:type="dxa"/>
            <w:vAlign w:val="bottom"/>
          </w:tcPr>
          <w:p>
            <w:pPr>
              <w:spacing w:after="0"/>
              <w:rPr>
                <w:sz w:val="24"/>
                <w:szCs w:val="24"/>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187,442</w:t>
            </w:r>
          </w:p>
        </w:tc>
      </w:tr>
      <w:tr>
        <w:trPr>
          <w:trHeight w:val="194"/>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211,249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239,202</w:t>
            </w:r>
          </w:p>
        </w:tc>
      </w:tr>
      <w:tr>
        <w:trPr>
          <w:trHeight w:val="648"/>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30,612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27,908</w:t>
            </w:r>
          </w:p>
        </w:tc>
      </w:tr>
      <w:tr>
        <w:trPr>
          <w:trHeight w:val="194"/>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(9,523)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(12,736)</w:t>
            </w:r>
          </w:p>
        </w:tc>
      </w:tr>
      <w:tr>
        <w:trPr>
          <w:trHeight w:val="194"/>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21,505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-765810</wp:posOffset>
            </wp:positionV>
            <wp:extent cx="7030720" cy="123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0720" cy="1231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-477520</wp:posOffset>
            </wp:positionV>
            <wp:extent cx="7030720" cy="123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0720" cy="1231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-230505</wp:posOffset>
            </wp:positionV>
            <wp:extent cx="7030720" cy="123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0720" cy="1231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-1021080</wp:posOffset>
            </wp:positionV>
            <wp:extent cx="7030720" cy="131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0720" cy="131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720"/>
            <w:col w:w="8220"/>
          </w:cols>
          <w:pgMar w:left="320" w:top="964" w:right="419" w:bottom="1440" w:gutter="0" w:footer="0" w:header="0"/>
          <w:type w:val="continuous"/>
        </w:sectPr>
      </w:pP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Weighted average remaining lease term and discount rate are as follows:</w:t>
      </w:r>
    </w:p>
    <w:p>
      <w:pPr>
        <w:spacing w:after="0" w:line="274" w:lineRule="exact"/>
        <w:rPr>
          <w:sz w:val="20"/>
          <w:szCs w:val="20"/>
          <w:color w:val="auto"/>
        </w:rPr>
      </w:pPr>
    </w:p>
    <w:tbl>
      <w:tblPr>
        <w:tblLayout w:type="fixed"/>
        <w:tblInd w:w="1420" w:type="dxa"/>
        <w:tblCellMar>
          <w:top w:w="0" w:type="dxa"/>
          <w:left w:w="0" w:type="dxa"/>
          <w:bottom w:w="0" w:type="dxa"/>
          <w:right w:w="0" w:type="dxa"/>
        </w:tblCellMar>
      </w:tblPr>
      <w:tr>
        <w:trPr>
          <w:trHeight w:val="179"/>
        </w:trPr>
        <w:tc>
          <w:tcPr>
            <w:tcW w:w="4300" w:type="dxa"/>
            <w:vAlign w:val="bottom"/>
          </w:tcPr>
          <w:p>
            <w:pPr>
              <w:spacing w:after="0"/>
              <w:rPr>
                <w:sz w:val="15"/>
                <w:szCs w:val="15"/>
                <w:color w:val="auto"/>
              </w:rPr>
            </w:pPr>
          </w:p>
        </w:tc>
        <w:tc>
          <w:tcPr>
            <w:tcW w:w="2100" w:type="dxa"/>
            <w:vAlign w:val="bottom"/>
            <w:gridSpan w:val="2"/>
          </w:tcPr>
          <w:p>
            <w:pPr>
              <w:ind w:left="420"/>
              <w:spacing w:after="0"/>
              <w:rPr>
                <w:sz w:val="20"/>
                <w:szCs w:val="20"/>
                <w:color w:val="auto"/>
              </w:rPr>
            </w:pPr>
            <w:r>
              <w:rPr>
                <w:rFonts w:ascii="Arial" w:cs="Arial" w:eastAsia="Arial" w:hAnsi="Arial"/>
                <w:sz w:val="14"/>
                <w:szCs w:val="14"/>
                <w:b w:val="1"/>
                <w:bCs w:val="1"/>
                <w:color w:val="auto"/>
              </w:rPr>
              <w:t>September 30, 2023</w:t>
            </w:r>
          </w:p>
        </w:tc>
        <w:tc>
          <w:tcPr>
            <w:tcW w:w="200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4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4"/>
        </w:trPr>
        <w:tc>
          <w:tcPr>
            <w:tcW w:w="43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Weighted average remaining lease term</w:t>
            </w: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85"/>
        </w:trPr>
        <w:tc>
          <w:tcPr>
            <w:tcW w:w="4300" w:type="dxa"/>
            <w:vAlign w:val="bottom"/>
          </w:tcPr>
          <w:p>
            <w:pPr>
              <w:ind w:left="140"/>
              <w:spacing w:after="0"/>
              <w:rPr>
                <w:sz w:val="20"/>
                <w:szCs w:val="20"/>
                <w:color w:val="auto"/>
              </w:rPr>
            </w:pPr>
            <w:r>
              <w:rPr>
                <w:rFonts w:ascii="Arial" w:cs="Arial" w:eastAsia="Arial" w:hAnsi="Arial"/>
                <w:sz w:val="14"/>
                <w:szCs w:val="14"/>
                <w:color w:val="auto"/>
              </w:rPr>
              <w:t>Operating leases</w:t>
            </w:r>
          </w:p>
        </w:tc>
        <w:tc>
          <w:tcPr>
            <w:tcW w:w="2100" w:type="dxa"/>
            <w:vAlign w:val="bottom"/>
            <w:gridSpan w:val="2"/>
          </w:tcPr>
          <w:p>
            <w:pPr>
              <w:jc w:val="right"/>
              <w:ind w:right="140"/>
              <w:spacing w:after="0"/>
              <w:rPr>
                <w:sz w:val="20"/>
                <w:szCs w:val="20"/>
                <w:color w:val="auto"/>
              </w:rPr>
            </w:pPr>
            <w:r>
              <w:rPr>
                <w:rFonts w:ascii="Arial" w:cs="Arial" w:eastAsia="Arial" w:hAnsi="Arial"/>
                <w:sz w:val="14"/>
                <w:szCs w:val="14"/>
                <w:color w:val="auto"/>
              </w:rPr>
              <w:t>6.10 years</w:t>
            </w:r>
          </w:p>
        </w:tc>
        <w:tc>
          <w:tcPr>
            <w:tcW w:w="2000" w:type="dxa"/>
            <w:vAlign w:val="bottom"/>
          </w:tcPr>
          <w:p>
            <w:pPr>
              <w:jc w:val="right"/>
              <w:spacing w:after="0"/>
              <w:rPr>
                <w:sz w:val="20"/>
                <w:szCs w:val="20"/>
                <w:color w:val="auto"/>
              </w:rPr>
            </w:pPr>
            <w:r>
              <w:rPr>
                <w:rFonts w:ascii="Arial" w:cs="Arial" w:eastAsia="Arial" w:hAnsi="Arial"/>
                <w:sz w:val="14"/>
                <w:szCs w:val="14"/>
                <w:color w:val="auto"/>
              </w:rPr>
              <w:t>6.21 years</w:t>
            </w:r>
          </w:p>
        </w:tc>
      </w:tr>
      <w:tr>
        <w:trPr>
          <w:trHeight w:val="204"/>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Finance leases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 years</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 years</w:t>
            </w:r>
          </w:p>
        </w:tc>
      </w:tr>
      <w:tr>
        <w:trPr>
          <w:trHeight w:val="185"/>
        </w:trPr>
        <w:tc>
          <w:tcPr>
            <w:tcW w:w="430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leases</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5.54 %</w:t>
            </w: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5.43 %</w:t>
            </w:r>
          </w:p>
        </w:tc>
      </w:tr>
      <w:tr>
        <w:trPr>
          <w:trHeight w:val="175"/>
        </w:trPr>
        <w:tc>
          <w:tcPr>
            <w:tcW w:w="4300" w:type="dxa"/>
            <w:vAlign w:val="bottom"/>
          </w:tcPr>
          <w:p>
            <w:pPr>
              <w:ind w:left="140"/>
              <w:spacing w:after="0"/>
              <w:rPr>
                <w:sz w:val="20"/>
                <w:szCs w:val="20"/>
                <w:color w:val="auto"/>
              </w:rPr>
            </w:pPr>
            <w:r>
              <w:rPr>
                <w:rFonts w:ascii="Arial" w:cs="Arial" w:eastAsia="Arial" w:hAnsi="Arial"/>
                <w:sz w:val="14"/>
                <w:szCs w:val="14"/>
                <w:color w:val="auto"/>
              </w:rPr>
              <w:t>Finance leases</w:t>
            </w:r>
          </w:p>
        </w:tc>
        <w:tc>
          <w:tcPr>
            <w:tcW w:w="1980" w:type="dxa"/>
            <w:vAlign w:val="bottom"/>
          </w:tcPr>
          <w:p>
            <w:pPr>
              <w:jc w:val="right"/>
              <w:spacing w:after="0"/>
              <w:rPr>
                <w:sz w:val="20"/>
                <w:szCs w:val="20"/>
                <w:color w:val="auto"/>
              </w:rPr>
            </w:pPr>
            <w:r>
              <w:rPr>
                <w:rFonts w:ascii="Arial" w:cs="Arial" w:eastAsia="Arial" w:hAnsi="Arial"/>
                <w:sz w:val="14"/>
                <w:szCs w:val="14"/>
                <w:color w:val="auto"/>
              </w:rPr>
              <w:t>4.85 %</w:t>
            </w:r>
          </w:p>
        </w:tc>
        <w:tc>
          <w:tcPr>
            <w:tcW w:w="1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3.92 %</w:t>
            </w:r>
          </w:p>
        </w:tc>
      </w:tr>
    </w:tbl>
    <w:p>
      <w:pPr>
        <w:spacing w:after="0" w:line="3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expense are as follows:</w:t>
      </w:r>
    </w:p>
    <w:p>
      <w:pPr>
        <w:spacing w:after="0" w:line="274" w:lineRule="exact"/>
        <w:rPr>
          <w:sz w:val="20"/>
          <w:szCs w:val="20"/>
          <w:color w:val="auto"/>
        </w:rPr>
      </w:pPr>
    </w:p>
    <w:tbl>
      <w:tblPr>
        <w:tblLayout w:type="fixed"/>
        <w:tblInd w:w="180" w:type="dxa"/>
        <w:tblCellMar>
          <w:top w:w="0" w:type="dxa"/>
          <w:left w:w="0" w:type="dxa"/>
          <w:bottom w:w="0" w:type="dxa"/>
          <w:right w:w="0" w:type="dxa"/>
        </w:tblCellMar>
      </w:tblPr>
      <w:tr>
        <w:trPr>
          <w:trHeight w:val="179"/>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9"/>
              </w:rPr>
              <w:t>Three Months Ended September 30,</w:t>
            </w:r>
          </w:p>
        </w:tc>
        <w:tc>
          <w:tcPr>
            <w:tcW w:w="380" w:type="dxa"/>
            <w:vAlign w:val="bottom"/>
          </w:tcPr>
          <w:p>
            <w:pPr>
              <w:spacing w:after="0"/>
              <w:rPr>
                <w:sz w:val="15"/>
                <w:szCs w:val="15"/>
                <w:color w:val="auto"/>
              </w:rPr>
            </w:pPr>
          </w:p>
        </w:tc>
        <w:tc>
          <w:tcPr>
            <w:tcW w:w="31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Fixed</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18,794</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18,183</w:t>
            </w:r>
          </w:p>
        </w:tc>
        <w:tc>
          <w:tcPr>
            <w:tcW w:w="10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57,159</w:t>
            </w:r>
          </w:p>
        </w:tc>
        <w:tc>
          <w:tcPr>
            <w:tcW w:w="10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54,677</w:t>
            </w:r>
          </w:p>
        </w:tc>
        <w:tc>
          <w:tcPr>
            <w:tcW w:w="0" w:type="dxa"/>
            <w:vAlign w:val="bottom"/>
          </w:tcPr>
          <w:p>
            <w:pPr>
              <w:spacing w:after="0"/>
              <w:rPr>
                <w:sz w:val="1"/>
                <w:szCs w:val="1"/>
                <w:color w:val="auto"/>
              </w:rPr>
            </w:pPr>
          </w:p>
        </w:tc>
      </w:tr>
      <w:tr>
        <w:trPr>
          <w:trHeight w:val="197"/>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w:t>
            </w:r>
          </w:p>
        </w:tc>
        <w:tc>
          <w:tcPr>
            <w:tcW w:w="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1,251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4,486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4,495</w:t>
            </w:r>
          </w:p>
        </w:tc>
        <w:tc>
          <w:tcPr>
            <w:tcW w:w="0" w:type="dxa"/>
            <w:vAlign w:val="bottom"/>
          </w:tcPr>
          <w:p>
            <w:pPr>
              <w:spacing w:after="0"/>
              <w:rPr>
                <w:sz w:val="1"/>
                <w:szCs w:val="1"/>
                <w:color w:val="auto"/>
              </w:rPr>
            </w:pPr>
          </w:p>
        </w:tc>
      </w:tr>
      <w:tr>
        <w:trPr>
          <w:trHeight w:val="194"/>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Total Operating lease cost</w:t>
            </w: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20,224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19,434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61,645</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59,172</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Sublease income</w:t>
            </w:r>
          </w:p>
        </w:tc>
        <w:tc>
          <w:tcPr>
            <w:tcW w:w="340" w:type="dxa"/>
            <w:vAlign w:val="bottom"/>
          </w:tcPr>
          <w:p>
            <w:pPr>
              <w:spacing w:after="0"/>
              <w:rPr>
                <w:sz w:val="16"/>
                <w:szCs w:val="16"/>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4,917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4,917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14,724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14,763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Finance lease cost:</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ROU Asset</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5,748</w:t>
            </w:r>
          </w:p>
        </w:tc>
        <w:tc>
          <w:tcPr>
            <w:tcW w:w="0" w:type="dxa"/>
            <w:vAlign w:val="bottom"/>
          </w:tcPr>
          <w:p>
            <w:pPr>
              <w:spacing w:after="0"/>
              <w:rPr>
                <w:sz w:val="1"/>
                <w:szCs w:val="1"/>
                <w:color w:val="auto"/>
              </w:rPr>
            </w:pPr>
          </w:p>
        </w:tc>
      </w:tr>
      <w:tr>
        <w:trPr>
          <w:trHeight w:val="187"/>
        </w:trPr>
        <w:tc>
          <w:tcPr>
            <w:tcW w:w="3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Interest on lease liabilities</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19"/>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Finance lease cost</w:t>
            </w: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2,559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1,945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7,631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6,012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964" w:right="419" w:bottom="1440" w:gutter="0" w:footer="0" w:header="0"/>
          <w:type w:val="continuous"/>
        </w:sectPr>
      </w:pPr>
    </w:p>
    <w:bookmarkStart w:id="40" w:name="page41"/>
    <w:bookmarkEnd w:id="40"/>
    <w:p>
      <w:pPr>
        <w:ind w:left="620"/>
        <w:spacing w:after="0"/>
        <w:rPr>
          <w:sz w:val="20"/>
          <w:szCs w:val="20"/>
          <w:color w:val="auto"/>
        </w:rPr>
      </w:pPr>
      <w:r>
        <w:rPr>
          <w:rFonts w:ascii="Arial" w:cs="Arial" w:eastAsia="Arial" w:hAnsi="Arial"/>
          <w:sz w:val="16"/>
          <w:szCs w:val="16"/>
          <w:color w:val="auto"/>
        </w:rPr>
        <w:t>Future minimum lease payments under operating and finance leases with non-cancelable lease terms, as of September 30, 2023, are as follows:</w:t>
      </w:r>
    </w:p>
    <w:p>
      <w:pPr>
        <w:spacing w:after="0" w:line="286" w:lineRule="exact"/>
        <w:rPr>
          <w:sz w:val="20"/>
          <w:szCs w:val="20"/>
          <w:color w:val="auto"/>
        </w:rPr>
      </w:pPr>
    </w:p>
    <w:tbl>
      <w:tblPr>
        <w:tblLayout w:type="fixed"/>
        <w:tblInd w:w="2600" w:type="dxa"/>
        <w:tblCellMar>
          <w:top w:w="0" w:type="dxa"/>
          <w:left w:w="0" w:type="dxa"/>
          <w:bottom w:w="0" w:type="dxa"/>
          <w:right w:w="0" w:type="dxa"/>
        </w:tblCellMar>
      </w:tblPr>
      <w:tr>
        <w:trPr>
          <w:trHeight w:val="179"/>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5"/>
                <w:szCs w:val="15"/>
                <w:color w:val="auto"/>
              </w:rPr>
            </w:pPr>
          </w:p>
        </w:tc>
        <w:tc>
          <w:tcPr>
            <w:tcW w:w="1420" w:type="dxa"/>
            <w:vAlign w:val="bottom"/>
          </w:tcPr>
          <w:p>
            <w:pPr>
              <w:jc w:val="right"/>
              <w:ind w:right="311"/>
              <w:spacing w:after="0"/>
              <w:rPr>
                <w:sz w:val="20"/>
                <w:szCs w:val="20"/>
                <w:color w:val="auto"/>
              </w:rPr>
            </w:pPr>
            <w:r>
              <w:rPr>
                <w:rFonts w:ascii="Arial" w:cs="Arial" w:eastAsia="Arial" w:hAnsi="Arial"/>
                <w:sz w:val="14"/>
                <w:szCs w:val="14"/>
                <w:b w:val="1"/>
                <w:bCs w:val="1"/>
                <w:color w:val="auto"/>
                <w:w w:val="97"/>
              </w:rPr>
              <w:t>Finance Leases</w:t>
            </w:r>
          </w:p>
        </w:tc>
      </w:tr>
      <w:tr>
        <w:trPr>
          <w:trHeight w:val="25"/>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8"/>
        </w:trPr>
        <w:tc>
          <w:tcPr>
            <w:tcW w:w="2400" w:type="dxa"/>
            <w:vAlign w:val="bottom"/>
          </w:tcPr>
          <w:p>
            <w:pPr>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18,088</w:t>
            </w:r>
          </w:p>
        </w:tc>
        <w:tc>
          <w:tcPr>
            <w:tcW w:w="12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2,139</w:t>
            </w:r>
          </w:p>
        </w:tc>
      </w:tr>
      <w:tr>
        <w:trPr>
          <w:trHeight w:val="20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46,565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8,385</w:t>
            </w:r>
          </w:p>
        </w:tc>
      </w:tr>
      <w:tr>
        <w:trPr>
          <w:trHeight w:val="185"/>
        </w:trPr>
        <w:tc>
          <w:tcPr>
            <w:tcW w:w="2400" w:type="dxa"/>
            <w:vAlign w:val="bottom"/>
          </w:tcPr>
          <w:p>
            <w:pP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39,210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4,798</w:t>
            </w:r>
          </w:p>
        </w:tc>
      </w:tr>
      <w:tr>
        <w:trPr>
          <w:trHeight w:val="204"/>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w:t>
            </w:r>
          </w:p>
        </w:tc>
      </w:tr>
      <w:tr>
        <w:trPr>
          <w:trHeight w:val="185"/>
        </w:trPr>
        <w:tc>
          <w:tcPr>
            <w:tcW w:w="2400" w:type="dxa"/>
            <w:vAlign w:val="bottom"/>
          </w:tcPr>
          <w:p>
            <w:pPr>
              <w:spacing w:after="0"/>
              <w:rPr>
                <w:sz w:val="20"/>
                <w:szCs w:val="20"/>
                <w:color w:val="auto"/>
              </w:rPr>
            </w:pPr>
            <w:r>
              <w:rPr>
                <w:rFonts w:ascii="Arial" w:cs="Arial" w:eastAsia="Arial" w:hAnsi="Arial"/>
                <w:sz w:val="14"/>
                <w:szCs w:val="14"/>
                <w:color w:val="auto"/>
              </w:rPr>
              <w:t>2027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30,092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3,930</w:t>
            </w:r>
          </w:p>
        </w:tc>
      </w:tr>
      <w:tr>
        <w:trPr>
          <w:trHeight w:val="204"/>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2028 and thereafter</w:t>
            </w:r>
          </w:p>
        </w:tc>
        <w:tc>
          <w:tcPr>
            <w:tcW w:w="2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178"/>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 lease payments</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251,741</w:t>
            </w:r>
          </w:p>
        </w:tc>
        <w:tc>
          <w:tcPr>
            <w:tcW w:w="12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23,762</w:t>
            </w:r>
          </w:p>
        </w:tc>
      </w:tr>
      <w:tr>
        <w:trPr>
          <w:trHeight w:val="197"/>
        </w:trPr>
        <w:tc>
          <w:tcPr>
            <w:tcW w:w="2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Less imputed interest</w:t>
            </w:r>
          </w:p>
        </w:tc>
        <w:tc>
          <w:tcPr>
            <w:tcW w:w="2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(40,492)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w:t>
            </w:r>
          </w:p>
        </w:tc>
      </w:tr>
      <w:tr>
        <w:trPr>
          <w:trHeight w:val="194"/>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 lease liability</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211,249</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21,505</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Cash</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cash and cash equivalents together with restricted or segregated cash</w:t>
      </w:r>
    </w:p>
    <w:p>
      <w:pPr>
        <w:spacing w:after="0" w:line="25"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as reported within the Condensed Consolidated Statements of Financial Condition to the sum of the same such amounts shown in the Condensed Consolidated Statements of Cash Flows.</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79"/>
        </w:trPr>
        <w:tc>
          <w:tcPr>
            <w:tcW w:w="6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5"/>
                <w:szCs w:val="15"/>
                <w:color w:val="auto"/>
              </w:rPr>
            </w:pPr>
          </w:p>
        </w:tc>
        <w:tc>
          <w:tcPr>
            <w:tcW w:w="1400" w:type="dxa"/>
            <w:vAlign w:val="bottom"/>
          </w:tcPr>
          <w:p>
            <w:pPr>
              <w:jc w:val="right"/>
              <w:ind w:right="151"/>
              <w:spacing w:after="0"/>
              <w:rPr>
                <w:sz w:val="20"/>
                <w:szCs w:val="20"/>
                <w:color w:val="auto"/>
              </w:rPr>
            </w:pPr>
            <w:r>
              <w:rPr>
                <w:rFonts w:ascii="Arial" w:cs="Arial" w:eastAsia="Arial" w:hAnsi="Arial"/>
                <w:sz w:val="14"/>
                <w:szCs w:val="14"/>
                <w:b w:val="1"/>
                <w:bCs w:val="1"/>
                <w:color w:val="auto"/>
                <w:w w:val="91"/>
              </w:rPr>
              <w:t>December 31, 2022</w:t>
            </w:r>
          </w:p>
        </w:tc>
      </w:tr>
      <w:tr>
        <w:trPr>
          <w:trHeight w:val="25"/>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7"/>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688,790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981,580</w:t>
            </w:r>
          </w:p>
        </w:tc>
      </w:tr>
      <w:tr>
        <w:trPr>
          <w:trHeight w:val="187"/>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37,565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56,662</w:t>
            </w:r>
          </w:p>
        </w:tc>
      </w:tr>
      <w:tr>
        <w:trPr>
          <w:trHeight w:val="219"/>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726,355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1,038,242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Capital Structure</w:t>
      </w:r>
    </w:p>
    <w:p>
      <w:pPr>
        <w:spacing w:after="0" w:line="251" w:lineRule="exact"/>
        <w:rPr>
          <w:sz w:val="20"/>
          <w:szCs w:val="20"/>
          <w:color w:val="auto"/>
        </w:rPr>
      </w:pPr>
    </w:p>
    <w:p>
      <w:pPr>
        <w:ind w:firstLine="622"/>
        <w:spacing w:after="0" w:line="262"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86.2% of the combined voting power of our common stock as a result of its ownership of our Class A, Class C and Class D Common Stock. The Company holds approximately a 58.4% interest in Virtu Financial at September 30, 2023.</w:t>
      </w:r>
    </w:p>
    <w:p>
      <w:pPr>
        <w:spacing w:after="0" w:line="204" w:lineRule="exact"/>
        <w:rPr>
          <w:sz w:val="20"/>
          <w:szCs w:val="20"/>
          <w:color w:val="auto"/>
        </w:rPr>
      </w:pPr>
    </w:p>
    <w:p>
      <w:pPr>
        <w:ind w:firstLine="622"/>
        <w:spacing w:after="0" w:line="279" w:lineRule="auto"/>
        <w:rPr>
          <w:sz w:val="20"/>
          <w:szCs w:val="20"/>
          <w:color w:val="auto"/>
        </w:rPr>
      </w:pPr>
      <w:r>
        <w:rPr>
          <w:rFonts w:ascii="Arial" w:cs="Arial" w:eastAsia="Arial" w:hAnsi="Arial"/>
          <w:sz w:val="16"/>
          <w:szCs w:val="16"/>
          <w:color w:val="auto"/>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September 30, 2023 and December 31, 2022, there were 4,040,772 and 4,462,840 Virtu Financial Units outstanding held by Employee Holdco (as defined below), respectively, and 422,068 and 328,999 of such Virtu Financial Units and corresponding Class C Common Stock were exchanged into Class A Common Stock, forfeited or repurchased during the nine months ended September 30, 2023, and 2022,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245" w:lineRule="exact"/>
        <w:rPr>
          <w:sz w:val="20"/>
          <w:szCs w:val="20"/>
          <w:color w:val="auto"/>
        </w:rPr>
      </w:pPr>
    </w:p>
    <w:p>
      <w:pPr>
        <w:ind w:right="140" w:firstLine="622"/>
        <w:spacing w:after="0" w:line="282" w:lineRule="auto"/>
        <w:rPr>
          <w:sz w:val="20"/>
          <w:szCs w:val="20"/>
          <w:color w:val="auto"/>
        </w:rPr>
      </w:pPr>
      <w:r>
        <w:rPr>
          <w:rFonts w:ascii="Arial" w:cs="Arial" w:eastAsia="Arial" w:hAnsi="Arial"/>
          <w:sz w:val="16"/>
          <w:szCs w:val="16"/>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1" w:name="page42"/>
    <w:bookmarkEnd w:id="41"/>
    <w:p>
      <w:pPr>
        <w:ind w:right="80" w:firstLine="622"/>
        <w:spacing w:after="0" w:line="259" w:lineRule="auto"/>
        <w:rPr>
          <w:sz w:val="20"/>
          <w:szCs w:val="20"/>
          <w:color w:val="auto"/>
        </w:rPr>
      </w:pPr>
      <w:r>
        <w:rPr>
          <w:rFonts w:ascii="Arial" w:cs="Arial" w:eastAsia="Arial" w:hAnsi="Arial"/>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45" w:lineRule="exact"/>
        <w:rPr>
          <w:sz w:val="20"/>
          <w:szCs w:val="20"/>
          <w:color w:val="auto"/>
        </w:rPr>
      </w:pPr>
    </w:p>
    <w:p>
      <w:pPr>
        <w:ind w:right="140" w:firstLine="622"/>
        <w:spacing w:after="0" w:line="269" w:lineRule="auto"/>
        <w:rPr>
          <w:sz w:val="20"/>
          <w:szCs w:val="20"/>
          <w:color w:val="auto"/>
        </w:rPr>
      </w:pPr>
      <w:r>
        <w:rPr>
          <w:rFonts w:ascii="Arial" w:cs="Arial" w:eastAsia="Arial" w:hAnsi="Arial"/>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45" w:lineRule="exact"/>
        <w:rPr>
          <w:sz w:val="20"/>
          <w:szCs w:val="20"/>
          <w:color w:val="auto"/>
        </w:rPr>
      </w:pPr>
    </w:p>
    <w:p>
      <w:pPr>
        <w:ind w:right="20" w:firstLine="622"/>
        <w:spacing w:after="0" w:line="274" w:lineRule="auto"/>
        <w:rPr>
          <w:sz w:val="20"/>
          <w:szCs w:val="20"/>
          <w:color w:val="auto"/>
        </w:rPr>
      </w:pPr>
      <w:r>
        <w:rPr>
          <w:rFonts w:ascii="Arial" w:cs="Arial" w:eastAsia="Arial" w:hAnsi="Arial"/>
          <w:sz w:val="16"/>
          <w:szCs w:val="16"/>
          <w:color w:val="auto"/>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2023, the Company repurchased approximately 41.2 million shares of Class A Common Stock and Virtu Financial Units for approximately $1,065.6 million. As of September 30, 2023, the Company has approximately $154.4 million remaining capacity for future purchases of shares of Class A Common Stock and Virtu Financial Units under the program.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45" w:lineRule="exact"/>
        <w:rPr>
          <w:sz w:val="20"/>
          <w:szCs w:val="20"/>
          <w:color w:val="auto"/>
        </w:rPr>
      </w:pPr>
    </w:p>
    <w:p>
      <w:pPr>
        <w:ind w:right="20" w:firstLine="622"/>
        <w:spacing w:after="0" w:line="294" w:lineRule="auto"/>
        <w:rPr>
          <w:sz w:val="20"/>
          <w:szCs w:val="20"/>
          <w:color w:val="auto"/>
        </w:rPr>
      </w:pPr>
      <w:r>
        <w:rPr>
          <w:rFonts w:ascii="Arial" w:cs="Arial" w:eastAsia="Arial" w:hAnsi="Arial"/>
          <w:sz w:val="16"/>
          <w:szCs w:val="16"/>
          <w:color w:val="auto"/>
        </w:rPr>
        <w:t>During the nine months ended September 30, 2023, and 2022, pursuant to the exchange agreement by and among the Company, Virtu Financial and holders of Virtu Financial Units, certain current and former employees elected to exchange 186,394, and 92,930 units, respectively in Virtu Financial held directly or on their behalf by Virtu Employee Holdco LLC (“Employee Holdco”) on a one-for-one basis for shares of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Issuance</w:t>
      </w:r>
    </w:p>
    <w:p>
      <w:pPr>
        <w:spacing w:after="0" w:line="245" w:lineRule="exact"/>
        <w:rPr>
          <w:sz w:val="20"/>
          <w:szCs w:val="20"/>
          <w:color w:val="auto"/>
        </w:rPr>
      </w:pPr>
    </w:p>
    <w:p>
      <w:pPr>
        <w:ind w:right="40" w:firstLine="622"/>
        <w:spacing w:after="0" w:line="257" w:lineRule="auto"/>
        <w:rPr>
          <w:sz w:val="20"/>
          <w:szCs w:val="20"/>
          <w:color w:val="auto"/>
        </w:rPr>
      </w:pPr>
      <w:r>
        <w:rPr>
          <w:rFonts w:ascii="Arial" w:cs="Arial" w:eastAsia="Arial" w:hAnsi="Arial"/>
          <w:sz w:val="17"/>
          <w:szCs w:val="17"/>
          <w:color w:val="auto"/>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The Founder Member Loan Facility Term expired on September 20, 2020 without the Company having borrowed any Founder Member Loans thereunder (as described in Note 8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13" w:lineRule="exact"/>
        <w:rPr>
          <w:sz w:val="20"/>
          <w:szCs w:val="20"/>
          <w:color w:val="auto"/>
        </w:rPr>
      </w:pPr>
    </w:p>
    <w:p>
      <w:pPr>
        <w:ind w:firstLine="622"/>
        <w:spacing w:after="0" w:line="284" w:lineRule="auto"/>
        <w:rPr>
          <w:sz w:val="20"/>
          <w:szCs w:val="20"/>
          <w:color w:val="auto"/>
        </w:rPr>
      </w:pPr>
      <w:r>
        <w:rPr>
          <w:rFonts w:ascii="Arial" w:cs="Arial" w:eastAsia="Arial" w:hAnsi="Arial"/>
          <w:sz w:val="17"/>
          <w:szCs w:val="17"/>
          <w:color w:val="auto"/>
        </w:rPr>
        <w:t>Upon issuance, the fair value of the Warrant was determined using a Black-Scholes-Merton model, and was recorded as a debt issuance cost within Other assets on the Condensed Consolidated Statements of Financial Condition and as an increase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2" w:name="page43"/>
    <w:bookmarkEnd w:id="42"/>
    <w:p>
      <w:pPr>
        <w:spacing w:after="0" w:line="294" w:lineRule="auto"/>
        <w:rPr>
          <w:sz w:val="20"/>
          <w:szCs w:val="20"/>
          <w:color w:val="auto"/>
        </w:rPr>
      </w:pPr>
      <w:r>
        <w:rPr>
          <w:rFonts w:ascii="Arial" w:cs="Arial" w:eastAsia="Arial" w:hAnsi="Arial"/>
          <w:sz w:val="16"/>
          <w:szCs w:val="16"/>
          <w:color w:val="auto"/>
        </w:rPr>
        <w:t>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changes in Other Comprehensive Income for the three and nine months ended September 30, 2023, and 2022:</w:t>
      </w:r>
    </w:p>
    <w:p>
      <w:pPr>
        <w:spacing w:after="0" w:line="143" w:lineRule="exact"/>
        <w:rPr>
          <w:sz w:val="20"/>
          <w:szCs w:val="20"/>
          <w:color w:val="auto"/>
        </w:rPr>
      </w:pPr>
    </w:p>
    <w:tbl>
      <w:tblPr>
        <w:tblLayout w:type="fixed"/>
        <w:tblInd w:w="72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 2023</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6"/>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6"/>
              </w:rPr>
              <w:t>Amounts reclassified</w:t>
            </w:r>
          </w:p>
        </w:tc>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4"/>
              </w:rPr>
              <w:t>AOCI Ending Balance</w:t>
            </w:r>
          </w:p>
        </w:tc>
        <w:tc>
          <w:tcPr>
            <w:tcW w:w="0" w:type="dxa"/>
            <w:vAlign w:val="bottom"/>
          </w:tcPr>
          <w:p>
            <w:pPr>
              <w:spacing w:after="0"/>
              <w:rPr>
                <w:sz w:val="1"/>
                <w:szCs w:val="1"/>
                <w:color w:val="auto"/>
              </w:rPr>
            </w:pPr>
          </w:p>
        </w:tc>
      </w:tr>
      <w:tr>
        <w:trPr>
          <w:trHeight w:val="185"/>
        </w:trPr>
        <w:tc>
          <w:tcPr>
            <w:tcW w:w="3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center"/>
              <w:ind w:left="711"/>
              <w:spacing w:after="0"/>
              <w:rPr>
                <w:sz w:val="20"/>
                <w:szCs w:val="20"/>
                <w:color w:val="auto"/>
              </w:rPr>
            </w:pPr>
            <w:r>
              <w:rPr>
                <w:rFonts w:ascii="Arial" w:cs="Arial" w:eastAsia="Arial" w:hAnsi="Arial"/>
                <w:sz w:val="14"/>
                <w:szCs w:val="14"/>
                <w:color w:val="auto"/>
                <w:w w:val="88"/>
              </w:rPr>
              <w:t>41,970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center"/>
              <w:ind w:left="811"/>
              <w:spacing w:after="0"/>
              <w:rPr>
                <w:sz w:val="20"/>
                <w:szCs w:val="20"/>
                <w:color w:val="auto"/>
              </w:rPr>
            </w:pPr>
            <w:r>
              <w:rPr>
                <w:rFonts w:ascii="Arial" w:cs="Arial" w:eastAsia="Arial" w:hAnsi="Arial"/>
                <w:sz w:val="14"/>
                <w:szCs w:val="14"/>
                <w:color w:val="auto"/>
                <w:w w:val="91"/>
              </w:rPr>
              <w:t>3,733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37,504</w:t>
            </w:r>
          </w:p>
        </w:tc>
        <w:tc>
          <w:tcPr>
            <w:tcW w:w="0" w:type="dxa"/>
            <w:vAlign w:val="bottom"/>
          </w:tcPr>
          <w:p>
            <w:pPr>
              <w:spacing w:after="0"/>
              <w:rPr>
                <w:sz w:val="1"/>
                <w:szCs w:val="1"/>
                <w:color w:val="auto"/>
              </w:rPr>
            </w:pPr>
          </w:p>
        </w:tc>
      </w:tr>
      <w:tr>
        <w:trPr>
          <w:trHeight w:val="187"/>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60" w:type="dxa"/>
            <w:vAlign w:val="bottom"/>
          </w:tcPr>
          <w:p>
            <w:pPr>
              <w:spacing w:after="0"/>
              <w:rPr>
                <w:sz w:val="16"/>
                <w:szCs w:val="16"/>
                <w:color w:val="auto"/>
              </w:rPr>
            </w:pPr>
          </w:p>
        </w:tc>
        <w:tc>
          <w:tcPr>
            <w:tcW w:w="1280" w:type="dxa"/>
            <w:vAlign w:val="bottom"/>
          </w:tcPr>
          <w:p>
            <w:pPr>
              <w:jc w:val="center"/>
              <w:ind w:left="691"/>
              <w:spacing w:after="0"/>
              <w:rPr>
                <w:sz w:val="20"/>
                <w:szCs w:val="20"/>
                <w:color w:val="auto"/>
              </w:rPr>
            </w:pPr>
            <w:r>
              <w:rPr>
                <w:rFonts w:ascii="Arial" w:cs="Arial" w:eastAsia="Arial" w:hAnsi="Arial"/>
                <w:sz w:val="14"/>
                <w:szCs w:val="14"/>
                <w:color w:val="auto"/>
                <w:w w:val="91"/>
              </w:rPr>
              <w:t>(10,838)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811"/>
              <w:spacing w:after="0"/>
              <w:rPr>
                <w:sz w:val="20"/>
                <w:szCs w:val="20"/>
                <w:color w:val="auto"/>
              </w:rPr>
            </w:pPr>
            <w:r>
              <w:rPr>
                <w:rFonts w:ascii="Arial" w:cs="Arial" w:eastAsia="Arial" w:hAnsi="Arial"/>
                <w:sz w:val="14"/>
                <w:szCs w:val="14"/>
                <w:color w:val="auto"/>
                <w:w w:val="90"/>
              </w:rPr>
              <w:t>(2,339)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(13,177)</w:t>
            </w:r>
          </w:p>
        </w:tc>
        <w:tc>
          <w:tcPr>
            <w:tcW w:w="0" w:type="dxa"/>
            <w:vAlign w:val="bottom"/>
          </w:tcPr>
          <w:p>
            <w:pPr>
              <w:spacing w:after="0"/>
              <w:rPr>
                <w:sz w:val="1"/>
                <w:szCs w:val="1"/>
                <w:color w:val="auto"/>
              </w:rPr>
            </w:pPr>
          </w:p>
        </w:tc>
      </w:tr>
      <w:tr>
        <w:trPr>
          <w:trHeight w:val="200"/>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center"/>
              <w:ind w:left="711"/>
              <w:spacing w:after="0"/>
              <w:rPr>
                <w:sz w:val="20"/>
                <w:szCs w:val="20"/>
                <w:color w:val="auto"/>
              </w:rPr>
            </w:pPr>
            <w:r>
              <w:rPr>
                <w:rFonts w:ascii="Arial" w:cs="Arial" w:eastAsia="Arial" w:hAnsi="Arial"/>
                <w:sz w:val="14"/>
                <w:szCs w:val="14"/>
                <w:color w:val="auto"/>
                <w:w w:val="88"/>
              </w:rPr>
              <w:t>31,132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center"/>
              <w:ind w:left="811"/>
              <w:spacing w:after="0"/>
              <w:rPr>
                <w:sz w:val="20"/>
                <w:szCs w:val="20"/>
                <w:color w:val="auto"/>
              </w:rPr>
            </w:pPr>
            <w:r>
              <w:rPr>
                <w:rFonts w:ascii="Arial" w:cs="Arial" w:eastAsia="Arial" w:hAnsi="Arial"/>
                <w:sz w:val="14"/>
                <w:szCs w:val="14"/>
                <w:color w:val="auto"/>
                <w:w w:val="91"/>
              </w:rPr>
              <w:t>1,394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24,327</w:t>
            </w:r>
          </w:p>
        </w:tc>
        <w:tc>
          <w:tcPr>
            <w:tcW w:w="0" w:type="dxa"/>
            <w:vAlign w:val="bottom"/>
          </w:tcPr>
          <w:p>
            <w:pPr>
              <w:spacing w:after="0"/>
              <w:rPr>
                <w:sz w:val="1"/>
                <w:szCs w:val="1"/>
                <w:color w:val="auto"/>
              </w:rPr>
            </w:pPr>
          </w:p>
        </w:tc>
      </w:tr>
    </w:tbl>
    <w:p>
      <w:pPr>
        <w:jc w:val="both"/>
        <w:ind w:left="740" w:right="880" w:hanging="6"/>
        <w:spacing w:after="0" w:line="231" w:lineRule="auto"/>
        <w:tabs>
          <w:tab w:leader="none" w:pos="911" w:val="left"/>
        </w:tabs>
        <w:numPr>
          <w:ilvl w:val="0"/>
          <w:numId w:val="8"/>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Condensed Consolidated Statements of Comprehensive Income. As of September 30, 2023, the Company expects approximately $32.8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-243840</wp:posOffset>
            </wp:positionV>
            <wp:extent cx="38690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69055" cy="8255"/>
                    </a:xfrm>
                    <a:prstGeom prst="rect">
                      <a:avLst/>
                    </a:prstGeom>
                    <a:noFill/>
                  </pic:spPr>
                </pic:pic>
              </a:graphicData>
            </a:graphic>
          </wp:anchor>
        </w:drawing>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 2022</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6"/>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6"/>
              </w:rPr>
              <w:t>Amounts reclassified</w:t>
            </w:r>
          </w:p>
        </w:tc>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4"/>
              </w:rPr>
              <w:t>AOCI Ending Balance</w:t>
            </w:r>
          </w:p>
        </w:tc>
        <w:tc>
          <w:tcPr>
            <w:tcW w:w="0" w:type="dxa"/>
            <w:vAlign w:val="bottom"/>
          </w:tcPr>
          <w:p>
            <w:pPr>
              <w:spacing w:after="0"/>
              <w:rPr>
                <w:sz w:val="1"/>
                <w:szCs w:val="1"/>
                <w:color w:val="auto"/>
              </w:rPr>
            </w:pPr>
          </w:p>
        </w:tc>
      </w:tr>
      <w:tr>
        <w:trPr>
          <w:trHeight w:val="185"/>
        </w:trPr>
        <w:tc>
          <w:tcPr>
            <w:tcW w:w="3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center"/>
              <w:ind w:left="711"/>
              <w:spacing w:after="0"/>
              <w:rPr>
                <w:sz w:val="20"/>
                <w:szCs w:val="20"/>
                <w:color w:val="auto"/>
              </w:rPr>
            </w:pPr>
            <w:r>
              <w:rPr>
                <w:rFonts w:ascii="Arial" w:cs="Arial" w:eastAsia="Arial" w:hAnsi="Arial"/>
                <w:sz w:val="14"/>
                <w:szCs w:val="14"/>
                <w:color w:val="auto"/>
                <w:w w:val="88"/>
              </w:rPr>
              <w:t>27,486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45,999</w:t>
            </w:r>
          </w:p>
        </w:tc>
        <w:tc>
          <w:tcPr>
            <w:tcW w:w="0" w:type="dxa"/>
            <w:vAlign w:val="bottom"/>
          </w:tcPr>
          <w:p>
            <w:pPr>
              <w:spacing w:after="0"/>
              <w:rPr>
                <w:sz w:val="1"/>
                <w:szCs w:val="1"/>
                <w:color w:val="auto"/>
              </w:rPr>
            </w:pPr>
          </w:p>
        </w:tc>
      </w:tr>
      <w:tr>
        <w:trPr>
          <w:trHeight w:val="187"/>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60" w:type="dxa"/>
            <w:vAlign w:val="bottom"/>
          </w:tcPr>
          <w:p>
            <w:pPr>
              <w:spacing w:after="0"/>
              <w:rPr>
                <w:sz w:val="16"/>
                <w:szCs w:val="16"/>
                <w:color w:val="auto"/>
              </w:rPr>
            </w:pPr>
          </w:p>
        </w:tc>
        <w:tc>
          <w:tcPr>
            <w:tcW w:w="1280" w:type="dxa"/>
            <w:vAlign w:val="bottom"/>
          </w:tcPr>
          <w:p>
            <w:pPr>
              <w:jc w:val="center"/>
              <w:ind w:left="691"/>
              <w:spacing w:after="0"/>
              <w:rPr>
                <w:sz w:val="20"/>
                <w:szCs w:val="20"/>
                <w:color w:val="auto"/>
              </w:rPr>
            </w:pPr>
            <w:r>
              <w:rPr>
                <w:rFonts w:ascii="Arial" w:cs="Arial" w:eastAsia="Arial" w:hAnsi="Arial"/>
                <w:sz w:val="14"/>
                <w:szCs w:val="14"/>
                <w:color w:val="auto"/>
                <w:w w:val="91"/>
              </w:rPr>
              <w:t>(13,660)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(24,821)</w:t>
            </w:r>
          </w:p>
        </w:tc>
        <w:tc>
          <w:tcPr>
            <w:tcW w:w="0" w:type="dxa"/>
            <w:vAlign w:val="bottom"/>
          </w:tcPr>
          <w:p>
            <w:pPr>
              <w:spacing w:after="0"/>
              <w:rPr>
                <w:sz w:val="1"/>
                <w:szCs w:val="1"/>
                <w:color w:val="auto"/>
              </w:rPr>
            </w:pPr>
          </w:p>
        </w:tc>
      </w:tr>
      <w:tr>
        <w:trPr>
          <w:trHeight w:val="200"/>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center"/>
              <w:ind w:left="711"/>
              <w:spacing w:after="0"/>
              <w:rPr>
                <w:sz w:val="20"/>
                <w:szCs w:val="20"/>
                <w:color w:val="auto"/>
              </w:rPr>
            </w:pPr>
            <w:r>
              <w:rPr>
                <w:rFonts w:ascii="Arial" w:cs="Arial" w:eastAsia="Arial" w:hAnsi="Arial"/>
                <w:sz w:val="14"/>
                <w:szCs w:val="14"/>
                <w:color w:val="auto"/>
                <w:w w:val="88"/>
              </w:rPr>
              <w:t>13,826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21,178</w:t>
            </w:r>
          </w:p>
        </w:tc>
        <w:tc>
          <w:tcPr>
            <w:tcW w:w="0" w:type="dxa"/>
            <w:vAlign w:val="bottom"/>
          </w:tcPr>
          <w:p>
            <w:pPr>
              <w:spacing w:after="0"/>
              <w:rPr>
                <w:sz w:val="1"/>
                <w:szCs w:val="1"/>
                <w:color w:val="auto"/>
              </w:rPr>
            </w:pPr>
          </w:p>
        </w:tc>
      </w:tr>
    </w:tbl>
    <w:p>
      <w:pPr>
        <w:ind w:left="740"/>
        <w:spacing w:after="0"/>
        <w:rPr>
          <w:sz w:val="20"/>
          <w:szCs w:val="20"/>
          <w:color w:val="auto"/>
        </w:rPr>
      </w:pPr>
      <w:r>
        <w:rPr>
          <w:rFonts w:ascii="Arial" w:cs="Arial" w:eastAsia="Arial" w:hAnsi="Arial"/>
          <w:sz w:val="12"/>
          <w:szCs w:val="12"/>
          <w:color w:val="auto"/>
        </w:rPr>
        <w:t>(1) Amounts reclassified from AOCI to income are included within Financing interest expense on long-term borrowings on the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-78740</wp:posOffset>
            </wp:positionV>
            <wp:extent cx="38690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69055" cy="8255"/>
                    </a:xfrm>
                    <a:prstGeom prst="rect">
                      <a:avLst/>
                    </a:prstGeom>
                    <a:noFill/>
                  </pic:spPr>
                </pic:pic>
              </a:graphicData>
            </a:graphic>
          </wp:anchor>
        </w:drawing>
      </w:r>
    </w:p>
    <w:p>
      <w:pPr>
        <w:spacing w:after="0" w:line="351" w:lineRule="exact"/>
        <w:rPr>
          <w:sz w:val="20"/>
          <w:szCs w:val="20"/>
          <w:color w:val="auto"/>
        </w:rPr>
      </w:pPr>
    </w:p>
    <w:tbl>
      <w:tblPr>
        <w:tblLayout w:type="fixed"/>
        <w:tblInd w:w="72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 2023</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3"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86"/>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3" w:lineRule="exact"/>
              <w:rPr>
                <w:sz w:val="20"/>
                <w:szCs w:val="20"/>
                <w:color w:val="auto"/>
              </w:rPr>
            </w:pPr>
            <w:r>
              <w:rPr>
                <w:rFonts w:ascii="Arial" w:cs="Arial" w:eastAsia="Arial" w:hAnsi="Arial"/>
                <w:sz w:val="14"/>
                <w:szCs w:val="14"/>
                <w:b w:val="1"/>
                <w:bCs w:val="1"/>
                <w:color w:val="auto"/>
                <w:w w:val="86"/>
              </w:rPr>
              <w:t>Amounts reclassified</w:t>
            </w:r>
          </w:p>
        </w:tc>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4"/>
              </w:rPr>
              <w:t>AOCI Ending Balance</w:t>
            </w:r>
          </w:p>
        </w:tc>
        <w:tc>
          <w:tcPr>
            <w:tcW w:w="0" w:type="dxa"/>
            <w:vAlign w:val="bottom"/>
          </w:tcPr>
          <w:p>
            <w:pPr>
              <w:spacing w:after="0"/>
              <w:rPr>
                <w:sz w:val="1"/>
                <w:szCs w:val="1"/>
                <w:color w:val="auto"/>
              </w:rPr>
            </w:pPr>
          </w:p>
        </w:tc>
      </w:tr>
      <w:tr>
        <w:trPr>
          <w:trHeight w:val="187"/>
        </w:trPr>
        <w:tc>
          <w:tcPr>
            <w:tcW w:w="3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center"/>
              <w:ind w:left="711"/>
              <w:spacing w:after="0"/>
              <w:rPr>
                <w:sz w:val="20"/>
                <w:szCs w:val="20"/>
                <w:color w:val="auto"/>
              </w:rPr>
            </w:pPr>
            <w:r>
              <w:rPr>
                <w:rFonts w:ascii="Arial" w:cs="Arial" w:eastAsia="Arial" w:hAnsi="Arial"/>
                <w:sz w:val="14"/>
                <w:szCs w:val="14"/>
                <w:color w:val="auto"/>
                <w:w w:val="88"/>
              </w:rPr>
              <w:t>44,925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(22,056)</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37,504</w:t>
            </w:r>
          </w:p>
        </w:tc>
        <w:tc>
          <w:tcPr>
            <w:tcW w:w="0" w:type="dxa"/>
            <w:vAlign w:val="bottom"/>
          </w:tcPr>
          <w:p>
            <w:pPr>
              <w:spacing w:after="0"/>
              <w:rPr>
                <w:sz w:val="1"/>
                <w:szCs w:val="1"/>
                <w:color w:val="auto"/>
              </w:rPr>
            </w:pPr>
          </w:p>
        </w:tc>
      </w:tr>
      <w:tr>
        <w:trPr>
          <w:trHeight w:val="187"/>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60" w:type="dxa"/>
            <w:vAlign w:val="bottom"/>
          </w:tcPr>
          <w:p>
            <w:pPr>
              <w:spacing w:after="0"/>
              <w:rPr>
                <w:sz w:val="16"/>
                <w:szCs w:val="16"/>
                <w:color w:val="auto"/>
              </w:rPr>
            </w:pPr>
          </w:p>
        </w:tc>
        <w:tc>
          <w:tcPr>
            <w:tcW w:w="1280" w:type="dxa"/>
            <w:vAlign w:val="bottom"/>
          </w:tcPr>
          <w:p>
            <w:pPr>
              <w:jc w:val="center"/>
              <w:ind w:left="691"/>
              <w:spacing w:after="0"/>
              <w:rPr>
                <w:sz w:val="20"/>
                <w:szCs w:val="20"/>
                <w:color w:val="auto"/>
              </w:rPr>
            </w:pPr>
            <w:r>
              <w:rPr>
                <w:rFonts w:ascii="Arial" w:cs="Arial" w:eastAsia="Arial" w:hAnsi="Arial"/>
                <w:sz w:val="14"/>
                <w:szCs w:val="14"/>
                <w:color w:val="auto"/>
                <w:w w:val="91"/>
              </w:rPr>
              <w:t>(13,321)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(13,177)</w:t>
            </w:r>
          </w:p>
        </w:tc>
        <w:tc>
          <w:tcPr>
            <w:tcW w:w="0" w:type="dxa"/>
            <w:vAlign w:val="bottom"/>
          </w:tcPr>
          <w:p>
            <w:pPr>
              <w:spacing w:after="0"/>
              <w:rPr>
                <w:sz w:val="1"/>
                <w:szCs w:val="1"/>
                <w:color w:val="auto"/>
              </w:rPr>
            </w:pPr>
          </w:p>
        </w:tc>
      </w:tr>
      <w:tr>
        <w:trPr>
          <w:trHeight w:val="200"/>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center"/>
              <w:ind w:left="711"/>
              <w:spacing w:after="0"/>
              <w:rPr>
                <w:sz w:val="20"/>
                <w:szCs w:val="20"/>
                <w:color w:val="auto"/>
              </w:rPr>
            </w:pPr>
            <w:r>
              <w:rPr>
                <w:rFonts w:ascii="Arial" w:cs="Arial" w:eastAsia="Arial" w:hAnsi="Arial"/>
                <w:sz w:val="14"/>
                <w:szCs w:val="14"/>
                <w:color w:val="auto"/>
                <w:w w:val="88"/>
              </w:rPr>
              <w:t>31,604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24,327</w:t>
            </w:r>
          </w:p>
        </w:tc>
        <w:tc>
          <w:tcPr>
            <w:tcW w:w="0" w:type="dxa"/>
            <w:vAlign w:val="bottom"/>
          </w:tcPr>
          <w:p>
            <w:pPr>
              <w:spacing w:after="0"/>
              <w:rPr>
                <w:sz w:val="1"/>
                <w:szCs w:val="1"/>
                <w:color w:val="auto"/>
              </w:rPr>
            </w:pPr>
          </w:p>
        </w:tc>
      </w:tr>
    </w:tbl>
    <w:p>
      <w:pPr>
        <w:jc w:val="both"/>
        <w:ind w:left="740" w:right="720" w:hanging="6"/>
        <w:spacing w:after="0" w:line="223" w:lineRule="auto"/>
        <w:tabs>
          <w:tab w:leader="none" w:pos="911" w:val="left"/>
        </w:tabs>
        <w:numPr>
          <w:ilvl w:val="0"/>
          <w:numId w:val="9"/>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 As of September 30, 2023, the Company expects approximately $32.8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-235585</wp:posOffset>
            </wp:positionV>
            <wp:extent cx="38690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69055" cy="8255"/>
                    </a:xfrm>
                    <a:prstGeom prst="rect">
                      <a:avLst/>
                    </a:prstGeom>
                    <a:noFill/>
                  </pic:spPr>
                </pic:pic>
              </a:graphicData>
            </a:graphic>
          </wp:anchor>
        </w:drawing>
      </w:r>
    </w:p>
    <w:p>
      <w:pPr>
        <w:spacing w:after="0" w:line="104" w:lineRule="exact"/>
        <w:rPr>
          <w:sz w:val="20"/>
          <w:szCs w:val="20"/>
          <w:color w:val="auto"/>
        </w:rPr>
      </w:pPr>
    </w:p>
    <w:tbl>
      <w:tblPr>
        <w:tblLayout w:type="fixed"/>
        <w:tblInd w:w="720" w:type="dxa"/>
        <w:tblCellMar>
          <w:top w:w="0" w:type="dxa"/>
          <w:left w:w="0" w:type="dxa"/>
          <w:bottom w:w="0" w:type="dxa"/>
          <w:right w:w="0" w:type="dxa"/>
        </w:tblCellMar>
      </w:tblPr>
      <w:tr>
        <w:trPr>
          <w:trHeight w:val="179"/>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 2022</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3"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86"/>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3" w:lineRule="exact"/>
              <w:rPr>
                <w:sz w:val="20"/>
                <w:szCs w:val="20"/>
                <w:color w:val="auto"/>
              </w:rPr>
            </w:pPr>
            <w:r>
              <w:rPr>
                <w:rFonts w:ascii="Arial" w:cs="Arial" w:eastAsia="Arial" w:hAnsi="Arial"/>
                <w:sz w:val="14"/>
                <w:szCs w:val="14"/>
                <w:b w:val="1"/>
                <w:bCs w:val="1"/>
                <w:color w:val="auto"/>
                <w:w w:val="86"/>
              </w:rPr>
              <w:t>Amounts reclassified</w:t>
            </w:r>
          </w:p>
        </w:tc>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4"/>
              </w:rPr>
              <w:t>AOCI Ending Balance</w:t>
            </w:r>
          </w:p>
        </w:tc>
        <w:tc>
          <w:tcPr>
            <w:tcW w:w="0" w:type="dxa"/>
            <w:vAlign w:val="bottom"/>
          </w:tcPr>
          <w:p>
            <w:pPr>
              <w:spacing w:after="0"/>
              <w:rPr>
                <w:sz w:val="1"/>
                <w:szCs w:val="1"/>
                <w:color w:val="auto"/>
              </w:rPr>
            </w:pPr>
          </w:p>
        </w:tc>
      </w:tr>
      <w:tr>
        <w:trPr>
          <w:trHeight w:val="187"/>
        </w:trPr>
        <w:tc>
          <w:tcPr>
            <w:tcW w:w="3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Net change in unrealized cash flow hedges gains (losses) (1)</w:t>
            </w: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center"/>
              <w:ind w:left="751"/>
              <w:spacing w:after="0"/>
              <w:rPr>
                <w:sz w:val="20"/>
                <w:szCs w:val="20"/>
                <w:color w:val="auto"/>
              </w:rPr>
            </w:pPr>
            <w:r>
              <w:rPr>
                <w:rFonts w:ascii="Arial" w:cs="Arial" w:eastAsia="Arial" w:hAnsi="Arial"/>
                <w:sz w:val="14"/>
                <w:szCs w:val="14"/>
                <w:color w:val="auto"/>
                <w:w w:val="88"/>
              </w:rPr>
              <w:t>52,442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45,999</w:t>
            </w:r>
          </w:p>
        </w:tc>
        <w:tc>
          <w:tcPr>
            <w:tcW w:w="0" w:type="dxa"/>
            <w:vAlign w:val="bottom"/>
          </w:tcPr>
          <w:p>
            <w:pPr>
              <w:spacing w:after="0"/>
              <w:rPr>
                <w:sz w:val="1"/>
                <w:szCs w:val="1"/>
                <w:color w:val="auto"/>
              </w:rPr>
            </w:pPr>
          </w:p>
        </w:tc>
      </w:tr>
      <w:tr>
        <w:trPr>
          <w:trHeight w:val="187"/>
        </w:trPr>
        <w:tc>
          <w:tcPr>
            <w:tcW w:w="3720" w:type="dxa"/>
            <w:vAlign w:val="bottom"/>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731"/>
              <w:spacing w:after="0"/>
              <w:rPr>
                <w:sz w:val="20"/>
                <w:szCs w:val="20"/>
                <w:color w:val="auto"/>
              </w:rPr>
            </w:pPr>
            <w:r>
              <w:rPr>
                <w:rFonts w:ascii="Arial" w:cs="Arial" w:eastAsia="Arial" w:hAnsi="Arial"/>
                <w:sz w:val="14"/>
                <w:szCs w:val="14"/>
                <w:color w:val="auto"/>
                <w:w w:val="91"/>
              </w:rPr>
              <w:t>(25,106)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(24,821)</w:t>
            </w:r>
          </w:p>
        </w:tc>
        <w:tc>
          <w:tcPr>
            <w:tcW w:w="0" w:type="dxa"/>
            <w:vAlign w:val="bottom"/>
          </w:tcPr>
          <w:p>
            <w:pPr>
              <w:spacing w:after="0"/>
              <w:rPr>
                <w:sz w:val="1"/>
                <w:szCs w:val="1"/>
                <w:color w:val="auto"/>
              </w:rPr>
            </w:pPr>
          </w:p>
        </w:tc>
      </w:tr>
      <w:tr>
        <w:trPr>
          <w:trHeight w:val="200"/>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center"/>
              <w:ind w:left="751"/>
              <w:spacing w:after="0"/>
              <w:rPr>
                <w:sz w:val="20"/>
                <w:szCs w:val="20"/>
                <w:color w:val="auto"/>
              </w:rPr>
            </w:pPr>
            <w:r>
              <w:rPr>
                <w:rFonts w:ascii="Arial" w:cs="Arial" w:eastAsia="Arial" w:hAnsi="Arial"/>
                <w:sz w:val="14"/>
                <w:szCs w:val="14"/>
                <w:color w:val="auto"/>
                <w:w w:val="88"/>
              </w:rPr>
              <w:t>27,336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21,178</w:t>
            </w:r>
          </w:p>
        </w:tc>
        <w:tc>
          <w:tcPr>
            <w:tcW w:w="0" w:type="dxa"/>
            <w:vAlign w:val="bottom"/>
          </w:tcPr>
          <w:p>
            <w:pPr>
              <w:spacing w:after="0"/>
              <w:rPr>
                <w:sz w:val="1"/>
                <w:szCs w:val="1"/>
                <w:color w:val="auto"/>
              </w:rPr>
            </w:pPr>
          </w:p>
        </w:tc>
      </w:tr>
    </w:tbl>
    <w:p>
      <w:pPr>
        <w:ind w:left="900" w:hanging="166"/>
        <w:spacing w:after="0"/>
        <w:tabs>
          <w:tab w:leader="none" w:pos="9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w:t>
      </w:r>
    </w:p>
    <w:p>
      <w:pPr>
        <w:spacing w:after="0" w:line="200" w:lineRule="exact"/>
        <w:rPr>
          <w:rFonts w:ascii="Arial" w:cs="Arial" w:eastAsia="Arial" w:hAnsi="Arial"/>
          <w:sz w:val="12"/>
          <w:szCs w:val="12"/>
          <w:color w:val="auto"/>
        </w:rPr>
      </w:pPr>
    </w:p>
    <w:p>
      <w:pPr>
        <w:spacing w:after="0" w:line="227" w:lineRule="exact"/>
        <w:rPr>
          <w:rFonts w:ascii="Arial" w:cs="Arial" w:eastAsia="Arial" w:hAnsi="Arial"/>
          <w:sz w:val="12"/>
          <w:szCs w:val="12"/>
          <w:color w:val="auto"/>
        </w:rPr>
      </w:pPr>
    </w:p>
    <w:p>
      <w:pPr>
        <w:ind w:left="260" w:hanging="256"/>
        <w:spacing w:after="0"/>
        <w:tabs>
          <w:tab w:leader="none" w:pos="2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-474345</wp:posOffset>
            </wp:positionV>
            <wp:extent cx="38690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69055" cy="8255"/>
                    </a:xfrm>
                    <a:prstGeom prst="rect">
                      <a:avLst/>
                    </a:prstGeom>
                    <a:noFill/>
                  </pic:spPr>
                </pic:pic>
              </a:graphicData>
            </a:graphic>
          </wp:anchor>
        </w:drawing>
      </w:r>
    </w:p>
    <w:p>
      <w:pPr>
        <w:spacing w:after="0" w:line="231" w:lineRule="exact"/>
        <w:rPr>
          <w:sz w:val="20"/>
          <w:szCs w:val="20"/>
          <w:color w:val="auto"/>
        </w:rPr>
      </w:pPr>
    </w:p>
    <w:p>
      <w:pPr>
        <w:jc w:val="both"/>
        <w:ind w:right="220" w:firstLine="622"/>
        <w:spacing w:after="0" w:line="269" w:lineRule="auto"/>
        <w:rPr>
          <w:sz w:val="20"/>
          <w:szCs w:val="20"/>
          <w:color w:val="auto"/>
        </w:rPr>
      </w:pPr>
      <w:r>
        <w:rPr>
          <w:rFonts w:ascii="Arial" w:cs="Arial" w:eastAsia="Arial" w:hAnsi="Arial"/>
          <w:sz w:val="17"/>
          <w:szCs w:val="17"/>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43" w:name="page44"/>
    <w:bookmarkEnd w:id="43"/>
    <w:p>
      <w:pPr>
        <w:ind w:left="620"/>
        <w:spacing w:after="0"/>
        <w:rPr>
          <w:sz w:val="20"/>
          <w:szCs w:val="20"/>
          <w:color w:val="auto"/>
        </w:rPr>
      </w:pPr>
      <w:r>
        <w:rPr>
          <w:rFonts w:ascii="Arial" w:cs="Arial" w:eastAsia="Arial" w:hAnsi="Arial"/>
          <w:sz w:val="17"/>
          <w:szCs w:val="17"/>
          <w:color w:val="auto"/>
        </w:rPr>
        <w:t>The following table summarizes activity related to stock options for the nine months ended September 30, 2023 and 2022:</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w w:val="90"/>
              </w:rPr>
              <w:t>Options Outstanding</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11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5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0"/>
                <w:szCs w:val="10"/>
                <w:color w:val="auto"/>
              </w:rPr>
            </w:pPr>
          </w:p>
        </w:tc>
        <w:tc>
          <w:tcPr>
            <w:tcW w:w="11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71"/>
              <w:spacing w:after="0" w:line="126"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Remaining Contractual</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1"/>
              <w:spacing w:after="0" w:line="139"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Exercise Price Per Share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100" w:type="dxa"/>
            <w:vAlign w:val="bottom"/>
          </w:tcPr>
          <w:p>
            <w:pPr>
              <w:jc w:val="right"/>
              <w:ind w:right="251"/>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1"/>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9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1,795,655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jc w:val="center"/>
              <w:ind w:left="1171"/>
              <w:spacing w:after="0"/>
              <w:rPr>
                <w:sz w:val="20"/>
                <w:szCs w:val="20"/>
                <w:color w:val="auto"/>
              </w:rPr>
            </w:pPr>
            <w:r>
              <w:rPr>
                <w:rFonts w:ascii="Arial" w:cs="Arial" w:eastAsia="Arial" w:hAnsi="Arial"/>
                <w:sz w:val="14"/>
                <w:szCs w:val="14"/>
                <w:color w:val="auto"/>
                <w:w w:val="87"/>
              </w:rPr>
              <w:t>3.24</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1,795,655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5"/>
        </w:trPr>
        <w:tc>
          <w:tcPr>
            <w:tcW w:w="40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1"/>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1"/>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7"/>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1"/>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September 30, 2022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1,521,776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1171"/>
              <w:spacing w:after="0"/>
              <w:rPr>
                <w:sz w:val="20"/>
                <w:szCs w:val="20"/>
                <w:color w:val="auto"/>
              </w:rPr>
            </w:pPr>
            <w:r>
              <w:rPr>
                <w:rFonts w:ascii="Arial" w:cs="Arial" w:eastAsia="Arial" w:hAnsi="Arial"/>
                <w:sz w:val="14"/>
                <w:szCs w:val="14"/>
                <w:color w:val="auto"/>
                <w:w w:val="87"/>
              </w:rPr>
              <w:t>2.49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1,521,776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7"/>
        </w:trPr>
        <w:tc>
          <w:tcPr>
            <w:tcW w:w="4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1,521,776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1171"/>
              <w:spacing w:after="0"/>
              <w:rPr>
                <w:sz w:val="20"/>
                <w:szCs w:val="20"/>
                <w:color w:val="auto"/>
              </w:rPr>
            </w:pPr>
            <w:r>
              <w:rPr>
                <w:rFonts w:ascii="Arial" w:cs="Arial" w:eastAsia="Arial" w:hAnsi="Arial"/>
                <w:sz w:val="14"/>
                <w:szCs w:val="14"/>
                <w:color w:val="auto"/>
                <w:w w:val="87"/>
              </w:rPr>
              <w:t>2.24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1,521,776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5"/>
        </w:trPr>
        <w:tc>
          <w:tcPr>
            <w:tcW w:w="40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1"/>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center"/>
              <w:ind w:left="1091"/>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1"/>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September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1,511,776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ind w:left="1171"/>
              <w:spacing w:after="0"/>
              <w:rPr>
                <w:sz w:val="20"/>
                <w:szCs w:val="20"/>
                <w:color w:val="auto"/>
              </w:rPr>
            </w:pPr>
            <w:r>
              <w:rPr>
                <w:rFonts w:ascii="Arial" w:cs="Arial" w:eastAsia="Arial" w:hAnsi="Arial"/>
                <w:sz w:val="14"/>
                <w:szCs w:val="14"/>
                <w:color w:val="auto"/>
                <w:w w:val="87"/>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1,511,776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ind w:right="140" w:firstLine="622"/>
        <w:spacing w:after="0" w:line="269" w:lineRule="auto"/>
        <w:rPr>
          <w:sz w:val="20"/>
          <w:szCs w:val="20"/>
          <w:color w:val="auto"/>
        </w:rPr>
      </w:pPr>
      <w:r>
        <w:rPr>
          <w:rFonts w:ascii="Arial" w:cs="Arial" w:eastAsia="Arial" w:hAnsi="Arial"/>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On the ITG Closing Date, the Company assumed the Amended and Restated ITG 2007 Equity Plan and certain stock option awards, restricted stock unit</w:t>
      </w:r>
    </w:p>
    <w:p>
      <w:pPr>
        <w:spacing w:after="0" w:line="4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awards, deferred stock unit awards and performance stock unit awards granted thereunder </w:t>
      </w:r>
      <w:r>
        <w:rPr>
          <w:rFonts w:ascii="Arial" w:cs="Arial" w:eastAsia="Arial" w:hAnsi="Arial"/>
          <w:sz w:val="19"/>
          <w:szCs w:val="19"/>
          <w:color w:val="auto"/>
        </w:rPr>
        <w:t>("</w:t>
      </w:r>
      <w:r>
        <w:rPr>
          <w:rFonts w:ascii="Arial" w:cs="Arial" w:eastAsia="Arial" w:hAnsi="Arial"/>
          <w:sz w:val="16"/>
          <w:szCs w:val="16"/>
          <w:color w:val="auto"/>
        </w:rPr>
        <w:t>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Restricted Stock Units and Restricted Stock Awards</w:t>
      </w:r>
    </w:p>
    <w:p>
      <w:pPr>
        <w:spacing w:after="0" w:line="245" w:lineRule="exact"/>
        <w:rPr>
          <w:sz w:val="20"/>
          <w:szCs w:val="20"/>
          <w:color w:val="auto"/>
        </w:rPr>
      </w:pPr>
    </w:p>
    <w:p>
      <w:pPr>
        <w:ind w:firstLine="622"/>
        <w:spacing w:after="0" w:line="295" w:lineRule="auto"/>
        <w:rPr>
          <w:sz w:val="20"/>
          <w:szCs w:val="20"/>
          <w:color w:val="auto"/>
        </w:rPr>
      </w:pPr>
      <w:r>
        <w:rPr>
          <w:rFonts w:ascii="Arial" w:cs="Arial" w:eastAsia="Arial" w:hAnsi="Arial"/>
          <w:sz w:val="15"/>
          <w:szCs w:val="15"/>
          <w:color w:val="auto"/>
        </w:rPr>
        <w:t>Pursuant to the Amended and Restated 2015 Management Incentive Plan as described in Note 17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nine months ended September 30, 2023 and 2022, respectively, there were 868,315, and 580,710 shares of immediately vested Class A Common Stock granted as part of year-end compensation. In addition, the Company accrued compensation expense of $5.9 million and $8.9 million for the three months ended September 30, 2023 and 2022, respectively, and $17.9 million, and $24.4 million for the nine months ended September 30, 2023 and 2022,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4" w:name="page45"/>
    <w:bookmarkEnd w:id="44"/>
    <w:p>
      <w:pPr>
        <w:ind w:left="620"/>
        <w:spacing w:after="0"/>
        <w:rPr>
          <w:sz w:val="20"/>
          <w:szCs w:val="20"/>
          <w:color w:val="auto"/>
        </w:rPr>
      </w:pPr>
      <w:r>
        <w:rPr>
          <w:rFonts w:ascii="Arial" w:cs="Arial" w:eastAsia="Arial" w:hAnsi="Arial"/>
          <w:sz w:val="15"/>
          <w:szCs w:val="15"/>
          <w:color w:val="auto"/>
        </w:rPr>
        <w:t>The following table summarizes activity related to RSUs (including the Assumed Awards) and RSAs for the nine months ended September 30, 2023, and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RSUs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1"/>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9"/>
        </w:trPr>
        <w:tc>
          <w:tcPr>
            <w:tcW w:w="86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1"/>
              <w:spacing w:after="0" w:line="139" w:lineRule="exact"/>
              <w:rPr>
                <w:sz w:val="20"/>
                <w:szCs w:val="20"/>
                <w:color w:val="auto"/>
              </w:rPr>
            </w:pPr>
            <w:r>
              <w:rPr>
                <w:rFonts w:ascii="Arial" w:cs="Arial" w:eastAsia="Arial" w:hAnsi="Arial"/>
                <w:sz w:val="14"/>
                <w:szCs w:val="14"/>
                <w:b w:val="1"/>
                <w:bCs w:val="1"/>
                <w:color w:val="auto"/>
                <w:w w:val="89"/>
              </w:rPr>
              <w:t>Average Fair</w:t>
            </w:r>
          </w:p>
        </w:tc>
        <w:tc>
          <w:tcPr>
            <w:tcW w:w="0" w:type="dxa"/>
            <w:vAlign w:val="bottom"/>
          </w:tcPr>
          <w:p>
            <w:pPr>
              <w:spacing w:after="0"/>
              <w:rPr>
                <w:sz w:val="1"/>
                <w:szCs w:val="1"/>
                <w:color w:val="auto"/>
              </w:rPr>
            </w:pPr>
          </w:p>
        </w:tc>
      </w:tr>
      <w:tr>
        <w:trPr>
          <w:trHeight w:val="189"/>
        </w:trPr>
        <w:tc>
          <w:tcPr>
            <w:tcW w:w="8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3"/>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3,224,447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185"/>
        </w:trPr>
        <w:tc>
          <w:tcPr>
            <w:tcW w:w="86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3,027,148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87"/>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(1,800,922)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25.14</w:t>
            </w:r>
          </w:p>
        </w:tc>
        <w:tc>
          <w:tcPr>
            <w:tcW w:w="0" w:type="dxa"/>
            <w:vAlign w:val="bottom"/>
          </w:tcPr>
          <w:p>
            <w:pPr>
              <w:spacing w:after="0"/>
              <w:rPr>
                <w:sz w:val="1"/>
                <w:szCs w:val="1"/>
                <w:color w:val="auto"/>
              </w:rPr>
            </w:pPr>
          </w:p>
        </w:tc>
      </w:tr>
      <w:tr>
        <w:trPr>
          <w:trHeight w:val="21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September 30,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4,086,929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3,954,833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85"/>
        </w:trPr>
        <w:tc>
          <w:tcPr>
            <w:tcW w:w="8600" w:type="dxa"/>
            <w:vAlign w:val="bottom"/>
          </w:tcPr>
          <w:p>
            <w:pPr>
              <w:ind w:left="140"/>
              <w:spacing w:after="0"/>
              <w:rPr>
                <w:sz w:val="20"/>
                <w:szCs w:val="20"/>
                <w:color w:val="auto"/>
              </w:rPr>
            </w:pPr>
            <w:r>
              <w:rPr>
                <w:rFonts w:ascii="Arial" w:cs="Arial" w:eastAsia="Arial" w:hAnsi="Arial"/>
                <w:sz w:val="14"/>
                <w:szCs w:val="14"/>
                <w:color w:val="auto"/>
              </w:rPr>
              <w:t>Granted (1)</w:t>
            </w:r>
          </w:p>
        </w:tc>
        <w:tc>
          <w:tcPr>
            <w:tcW w:w="1380" w:type="dxa"/>
            <w:vAlign w:val="bottom"/>
          </w:tcPr>
          <w:p>
            <w:pPr>
              <w:jc w:val="right"/>
              <w:spacing w:after="0"/>
              <w:rPr>
                <w:sz w:val="20"/>
                <w:szCs w:val="20"/>
                <w:color w:val="auto"/>
              </w:rPr>
            </w:pPr>
            <w:r>
              <w:rPr>
                <w:rFonts w:ascii="Arial" w:cs="Arial" w:eastAsia="Arial" w:hAnsi="Arial"/>
                <w:sz w:val="14"/>
                <w:szCs w:val="14"/>
                <w:color w:val="auto"/>
              </w:rPr>
              <w:t>3,763,217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87"/>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(2,558,333)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September 30,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4,975,336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23.81</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2"/>
          <w:szCs w:val="12"/>
          <w:color w:val="auto"/>
        </w:rPr>
        <w:t>(1) Excluded in the number of RSUs and RSAs are 37,500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5460365</wp:posOffset>
            </wp:positionH>
            <wp:positionV relativeFrom="paragraph">
              <wp:posOffset>-78740</wp:posOffset>
            </wp:positionV>
            <wp:extent cx="8724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335" w:lineRule="exact"/>
        <w:rPr>
          <w:sz w:val="20"/>
          <w:szCs w:val="20"/>
          <w:color w:val="auto"/>
        </w:rPr>
      </w:pPr>
    </w:p>
    <w:p>
      <w:pPr>
        <w:ind w:right="40" w:firstLine="622"/>
        <w:spacing w:after="0" w:line="262" w:lineRule="auto"/>
        <w:rPr>
          <w:sz w:val="20"/>
          <w:szCs w:val="20"/>
          <w:color w:val="auto"/>
        </w:rPr>
      </w:pPr>
      <w:r>
        <w:rPr>
          <w:rFonts w:ascii="Arial" w:cs="Arial" w:eastAsia="Arial" w:hAnsi="Arial"/>
          <w:sz w:val="17"/>
          <w:szCs w:val="17"/>
          <w:color w:val="auto"/>
        </w:rPr>
        <w:t>The Company recognized $9.7 million and $9.2 million for the three months ended September 30, 2023 and 2022, respectively, and $29.8 million, and $27.3 million for the nine months ended September 30, 2023 and 2022, respectively, of compensation expense in relation to RSUs. As of September 30, 2023 and December 31, 2022, total unrecognized share-based compensation expense related to unvested RSUs was $67.2 million and $54.6 million, respectively, and this amount is to be recognized over a weighted average period of 1.1 and 0.9 years, respectively. Awards in which the specific performance conditions have not been met are not included in unrecognized share-based compensation expense.</w:t>
      </w:r>
    </w:p>
    <w:p>
      <w:pPr>
        <w:spacing w:after="0" w:line="204" w:lineRule="exact"/>
        <w:rPr>
          <w:sz w:val="20"/>
          <w:szCs w:val="20"/>
          <w:color w:val="auto"/>
        </w:rPr>
      </w:pPr>
    </w:p>
    <w:p>
      <w:pPr>
        <w:ind w:right="100" w:firstLine="622"/>
        <w:spacing w:after="0" w:line="321" w:lineRule="auto"/>
        <w:rPr>
          <w:sz w:val="20"/>
          <w:szCs w:val="20"/>
          <w:color w:val="auto"/>
        </w:rPr>
      </w:pPr>
      <w:r>
        <w:rPr>
          <w:rFonts w:ascii="Arial" w:cs="Arial" w:eastAsia="Arial" w:hAnsi="Arial"/>
          <w:sz w:val="15"/>
          <w:szCs w:val="15"/>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Regulatory Requirement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Subsidiary</w:t>
      </w:r>
    </w:p>
    <w:p>
      <w:pPr>
        <w:spacing w:after="0" w:line="245" w:lineRule="exact"/>
        <w:rPr>
          <w:sz w:val="20"/>
          <w:szCs w:val="20"/>
          <w:color w:val="auto"/>
        </w:rPr>
      </w:pPr>
    </w:p>
    <w:p>
      <w:pPr>
        <w:ind w:right="200" w:firstLine="622"/>
        <w:spacing w:after="0" w:line="282" w:lineRule="auto"/>
        <w:rPr>
          <w:sz w:val="20"/>
          <w:szCs w:val="20"/>
          <w:color w:val="auto"/>
        </w:rPr>
      </w:pPr>
      <w:r>
        <w:rPr>
          <w:rFonts w:ascii="Arial" w:cs="Arial" w:eastAsia="Arial" w:hAnsi="Arial"/>
          <w:sz w:val="16"/>
          <w:szCs w:val="16"/>
          <w:color w:val="auto"/>
        </w:rPr>
        <w:t>The Company's U.S. broker-dealer subsidiaries VAL and RFQ-Hub Americas LLC ("RAL"), are subject to the SEC Uniform Net Capital Rule 15c3-1, which requires the maintenance of minimum net capital as detailed in the table below. RAL became a U.S. broker-dealer in June 2023. Pursuant to New York Stock Exchange ("NYSE") rules, VAL was also required to maintain $1.0 million of capital in connection with the operation of its designated market maker (“DMM”) business as of September 30, 2023. The required amount is determined under the exchange rules as the greater of (i) $1 million or (ii) $75,000 for every 0.1% of NYSE transaction dollar volume in each of the securities for which the Company is registered as the DMM.</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regulatory capital and regulatory capital requirements of the Company's U.S. subsidiaries as of September 30, 2023 was as follows:</w:t>
      </w:r>
    </w:p>
    <w:p>
      <w:pPr>
        <w:spacing w:after="0" w:line="2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5"/>
        </w:trPr>
        <w:tc>
          <w:tcPr>
            <w:tcW w:w="5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457,258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455,617</w:t>
            </w:r>
          </w:p>
        </w:tc>
        <w:tc>
          <w:tcPr>
            <w:tcW w:w="0" w:type="dxa"/>
            <w:vAlign w:val="bottom"/>
          </w:tcPr>
          <w:p>
            <w:pPr>
              <w:spacing w:after="0"/>
              <w:rPr>
                <w:sz w:val="1"/>
                <w:szCs w:val="1"/>
                <w:color w:val="auto"/>
              </w:rPr>
            </w:pPr>
          </w:p>
        </w:tc>
      </w:tr>
      <w:tr>
        <w:trPr>
          <w:trHeight w:val="175"/>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RFQ-Hub Americas LLC</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1,853</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firstLine="622"/>
        <w:spacing w:after="0" w:line="321" w:lineRule="auto"/>
        <w:rPr>
          <w:sz w:val="20"/>
          <w:szCs w:val="20"/>
          <w:color w:val="auto"/>
        </w:rPr>
      </w:pPr>
      <w:r>
        <w:rPr>
          <w:rFonts w:ascii="Arial" w:cs="Arial" w:eastAsia="Arial" w:hAnsi="Arial"/>
          <w:sz w:val="15"/>
          <w:szCs w:val="15"/>
          <w:color w:val="auto"/>
        </w:rPr>
        <w:t xml:space="preserve">As of September 30, 2023, VAL had $31.3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$6.0 million of cash in reserve bank accounts for the benefit of proprietary accounts of brokers. The</w:t>
      </w:r>
      <w:r>
        <w:rPr>
          <w:rFonts w:ascii="Arial" w:cs="Arial" w:eastAsia="Arial" w:hAnsi="Arial"/>
          <w:sz w:val="15"/>
          <w:szCs w:val="15"/>
          <w:i w:val="1"/>
          <w:iCs w:val="1"/>
          <w:color w:val="auto"/>
        </w:rPr>
        <w:t xml:space="preserve"> </w:t>
      </w:r>
      <w:r>
        <w:rPr>
          <w:rFonts w:ascii="Arial" w:cs="Arial" w:eastAsia="Arial" w:hAnsi="Arial"/>
          <w:sz w:val="15"/>
          <w:szCs w:val="15"/>
          <w:color w:val="auto"/>
        </w:rPr>
        <w:t>balances are included within Cash restricted or segregated under regulations and other on the Condensed Consolidated Statements of Financial Condition.</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regulatory capital and regulatory capital requirements of the Company's U.S. subsidiaries as of December 31, 2022 was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5" w:name="page46"/>
    <w:bookmarkEnd w:id="45"/>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5"/>
        </w:trPr>
        <w:tc>
          <w:tcPr>
            <w:tcW w:w="5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554,550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553,550</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right="160" w:firstLine="622"/>
        <w:spacing w:after="0" w:line="354" w:lineRule="auto"/>
        <w:rPr>
          <w:sz w:val="20"/>
          <w:szCs w:val="20"/>
          <w:color w:val="auto"/>
        </w:rPr>
      </w:pPr>
      <w:r>
        <w:rPr>
          <w:rFonts w:ascii="Arial" w:cs="Arial" w:eastAsia="Arial" w:hAnsi="Arial"/>
          <w:sz w:val="15"/>
          <w:szCs w:val="15"/>
          <w:color w:val="auto"/>
        </w:rPr>
        <w:t xml:space="preserve">As of December 31, 2022, VAL had $50.2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$5.8 million of cash in reserve bank accounts for the benefit of proprietary accounts of brokers.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Subsidiaries</w:t>
      </w:r>
    </w:p>
    <w:p>
      <w:pPr>
        <w:spacing w:after="0" w:line="232" w:lineRule="exact"/>
        <w:rPr>
          <w:sz w:val="20"/>
          <w:szCs w:val="20"/>
          <w:color w:val="auto"/>
        </w:rPr>
      </w:pPr>
    </w:p>
    <w:p>
      <w:pPr>
        <w:ind w:right="240" w:firstLine="622"/>
        <w:spacing w:after="0" w:line="248" w:lineRule="auto"/>
        <w:rPr>
          <w:sz w:val="20"/>
          <w:szCs w:val="20"/>
          <w:color w:val="auto"/>
        </w:rPr>
      </w:pPr>
      <w:r>
        <w:rPr>
          <w:rFonts w:ascii="Arial" w:cs="Arial" w:eastAsia="Arial" w:hAnsi="Arial"/>
          <w:sz w:val="17"/>
          <w:szCs w:val="17"/>
          <w:color w:val="auto"/>
        </w:rPr>
        <w:t>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216" w:lineRule="exact"/>
        <w:rPr>
          <w:sz w:val="20"/>
          <w:szCs w:val="20"/>
          <w:color w:val="auto"/>
        </w:rPr>
      </w:pPr>
    </w:p>
    <w:p>
      <w:pPr>
        <w:ind w:firstLine="622"/>
        <w:spacing w:after="0" w:line="272" w:lineRule="auto"/>
        <w:rPr>
          <w:sz w:val="20"/>
          <w:szCs w:val="20"/>
          <w:color w:val="auto"/>
        </w:rPr>
      </w:pPr>
      <w:r>
        <w:rPr>
          <w:rFonts w:ascii="Arial" w:cs="Arial" w:eastAsia="Arial" w:hAnsi="Arial"/>
          <w:sz w:val="17"/>
          <w:szCs w:val="17"/>
          <w:color w:val="auto"/>
        </w:rPr>
        <w:t>The regulatory net capital balances and regulatory capital requirements applicable to the Company's foreign subsidiaries as of September 30, 2023 were as follows:</w:t>
      </w:r>
    </w:p>
    <w:tbl>
      <w:tblPr>
        <w:tblLayout w:type="fixed"/>
        <w:tblInd w:w="180" w:type="dxa"/>
        <w:tblCellMar>
          <w:top w:w="0" w:type="dxa"/>
          <w:left w:w="0" w:type="dxa"/>
          <w:bottom w:w="0" w:type="dxa"/>
          <w:right w:w="0" w:type="dxa"/>
        </w:tblCellMar>
      </w:tblPr>
      <w:tr>
        <w:trPr>
          <w:trHeight w:val="140"/>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92"/>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7"/>
        </w:trPr>
        <w:tc>
          <w:tcPr>
            <w:tcW w:w="5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Canada Corp</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12,209</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660" w:type="dxa"/>
            <w:vAlign w:val="bottom"/>
          </w:tcPr>
          <w:p>
            <w:pPr>
              <w:jc w:val="right"/>
              <w:ind w:right="51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12,025</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0" w:type="dxa"/>
            <w:vAlign w:val="bottom"/>
          </w:tcPr>
          <w:p>
            <w:pPr>
              <w:spacing w:after="0"/>
              <w:rPr>
                <w:sz w:val="1"/>
                <w:szCs w:val="1"/>
                <w:color w:val="auto"/>
              </w:rPr>
            </w:pPr>
          </w:p>
        </w:tc>
      </w:tr>
      <w:tr>
        <w:trPr>
          <w:trHeight w:val="187"/>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Europe Trading Limited (1)</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57,265</w:t>
            </w: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 (1)</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84,972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28,795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56,177</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 (1)</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22,855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10,760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12,095</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Singapore Pte. Ltd.</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64,442</w:t>
            </w:r>
          </w:p>
        </w:tc>
        <w:tc>
          <w:tcPr>
            <w:tcW w:w="0" w:type="dxa"/>
            <w:vAlign w:val="bottom"/>
          </w:tcPr>
          <w:p>
            <w:pPr>
              <w:spacing w:after="0"/>
              <w:rPr>
                <w:sz w:val="1"/>
                <w:szCs w:val="1"/>
                <w:color w:val="auto"/>
              </w:rPr>
            </w:pPr>
          </w:p>
        </w:tc>
      </w:tr>
      <w:tr>
        <w:trPr>
          <w:trHeight w:val="154"/>
        </w:trPr>
        <w:tc>
          <w:tcPr>
            <w:tcW w:w="5700" w:type="dxa"/>
            <w:vAlign w:val="bottom"/>
            <w:gridSpan w:val="2"/>
          </w:tcPr>
          <w:p>
            <w:pPr>
              <w:ind w:left="40"/>
              <w:spacing w:after="0"/>
              <w:rPr>
                <w:sz w:val="20"/>
                <w:szCs w:val="20"/>
                <w:color w:val="auto"/>
              </w:rPr>
            </w:pPr>
            <w:r>
              <w:rPr>
                <w:rFonts w:ascii="Arial" w:cs="Arial" w:eastAsia="Arial" w:hAnsi="Arial"/>
                <w:sz w:val="12"/>
                <w:szCs w:val="12"/>
                <w:color w:val="auto"/>
              </w:rPr>
              <w:t>(1) Preliminary</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0" w:firstLine="622"/>
        <w:spacing w:after="0" w:line="317" w:lineRule="auto"/>
        <w:rPr>
          <w:sz w:val="20"/>
          <w:szCs w:val="20"/>
          <w:color w:val="auto"/>
        </w:rPr>
      </w:pPr>
      <w:r>
        <w:rPr>
          <w:rFonts w:ascii="Arial" w:cs="Arial" w:eastAsia="Arial" w:hAnsi="Arial"/>
          <w:sz w:val="16"/>
          <w:szCs w:val="16"/>
          <w:color w:val="auto"/>
        </w:rPr>
        <w:t>As of September 30, 2023,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spacing w:after="0" w:line="162" w:lineRule="exact"/>
        <w:rPr>
          <w:sz w:val="20"/>
          <w:szCs w:val="20"/>
          <w:color w:val="auto"/>
        </w:rPr>
      </w:pPr>
    </w:p>
    <w:p>
      <w:pPr>
        <w:ind w:right="20" w:firstLine="622"/>
        <w:spacing w:after="0" w:line="272" w:lineRule="auto"/>
        <w:rPr>
          <w:sz w:val="20"/>
          <w:szCs w:val="20"/>
          <w:color w:val="auto"/>
        </w:rPr>
      </w:pPr>
      <w:r>
        <w:rPr>
          <w:rFonts w:ascii="Arial" w:cs="Arial" w:eastAsia="Arial" w:hAnsi="Arial"/>
          <w:sz w:val="17"/>
          <w:szCs w:val="17"/>
          <w:color w:val="auto"/>
        </w:rPr>
        <w:t>The regulatory net capital balances and regulatory capital requirements applicable to the Company's foreign subsidiaries as of December 31, 2022 were as follows:</w:t>
      </w:r>
    </w:p>
    <w:tbl>
      <w:tblPr>
        <w:tblLayout w:type="fixed"/>
        <w:tblInd w:w="180" w:type="dxa"/>
        <w:tblCellMar>
          <w:top w:w="0" w:type="dxa"/>
          <w:left w:w="0" w:type="dxa"/>
          <w:bottom w:w="0" w:type="dxa"/>
          <w:right w:w="0" w:type="dxa"/>
        </w:tblCellMar>
      </w:tblPr>
      <w:tr>
        <w:trPr>
          <w:trHeight w:val="140"/>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92"/>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7"/>
        </w:trPr>
        <w:tc>
          <w:tcPr>
            <w:tcW w:w="5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Canada Corp</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14,248</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660" w:type="dxa"/>
            <w:vAlign w:val="bottom"/>
          </w:tcPr>
          <w:p>
            <w:pPr>
              <w:jc w:val="right"/>
              <w:ind w:right="51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14,064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87"/>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Europe Trading Limited</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50,332</w:t>
            </w: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89,853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39,768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50,085</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3,115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26,912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85"/>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Singapore Pte. Ltd.</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77" w:right="459" w:bottom="1440" w:gutter="0" w:footer="0" w:header="0"/>
        </w:sectPr>
      </w:pPr>
    </w:p>
    <w:bookmarkStart w:id="46" w:name="page47"/>
    <w:bookmarkEnd w:id="46"/>
    <w:p>
      <w:pPr>
        <w:ind w:firstLine="622"/>
        <w:spacing w:after="0" w:line="269" w:lineRule="auto"/>
        <w:rPr>
          <w:sz w:val="20"/>
          <w:szCs w:val="20"/>
          <w:color w:val="auto"/>
        </w:rPr>
      </w:pPr>
      <w:r>
        <w:rPr>
          <w:rFonts w:ascii="Arial" w:cs="Arial" w:eastAsia="Arial" w:hAnsi="Arial"/>
          <w:sz w:val="17"/>
          <w:szCs w:val="17"/>
          <w:color w:val="auto"/>
        </w:rPr>
        <w:t>As of December 31, 2022, Virtu Europe Trading Limited and Virtu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Geographic Information and Business Segments</w:t>
      </w:r>
    </w:p>
    <w:p>
      <w:pPr>
        <w:spacing w:after="0" w:line="251" w:lineRule="exact"/>
        <w:rPr>
          <w:sz w:val="20"/>
          <w:szCs w:val="20"/>
          <w:color w:val="auto"/>
        </w:rPr>
      </w:pPr>
    </w:p>
    <w:p>
      <w:pPr>
        <w:ind w:firstLine="622"/>
        <w:spacing w:after="0" w:line="259" w:lineRule="auto"/>
        <w:rPr>
          <w:sz w:val="20"/>
          <w:szCs w:val="20"/>
          <w:color w:val="auto"/>
        </w:rPr>
      </w:pPr>
      <w:r>
        <w:rPr>
          <w:rFonts w:ascii="Arial" w:cs="Arial" w:eastAsia="Arial" w:hAnsi="Arial"/>
          <w:sz w:val="17"/>
          <w:szCs w:val="17"/>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2023, and 2022</w:t>
      </w:r>
      <w:r>
        <w:rPr>
          <w:rFonts w:ascii="Arial" w:cs="Arial" w:eastAsia="Arial" w:hAnsi="Arial"/>
          <w:sz w:val="15"/>
          <w:szCs w:val="15"/>
          <w:color w:val="auto"/>
        </w:rPr>
        <w:t>:</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7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5"/>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537,574</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469,023</w:t>
            </w:r>
          </w:p>
        </w:tc>
        <w:tc>
          <w:tcPr>
            <w:tcW w:w="18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1,475,541</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1,504,216</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52,181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43,711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153,633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179,741</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Singapore</w:t>
            </w: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22,950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28,901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77,247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106,221</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8,785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25,283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51,262</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Australia</w:t>
            </w: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8,049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6,324</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21,904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22,592</w:t>
            </w:r>
          </w:p>
        </w:tc>
        <w:tc>
          <w:tcPr>
            <w:tcW w:w="0" w:type="dxa"/>
            <w:vAlign w:val="bottom"/>
          </w:tcPr>
          <w:p>
            <w:pPr>
              <w:spacing w:after="0"/>
              <w:rPr>
                <w:sz w:val="1"/>
                <w:szCs w:val="1"/>
                <w:color w:val="auto"/>
              </w:rPr>
            </w:pPr>
          </w:p>
        </w:tc>
      </w:tr>
      <w:tr>
        <w:trPr>
          <w:trHeight w:val="197"/>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3,788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3,012</w:t>
            </w:r>
          </w:p>
        </w:tc>
        <w:tc>
          <w:tcPr>
            <w:tcW w:w="0" w:type="dxa"/>
            <w:vAlign w:val="bottom"/>
          </w:tcPr>
          <w:p>
            <w:pPr>
              <w:spacing w:after="0"/>
              <w:rPr>
                <w:sz w:val="1"/>
                <w:szCs w:val="1"/>
                <w:color w:val="auto"/>
              </w:rPr>
            </w:pPr>
          </w:p>
        </w:tc>
      </w:tr>
      <w:tr>
        <w:trPr>
          <w:trHeight w:val="194"/>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630,164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561,044</w:t>
            </w:r>
          </w:p>
        </w:tc>
        <w:tc>
          <w:tcPr>
            <w:tcW w:w="18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1,757,396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1,867,044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45" w:lineRule="exact"/>
        <w:rPr>
          <w:sz w:val="20"/>
          <w:szCs w:val="20"/>
          <w:color w:val="auto"/>
        </w:rPr>
      </w:pPr>
    </w:p>
    <w:p>
      <w:pPr>
        <w:ind w:right="260" w:firstLine="622"/>
        <w:spacing w:after="0" w:line="301" w:lineRule="auto"/>
        <w:rPr>
          <w:sz w:val="20"/>
          <w:szCs w:val="20"/>
          <w:color w:val="auto"/>
        </w:rPr>
      </w:pPr>
      <w:r>
        <w:rPr>
          <w:rFonts w:ascii="Arial" w:cs="Arial" w:eastAsia="Arial" w:hAnsi="Arial"/>
          <w:sz w:val="15"/>
          <w:szCs w:val="15"/>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80" w:lineRule="exact"/>
        <w:rPr>
          <w:sz w:val="20"/>
          <w:szCs w:val="20"/>
          <w:color w:val="auto"/>
        </w:rPr>
      </w:pPr>
    </w:p>
    <w:p>
      <w:pPr>
        <w:ind w:firstLine="622"/>
        <w:spacing w:after="0" w:line="274" w:lineRule="auto"/>
        <w:rPr>
          <w:sz w:val="20"/>
          <w:szCs w:val="20"/>
          <w:color w:val="auto"/>
        </w:rPr>
      </w:pPr>
      <w:r>
        <w:rPr>
          <w:rFonts w:ascii="Arial" w:cs="Arial" w:eastAsia="Arial" w:hAnsi="Arial"/>
          <w:sz w:val="16"/>
          <w:szCs w:val="16"/>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202" w:lineRule="exact"/>
        <w:rPr>
          <w:sz w:val="20"/>
          <w:szCs w:val="20"/>
          <w:color w:val="auto"/>
        </w:rPr>
      </w:pPr>
    </w:p>
    <w:p>
      <w:pPr>
        <w:ind w:right="400" w:firstLine="622"/>
        <w:spacing w:after="0" w:line="284"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7" w:name="page48"/>
    <w:bookmarkEnd w:id="47"/>
    <w:p>
      <w:pPr>
        <w:ind w:right="420" w:firstLine="622"/>
        <w:spacing w:after="0" w:line="283" w:lineRule="auto"/>
        <w:rPr>
          <w:sz w:val="20"/>
          <w:szCs w:val="20"/>
          <w:color w:val="auto"/>
        </w:rPr>
      </w:pPr>
      <w:r>
        <w:rPr>
          <w:rFonts w:ascii="Arial" w:cs="Arial" w:eastAsia="Arial" w:hAnsi="Arial"/>
          <w:sz w:val="16"/>
          <w:szCs w:val="16"/>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September 30, 2023, and 2022 are summarized in the following table:</w:t>
      </w:r>
    </w:p>
    <w:tbl>
      <w:tblPr>
        <w:tblLayout w:type="fixed"/>
        <w:tblInd w:w="0" w:type="dxa"/>
        <w:tblCellMar>
          <w:top w:w="0" w:type="dxa"/>
          <w:left w:w="0" w:type="dxa"/>
          <w:bottom w:w="0" w:type="dxa"/>
          <w:right w:w="0" w:type="dxa"/>
        </w:tblCellMar>
      </w:tblPr>
      <w:tr>
        <w:trPr>
          <w:trHeight w:val="143"/>
        </w:trPr>
        <w:tc>
          <w:tcPr>
            <w:tcW w:w="6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06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9"/>
              </w:rPr>
              <w:t>Execution</w:t>
            </w: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2"/>
                <w:szCs w:val="12"/>
                <w:color w:val="auto"/>
              </w:rPr>
            </w:pPr>
          </w:p>
        </w:tc>
        <w:tc>
          <w:tcPr>
            <w:tcW w:w="1040" w:type="dxa"/>
            <w:vAlign w:val="bottom"/>
          </w:tcPr>
          <w:p>
            <w:pPr>
              <w:jc w:val="right"/>
              <w:ind w:right="131"/>
              <w:spacing w:after="0" w:line="143"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5"/>
        </w:trPr>
        <w:tc>
          <w:tcPr>
            <w:tcW w:w="6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Making</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8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517,351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112,453</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630,164</w:t>
            </w: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138,105</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2022:</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8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447,886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119,599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561,044</w:t>
            </w: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101,606</w:t>
            </w:r>
          </w:p>
        </w:tc>
        <w:tc>
          <w:tcPr>
            <w:tcW w:w="0" w:type="dxa"/>
            <w:vAlign w:val="bottom"/>
          </w:tcPr>
          <w:p>
            <w:pPr>
              <w:spacing w:after="0"/>
              <w:rPr>
                <w:sz w:val="1"/>
                <w:szCs w:val="1"/>
                <w:color w:val="auto"/>
              </w:rPr>
            </w:pPr>
          </w:p>
        </w:tc>
      </w:tr>
    </w:tbl>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Pre-tax earnings by segment for the nine months ended September 30, 2023, and 2022 are summarized in the following table:</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79"/>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Execution Services</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Consolidate</w:t>
            </w:r>
          </w:p>
        </w:tc>
      </w:tr>
      <w:tr>
        <w:trPr>
          <w:trHeight w:val="25"/>
        </w:trPr>
        <w:tc>
          <w:tcPr>
            <w:tcW w:w="4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2023</w:t>
            </w: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1,421,522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4"/>
              </w:rPr>
              <w:t>(4,171)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5"/>
        </w:trPr>
        <w:tc>
          <w:tcPr>
            <w:tcW w:w="4660" w:type="dxa"/>
            <w:vAlign w:val="bottom"/>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1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298,104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Arial" w:cs="Arial" w:eastAsia="Arial" w:hAnsi="Arial"/>
                <w:sz w:val="14"/>
                <w:szCs w:val="14"/>
                <w:color w:val="auto"/>
                <w:w w:val="94"/>
              </w:rPr>
              <w:t>(6,478)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7"/>
        </w:trPr>
        <w:tc>
          <w:tcPr>
            <w:tcW w:w="46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7"/>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1,427,044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7"/>
              </w:rPr>
              <w:t>37,660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75"/>
        </w:trPr>
        <w:tc>
          <w:tcPr>
            <w:tcW w:w="4660" w:type="dxa"/>
            <w:vAlign w:val="bottom"/>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1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448,943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ind w:left="580"/>
              <w:spacing w:after="0"/>
              <w:rPr>
                <w:sz w:val="20"/>
                <w:szCs w:val="20"/>
                <w:color w:val="auto"/>
              </w:rPr>
            </w:pPr>
            <w:r>
              <w:rPr>
                <w:rFonts w:ascii="Arial" w:cs="Arial" w:eastAsia="Arial" w:hAnsi="Arial"/>
                <w:sz w:val="14"/>
                <w:szCs w:val="14"/>
                <w:color w:val="auto"/>
                <w:w w:val="97"/>
              </w:rPr>
              <w:t>36,155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Related Party Transactions</w:t>
      </w:r>
    </w:p>
    <w:p>
      <w:pPr>
        <w:spacing w:after="0" w:line="251" w:lineRule="exact"/>
        <w:rPr>
          <w:sz w:val="20"/>
          <w:szCs w:val="20"/>
          <w:color w:val="auto"/>
        </w:rPr>
      </w:pPr>
    </w:p>
    <w:p>
      <w:pPr>
        <w:ind w:right="140" w:firstLine="622"/>
        <w:spacing w:after="0" w:line="284"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September 30, 2023, and December 31, 2022 the Company had net payables to its affiliates of $3.0 million and receivables from its affiliates of $0.5 million, respectively.</w:t>
      </w:r>
    </w:p>
    <w:p>
      <w:pPr>
        <w:spacing w:after="0" w:line="186" w:lineRule="exact"/>
        <w:rPr>
          <w:sz w:val="20"/>
          <w:szCs w:val="20"/>
          <w:color w:val="auto"/>
        </w:rPr>
      </w:pPr>
    </w:p>
    <w:p>
      <w:pPr>
        <w:jc w:val="both"/>
        <w:ind w:right="220" w:firstLine="622"/>
        <w:spacing w:after="0" w:line="264" w:lineRule="auto"/>
        <w:rPr>
          <w:sz w:val="20"/>
          <w:szCs w:val="20"/>
          <w:color w:val="auto"/>
        </w:rPr>
      </w:pPr>
      <w:r>
        <w:rPr>
          <w:rFonts w:ascii="Arial" w:cs="Arial" w:eastAsia="Arial" w:hAnsi="Arial"/>
          <w:sz w:val="17"/>
          <w:szCs w:val="17"/>
          <w:color w:val="auto"/>
        </w:rPr>
        <w:t>The Company has held a minority interest in JNX since 2016 (see Note 9 "Financial Assets and Liabilities"). The Company pays exchange fees to JNX for the trading activities conducted on its proprietary trading system. The Company paid $2.4 million and $3.2 million for the three months ended September 30, 2023 and 2022, respectively, and $8.4 million and $10.7 million for the nine months ended September 30, 2023 and 2022, respectively, to JNX for these trading activities.</w:t>
      </w:r>
    </w:p>
    <w:p>
      <w:pPr>
        <w:spacing w:after="0" w:line="203" w:lineRule="exact"/>
        <w:rPr>
          <w:sz w:val="20"/>
          <w:szCs w:val="20"/>
          <w:color w:val="auto"/>
        </w:rPr>
      </w:pPr>
    </w:p>
    <w:p>
      <w:pPr>
        <w:ind w:right="220" w:firstLine="622"/>
        <w:spacing w:after="0" w:line="310" w:lineRule="auto"/>
        <w:rPr>
          <w:sz w:val="20"/>
          <w:szCs w:val="20"/>
          <w:color w:val="auto"/>
        </w:rPr>
      </w:pPr>
      <w:r>
        <w:rPr>
          <w:rFonts w:ascii="Arial" w:cs="Arial" w:eastAsia="Arial" w:hAnsi="Arial"/>
          <w:sz w:val="15"/>
          <w:szCs w:val="15"/>
          <w:color w:val="auto"/>
        </w:rPr>
        <w:t>The Company pays monthly use fees to two JVs in which it holds interests (see Note 11 "Variable Interest Entities"). These monthly fees are for the use of microwave communication networks operated by each of these JVs and are recorded within Communications and data processing on the Condensed Consolidated Statements of Comprehensive Income. The Company made payments to these JVs of $12.6 million and $10.5 million for the three months ended September 30, 2023 and 2022, respectively, and $25.2 million and $21.4 million for the nine months ended September 30, 2023 and 2022, respectively.</w:t>
      </w:r>
    </w:p>
    <w:p>
      <w:pPr>
        <w:spacing w:after="0" w:line="172" w:lineRule="exact"/>
        <w:rPr>
          <w:sz w:val="20"/>
          <w:szCs w:val="20"/>
          <w:color w:val="auto"/>
        </w:rPr>
      </w:pPr>
    </w:p>
    <w:p>
      <w:pPr>
        <w:ind w:right="140" w:firstLine="622"/>
        <w:spacing w:after="0" w:line="264" w:lineRule="auto"/>
        <w:rPr>
          <w:sz w:val="20"/>
          <w:szCs w:val="20"/>
          <w:color w:val="auto"/>
        </w:rPr>
      </w:pPr>
      <w:r>
        <w:rPr>
          <w:rFonts w:ascii="Arial" w:cs="Arial" w:eastAsia="Arial" w:hAnsi="Arial"/>
          <w:sz w:val="17"/>
          <w:szCs w:val="17"/>
          <w:color w:val="auto"/>
        </w:rPr>
        <w:t>The Company has an interest in Members Exchange, a member-owned equities exchange. The Company pays regulatory and transaction fees and receives rebates from trading activities. The Company made payments of $2.2 million and received rebates of $2.3 million for the three months ended September 30, 2023 and 2022, respectively, and the Company made payments of $2.4 million and received rebates of $15.1 million for the nine months ended September 30, 2023 and 2022, respectively.</w:t>
      </w:r>
    </w:p>
    <w:p>
      <w:pPr>
        <w:spacing w:after="0" w:line="203" w:lineRule="exact"/>
        <w:rPr>
          <w:sz w:val="20"/>
          <w:szCs w:val="20"/>
          <w:color w:val="auto"/>
        </w:rPr>
      </w:pPr>
    </w:p>
    <w:p>
      <w:pPr>
        <w:ind w:right="240" w:firstLine="622"/>
        <w:spacing w:after="0" w:line="269" w:lineRule="auto"/>
        <w:rPr>
          <w:sz w:val="20"/>
          <w:szCs w:val="20"/>
          <w:color w:val="auto"/>
        </w:rPr>
      </w:pPr>
      <w:r>
        <w:rPr>
          <w:rFonts w:ascii="Arial" w:cs="Arial" w:eastAsia="Arial" w:hAnsi="Arial"/>
          <w:sz w:val="17"/>
          <w:szCs w:val="17"/>
          <w:color w:val="auto"/>
        </w:rPr>
        <w:t>In the second quarter of 2022, the Company formed a JV to support the growth and expansion of a multi-asset request-for-quote communication platform. The Company consolidates this JV, and recorded noncontrolling interest of $39.2 million in the condensed consolidated statement of changes in equity as of September 30, 2022. Refer to Note 11 "Variable Interest Entities" for further details.</w:t>
      </w: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866"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22. Subsequent Events</w:t>
      </w:r>
    </w:p>
    <w:p>
      <w:pPr>
        <w:spacing w:after="0" w:line="251" w:lineRule="exact"/>
        <w:rPr>
          <w:sz w:val="20"/>
          <w:szCs w:val="20"/>
          <w:color w:val="auto"/>
        </w:rPr>
      </w:pPr>
    </w:p>
    <w:p>
      <w:pPr>
        <w:ind w:right="60" w:firstLine="622"/>
        <w:spacing w:after="0" w:line="269"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8"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On November 2, 2023, the Company’s Board of Directors declared a dividend of $0.24 per share of Class A Common Stock and Class B Common Stock and per participating Restricted Stock Unit and Restricted Stock Award that will be paid on December 15, 2023 to holders of record as of December 1, 2023, and extended the duration of the Company's share repurchase program through December 31, 2024.</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i w:val="1"/>
          <w:iCs w:val="1"/>
          <w:color w:val="auto"/>
        </w:rPr>
        <w:t>The following management’s discussion and analysis covers the three and nine months ended September 30, 2023, and 2022 should be read in conjunction with the Condensed Consolidated Financial Statements and accompanying notes for the period ended September 30, 2023, which are included in Part 1, Item 1 of this Quarterly Report on Form 10-Q, and the audited consolidated financial statements and accompanying notes and MD&amp;A for the year ended December 31, 2022, which are included in Items 8 and 7 respectively, of the Company's Annual Report on Form 10-K for the year ended December 31, 2022.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2" w:lineRule="exact"/>
        <w:rPr>
          <w:sz w:val="20"/>
          <w:szCs w:val="20"/>
          <w:color w:val="auto"/>
        </w:rPr>
      </w:pPr>
    </w:p>
    <w:p>
      <w:pPr>
        <w:ind w:firstLine="622"/>
        <w:spacing w:after="0" w:line="273"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2022, as filed with the Securities and Exchange Commission ("SEC") on February 17, 2023 (the "2022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2022 Form 10-K, could affect our actual financial results or results of operations and cash flows, and could cause actual results to differ materially from those in such forward-looking statements, including but not limited to:</w:t>
      </w:r>
    </w:p>
    <w:p>
      <w:pPr>
        <w:spacing w:after="0" w:line="74" w:lineRule="exact"/>
        <w:rPr>
          <w:sz w:val="20"/>
          <w:szCs w:val="20"/>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volatility in levels of overall trading activity;</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5" w:lineRule="exact"/>
        <w:rPr>
          <w:rFonts w:ascii="Arial" w:cs="Arial" w:eastAsia="Arial" w:hAnsi="Arial"/>
          <w:sz w:val="17"/>
          <w:szCs w:val="17"/>
          <w:color w:val="auto"/>
        </w:rPr>
      </w:pPr>
    </w:p>
    <w:p>
      <w:pPr>
        <w:ind w:left="940" w:right="140" w:hanging="158"/>
        <w:spacing w:after="0" w:line="264"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recent SEC proposals focused on equity markets which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w:t>
      </w:r>
    </w:p>
    <w:p>
      <w:pPr>
        <w:spacing w:after="0" w:line="73" w:lineRule="exact"/>
        <w:rPr>
          <w:rFonts w:ascii="Arial" w:cs="Arial" w:eastAsia="Arial" w:hAnsi="Arial"/>
          <w:sz w:val="17"/>
          <w:szCs w:val="17"/>
          <w:color w:val="auto"/>
        </w:rPr>
      </w:pPr>
    </w:p>
    <w:p>
      <w:pPr>
        <w:jc w:val="both"/>
        <w:ind w:left="940" w:right="280" w:hanging="158"/>
        <w:spacing w:after="0" w:line="294" w:lineRule="auto"/>
        <w:tabs>
          <w:tab w:leader="none" w:pos="9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spacing w:after="0" w:line="49" w:lineRule="exact"/>
        <w:rPr>
          <w:rFonts w:ascii="Arial" w:cs="Arial" w:eastAsia="Arial" w:hAnsi="Arial"/>
          <w:sz w:val="16"/>
          <w:szCs w:val="16"/>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associated with self-clearing and other operational elements of our business, including but limited to risks related to funding and liquidity;</w:t>
      </w:r>
    </w:p>
    <w:p>
      <w:pPr>
        <w:spacing w:after="0" w:line="127" w:lineRule="exact"/>
        <w:rPr>
          <w:rFonts w:ascii="Arial" w:cs="Arial" w:eastAsia="Arial" w:hAnsi="Arial"/>
          <w:sz w:val="16"/>
          <w:szCs w:val="16"/>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litigation or other legal and regulatory-based liabilities;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0" w:name="page51"/>
    <w:bookmarkEnd w:id="50"/>
    <w:p>
      <w:pPr>
        <w:jc w:val="both"/>
        <w:ind w:left="940" w:right="520" w:hanging="158"/>
        <w:spacing w:after="0" w:line="26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68"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operations in the U.S. and abroad;</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dependence on third-party infrastructure or systems;</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protect confidential and proprietary information;</w:t>
      </w:r>
    </w:p>
    <w:p>
      <w:pPr>
        <w:spacing w:after="0" w:line="115" w:lineRule="exact"/>
        <w:rPr>
          <w:rFonts w:ascii="Arial" w:cs="Arial" w:eastAsia="Arial" w:hAnsi="Arial"/>
          <w:sz w:val="17"/>
          <w:szCs w:val="17"/>
          <w:color w:val="auto"/>
        </w:rPr>
      </w:pPr>
    </w:p>
    <w:p>
      <w:pPr>
        <w:ind w:left="940" w:right="80" w:hanging="158"/>
        <w:spacing w:after="0" w:line="284"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5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5" w:lineRule="exact"/>
        <w:rPr>
          <w:rFonts w:ascii="Arial" w:cs="Arial" w:eastAsia="Arial" w:hAnsi="Arial"/>
          <w:sz w:val="17"/>
          <w:szCs w:val="17"/>
          <w:color w:val="auto"/>
        </w:rPr>
      </w:pPr>
    </w:p>
    <w:p>
      <w:pPr>
        <w:ind w:left="940" w:right="40" w:hanging="158"/>
        <w:spacing w:after="0" w:line="286" w:lineRule="auto"/>
        <w:tabs>
          <w:tab w:leader="none" w:pos="9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spacing w:after="0" w:line="56" w:lineRule="exact"/>
        <w:rPr>
          <w:rFonts w:ascii="Arial" w:cs="Arial" w:eastAsia="Arial" w:hAnsi="Arial"/>
          <w:sz w:val="16"/>
          <w:szCs w:val="16"/>
          <w:color w:val="auto"/>
        </w:rPr>
      </w:pPr>
    </w:p>
    <w:p>
      <w:pPr>
        <w:ind w:left="940" w:right="20" w:hanging="158"/>
        <w:spacing w:after="0" w:line="264"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73"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5" w:lineRule="exact"/>
        <w:rPr>
          <w:rFonts w:ascii="Arial" w:cs="Arial" w:eastAsia="Arial" w:hAnsi="Arial"/>
          <w:sz w:val="17"/>
          <w:szCs w:val="17"/>
          <w:color w:val="auto"/>
        </w:rPr>
      </w:pPr>
    </w:p>
    <w:p>
      <w:pPr>
        <w:ind w:left="940" w:hanging="158"/>
        <w:spacing w:after="0" w:line="26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68"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5" w:lineRule="exact"/>
        <w:rPr>
          <w:rFonts w:ascii="Arial" w:cs="Arial" w:eastAsia="Arial" w:hAnsi="Arial"/>
          <w:sz w:val="17"/>
          <w:szCs w:val="17"/>
          <w:color w:val="auto"/>
        </w:rPr>
      </w:pPr>
    </w:p>
    <w:p>
      <w:pPr>
        <w:ind w:left="940" w:hanging="15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245" w:lineRule="exact"/>
        <w:rPr>
          <w:sz w:val="20"/>
          <w:szCs w:val="20"/>
          <w:color w:val="auto"/>
        </w:rPr>
      </w:pPr>
    </w:p>
    <w:p>
      <w:pPr>
        <w:ind w:right="60" w:firstLine="622"/>
        <w:spacing w:after="0" w:line="310" w:lineRule="auto"/>
        <w:rPr>
          <w:sz w:val="20"/>
          <w:szCs w:val="20"/>
          <w:color w:val="auto"/>
        </w:rPr>
      </w:pPr>
      <w:r>
        <w:rPr>
          <w:rFonts w:ascii="Arial" w:cs="Arial" w:eastAsia="Arial" w:hAnsi="Arial"/>
          <w:sz w:val="15"/>
          <w:szCs w:val="15"/>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72" w:lineRule="exact"/>
        <w:rPr>
          <w:sz w:val="20"/>
          <w:szCs w:val="20"/>
          <w:color w:val="auto"/>
        </w:rPr>
      </w:pPr>
    </w:p>
    <w:p>
      <w:pPr>
        <w:ind w:right="80" w:firstLine="622"/>
        <w:spacing w:after="0" w:line="269" w:lineRule="auto"/>
        <w:rPr>
          <w:sz w:val="20"/>
          <w:szCs w:val="20"/>
          <w:color w:val="auto"/>
        </w:rPr>
      </w:pPr>
      <w:r>
        <w:rPr>
          <w:rFonts w:ascii="Arial" w:cs="Arial" w:eastAsia="Arial" w:hAnsi="Arial"/>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Overview</w:t>
      </w:r>
    </w:p>
    <w:p>
      <w:pPr>
        <w:spacing w:after="0" w:line="251" w:lineRule="exact"/>
        <w:rPr>
          <w:sz w:val="20"/>
          <w:szCs w:val="20"/>
          <w:color w:val="auto"/>
        </w:rPr>
      </w:pPr>
    </w:p>
    <w:p>
      <w:pPr>
        <w:ind w:firstLine="622"/>
        <w:spacing w:after="0" w:line="258"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9" w:lineRule="exact"/>
        <w:rPr>
          <w:sz w:val="20"/>
          <w:szCs w:val="20"/>
          <w:color w:val="auto"/>
        </w:rPr>
      </w:pPr>
    </w:p>
    <w:p>
      <w:pPr>
        <w:ind w:right="40" w:firstLine="622"/>
        <w:spacing w:after="0" w:line="282"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0" w:lineRule="exact"/>
        <w:rPr>
          <w:sz w:val="20"/>
          <w:szCs w:val="20"/>
          <w:color w:val="auto"/>
        </w:rPr>
      </w:pPr>
    </w:p>
    <w:p>
      <w:pPr>
        <w:ind w:right="80" w:firstLine="622"/>
        <w:spacing w:after="0" w:line="264" w:lineRule="auto"/>
        <w:rPr>
          <w:sz w:val="20"/>
          <w:szCs w:val="20"/>
          <w:color w:val="auto"/>
        </w:rPr>
      </w:pPr>
      <w:r>
        <w:rPr>
          <w:rFonts w:ascii="Arial" w:cs="Arial" w:eastAsia="Arial" w:hAnsi="Arial"/>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3" w:lineRule="exact"/>
        <w:rPr>
          <w:sz w:val="20"/>
          <w:szCs w:val="20"/>
          <w:color w:val="auto"/>
        </w:rPr>
      </w:pPr>
    </w:p>
    <w:p>
      <w:pPr>
        <w:ind w:right="80" w:firstLine="622"/>
        <w:spacing w:after="0" w:line="264" w:lineRule="auto"/>
        <w:rPr>
          <w:sz w:val="20"/>
          <w:szCs w:val="20"/>
          <w:color w:val="auto"/>
        </w:rPr>
      </w:pPr>
      <w:r>
        <w:rPr>
          <w:rFonts w:ascii="Arial" w:cs="Arial" w:eastAsia="Arial" w:hAnsi="Arial"/>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203" w:lineRule="exact"/>
        <w:rPr>
          <w:sz w:val="20"/>
          <w:szCs w:val="20"/>
          <w:color w:val="auto"/>
        </w:rPr>
      </w:pPr>
    </w:p>
    <w:p>
      <w:pPr>
        <w:ind w:right="520" w:firstLine="622"/>
        <w:spacing w:after="0" w:line="284" w:lineRule="auto"/>
        <w:rPr>
          <w:sz w:val="20"/>
          <w:szCs w:val="20"/>
          <w:color w:val="auto"/>
        </w:rPr>
      </w:pPr>
      <w:r>
        <w:rPr>
          <w:rFonts w:ascii="Arial" w:cs="Arial" w:eastAsia="Arial" w:hAnsi="Arial"/>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45" w:lineRule="exact"/>
        <w:rPr>
          <w:sz w:val="20"/>
          <w:szCs w:val="20"/>
          <w:color w:val="auto"/>
        </w:rPr>
      </w:pPr>
    </w:p>
    <w:p>
      <w:pPr>
        <w:ind w:right="60" w:firstLine="622"/>
        <w:spacing w:after="0" w:line="259" w:lineRule="auto"/>
        <w:rPr>
          <w:sz w:val="20"/>
          <w:szCs w:val="20"/>
          <w:color w:val="auto"/>
        </w:rPr>
      </w:pPr>
      <w:r>
        <w:rPr>
          <w:rFonts w:ascii="Arial" w:cs="Arial" w:eastAsia="Arial" w:hAnsi="Arial"/>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96" w:lineRule="exact"/>
        <w:rPr>
          <w:sz w:val="20"/>
          <w:szCs w:val="20"/>
          <w:color w:val="auto"/>
        </w:rPr>
      </w:pPr>
    </w:p>
    <w:p>
      <w:pPr>
        <w:ind w:right="120" w:firstLine="622"/>
        <w:spacing w:after="0" w:line="248" w:lineRule="auto"/>
        <w:rPr>
          <w:sz w:val="20"/>
          <w:szCs w:val="20"/>
          <w:color w:val="auto"/>
        </w:rPr>
      </w:pPr>
      <w:r>
        <w:rPr>
          <w:rFonts w:ascii="Arial" w:cs="Arial" w:eastAsia="Arial" w:hAnsi="Arial"/>
          <w:sz w:val="17"/>
          <w:szCs w:val="17"/>
          <w:color w:val="auto"/>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45" w:lineRule="exact"/>
        <w:rPr>
          <w:sz w:val="20"/>
          <w:szCs w:val="20"/>
          <w:color w:val="auto"/>
        </w:rPr>
      </w:pPr>
    </w:p>
    <w:p>
      <w:pPr>
        <w:ind w:right="80" w:firstLine="622"/>
        <w:spacing w:after="0" w:line="275" w:lineRule="auto"/>
        <w:rPr>
          <w:sz w:val="20"/>
          <w:szCs w:val="20"/>
          <w:color w:val="auto"/>
        </w:rPr>
      </w:pPr>
      <w:r>
        <w:rPr>
          <w:rFonts w:ascii="Arial" w:cs="Arial" w:eastAsia="Arial" w:hAnsi="Arial"/>
          <w:sz w:val="16"/>
          <w:szCs w:val="16"/>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45" w:lineRule="exact"/>
        <w:rPr>
          <w:sz w:val="20"/>
          <w:szCs w:val="20"/>
          <w:color w:val="auto"/>
        </w:rPr>
      </w:pPr>
    </w:p>
    <w:p>
      <w:pPr>
        <w:ind w:right="40" w:firstLine="622"/>
        <w:spacing w:after="0" w:line="284"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ITG</w:t>
      </w:r>
    </w:p>
    <w:p>
      <w:pPr>
        <w:spacing w:after="0" w:line="251" w:lineRule="exact"/>
        <w:rPr>
          <w:sz w:val="20"/>
          <w:szCs w:val="20"/>
          <w:color w:val="auto"/>
        </w:rPr>
      </w:pPr>
    </w:p>
    <w:p>
      <w:pPr>
        <w:ind w:firstLine="622"/>
        <w:spacing w:after="0" w:line="273" w:lineRule="auto"/>
        <w:rPr>
          <w:sz w:val="20"/>
          <w:szCs w:val="20"/>
          <w:color w:val="auto"/>
        </w:rPr>
      </w:pPr>
      <w:r>
        <w:rPr>
          <w:rFonts w:ascii="Arial" w:cs="Arial" w:eastAsia="Arial" w:hAnsi="Arial"/>
          <w:sz w:val="16"/>
          <w:szCs w:val="16"/>
          <w:color w:val="auto"/>
        </w:rPr>
        <w:t>On March 1, 2019, the "ITG Closing Date", we announced the completed acquisition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London Interbank Offered Rate ("LIBOR") or the alternate base rate by 0.50% per annum and eliminated any step-down in the spread based on VFH's first lien leverage ratio.</w:t>
      </w:r>
    </w:p>
    <w:p>
      <w:pPr>
        <w:spacing w:after="0" w:line="191" w:lineRule="exact"/>
        <w:rPr>
          <w:sz w:val="20"/>
          <w:szCs w:val="20"/>
          <w:color w:val="auto"/>
        </w:rPr>
      </w:pPr>
    </w:p>
    <w:p>
      <w:pPr>
        <w:ind w:right="280" w:firstLine="622"/>
        <w:spacing w:after="0" w:line="281" w:lineRule="auto"/>
        <w:rPr>
          <w:sz w:val="20"/>
          <w:szCs w:val="20"/>
          <w:color w:val="auto"/>
        </w:rPr>
      </w:pPr>
      <w:r>
        <w:rPr>
          <w:rFonts w:ascii="Arial" w:cs="Arial" w:eastAsia="Arial" w:hAnsi="Arial"/>
          <w:sz w:val="15"/>
          <w:szCs w:val="15"/>
          <w:color w:val="auto"/>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Amended and Restated 2015 Management Incentive Plan</w:t>
      </w:r>
    </w:p>
    <w:p>
      <w:pPr>
        <w:spacing w:after="0" w:line="238" w:lineRule="exact"/>
        <w:rPr>
          <w:sz w:val="20"/>
          <w:szCs w:val="20"/>
          <w:color w:val="auto"/>
        </w:rPr>
      </w:pPr>
    </w:p>
    <w:p>
      <w:pPr>
        <w:ind w:right="60" w:firstLine="622"/>
        <w:spacing w:after="0" w:line="256" w:lineRule="auto"/>
        <w:rPr>
          <w:sz w:val="20"/>
          <w:szCs w:val="20"/>
          <w:color w:val="auto"/>
        </w:rPr>
      </w:pPr>
      <w:r>
        <w:rPr>
          <w:rFonts w:ascii="Arial" w:cs="Arial" w:eastAsia="Arial" w:hAnsi="Arial"/>
          <w:sz w:val="16"/>
          <w:szCs w:val="16"/>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spacing w:after="0" w:line="214" w:lineRule="exact"/>
        <w:rPr>
          <w:sz w:val="20"/>
          <w:szCs w:val="20"/>
          <w:color w:val="auto"/>
        </w:rPr>
      </w:pPr>
    </w:p>
    <w:p>
      <w:pPr>
        <w:ind w:firstLine="622"/>
        <w:spacing w:after="0" w:line="310" w:lineRule="auto"/>
        <w:rPr>
          <w:sz w:val="20"/>
          <w:szCs w:val="20"/>
          <w:color w:val="auto"/>
        </w:rPr>
      </w:pPr>
      <w:r>
        <w:rPr>
          <w:rFonts w:ascii="Arial" w:cs="Arial" w:eastAsia="Arial" w:hAnsi="Arial"/>
          <w:sz w:val="15"/>
          <w:szCs w:val="15"/>
          <w:color w:val="auto"/>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September 30, 2023, options to purchase 1,643,750 shares in the aggregate were forfeited and 6,072,474 options were exercised. The fair value of the stock option grants was determined through the application of the Black-Scholes-Merton model and was recognized on a straight-line basis over the vesting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Investment Technology Group, Inc. 2007 Omnibus Equity Compensation Plan</w:t>
      </w:r>
    </w:p>
    <w:p>
      <w:pPr>
        <w:spacing w:after="0" w:line="251" w:lineRule="exact"/>
        <w:rPr>
          <w:sz w:val="20"/>
          <w:szCs w:val="20"/>
          <w:color w:val="auto"/>
        </w:rPr>
      </w:pPr>
    </w:p>
    <w:p>
      <w:pPr>
        <w:ind w:right="40" w:firstLine="622"/>
        <w:spacing w:after="0" w:line="298" w:lineRule="auto"/>
        <w:rPr>
          <w:sz w:val="20"/>
          <w:szCs w:val="20"/>
          <w:color w:val="auto"/>
        </w:rPr>
      </w:pPr>
      <w:r>
        <w:rPr>
          <w:rFonts w:ascii="Arial" w:cs="Arial" w:eastAsia="Arial" w:hAnsi="Arial"/>
          <w:sz w:val="15"/>
          <w:szCs w:val="15"/>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45" w:lineRule="exact"/>
        <w:rPr>
          <w:sz w:val="20"/>
          <w:szCs w:val="20"/>
          <w:color w:val="auto"/>
        </w:rPr>
      </w:pPr>
    </w:p>
    <w:p>
      <w:pPr>
        <w:ind w:right="280" w:firstLine="622"/>
        <w:spacing w:after="0" w:line="277" w:lineRule="auto"/>
        <w:rPr>
          <w:sz w:val="20"/>
          <w:szCs w:val="20"/>
          <w:color w:val="auto"/>
        </w:rPr>
      </w:pPr>
      <w:r>
        <w:rPr>
          <w:rFonts w:ascii="Arial" w:cs="Arial" w:eastAsia="Arial" w:hAnsi="Arial"/>
          <w:sz w:val="16"/>
          <w:szCs w:val="16"/>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September 30, 2023 in the amount of $58.9 million; (ii) deferred tax assets reflected on our Condensed Consolidated Statements of Financial Condition as of September 30, 2023 in the amount of $127.0 million and tax receivable agreement obligation in the amount of $215.5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September 30, 2023; and (iv) provision for corporate income tax in the amount of $15.9 million and $34.9 million reflected on our Condensed Consolidated Statements of Comprehensive Income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1" w:lineRule="exact"/>
        <w:rPr>
          <w:sz w:val="20"/>
          <w:szCs w:val="20"/>
          <w:color w:val="auto"/>
        </w:rPr>
      </w:pPr>
    </w:p>
    <w:p>
      <w:pPr>
        <w:ind w:right="20" w:firstLine="622"/>
        <w:spacing w:after="0" w:line="284" w:lineRule="auto"/>
        <w:rPr>
          <w:sz w:val="20"/>
          <w:szCs w:val="20"/>
          <w:color w:val="auto"/>
        </w:rPr>
      </w:pPr>
      <w:r>
        <w:rPr>
          <w:rFonts w:ascii="Arial" w:cs="Arial" w:eastAsia="Arial" w:hAnsi="Arial"/>
          <w:sz w:val="17"/>
          <w:szCs w:val="17"/>
          <w:color w:val="auto"/>
        </w:rPr>
        <w:t>The following table shows our i) Total revenue, ii) Total operating expenses, and iii) Income before income taxes and noncontrolling interest by segment for the three and nine months ended September 30, 2023, and 2022:</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4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5"/>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178"/>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517,351</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447,886</w:t>
            </w:r>
          </w:p>
        </w:tc>
        <w:tc>
          <w:tcPr>
            <w:tcW w:w="14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1,421,522</w:t>
            </w:r>
          </w:p>
        </w:tc>
        <w:tc>
          <w:tcPr>
            <w:tcW w:w="100" w:type="dxa"/>
            <w:vAlign w:val="bottom"/>
          </w:tcPr>
          <w:p>
            <w:pPr>
              <w:spacing w:after="0"/>
              <w:rPr>
                <w:sz w:val="15"/>
                <w:szCs w:val="15"/>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1,427,044</w:t>
            </w:r>
          </w:p>
        </w:tc>
      </w:tr>
      <w:tr>
        <w:trPr>
          <w:trHeight w:val="204"/>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387,099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348,610</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1,123,418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978,101</w:t>
            </w:r>
          </w:p>
        </w:tc>
      </w:tr>
      <w:tr>
        <w:trPr>
          <w:trHeight w:val="178"/>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130,252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99,276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298,104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448,943</w:t>
            </w:r>
          </w:p>
        </w:tc>
      </w:tr>
      <w:tr>
        <w:trPr>
          <w:trHeight w:val="20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5"/>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112,453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119,599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340,045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402,340</w:t>
            </w:r>
          </w:p>
        </w:tc>
      </w:tr>
      <w:tr>
        <w:trPr>
          <w:trHeight w:val="204"/>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104,639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110,606</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370,335</w:t>
            </w:r>
          </w:p>
        </w:tc>
      </w:tr>
      <w:tr>
        <w:trPr>
          <w:trHeight w:val="178"/>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8,993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32,005</w:t>
            </w:r>
          </w:p>
        </w:tc>
      </w:tr>
      <w:tr>
        <w:trPr>
          <w:trHeight w:val="20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5"/>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(6,441)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37,660</w:t>
            </w:r>
          </w:p>
        </w:tc>
      </w:tr>
      <w:tr>
        <w:trPr>
          <w:trHeight w:val="204"/>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w:t>
            </w:r>
          </w:p>
        </w:tc>
      </w:tr>
      <w:tr>
        <w:trPr>
          <w:trHeight w:val="178"/>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(6,663)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36,155</w:t>
            </w:r>
          </w:p>
        </w:tc>
      </w:tr>
      <w:tr>
        <w:trPr>
          <w:trHeight w:val="20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5"/>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630,164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561,044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1,757,396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1,867,044</w:t>
            </w:r>
          </w:p>
        </w:tc>
      </w:tr>
      <w:tr>
        <w:trPr>
          <w:trHeight w:val="197"/>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492,059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459,438</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1,449,059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1,349,941</w:t>
            </w:r>
          </w:p>
        </w:tc>
      </w:tr>
      <w:tr>
        <w:trPr>
          <w:trHeight w:val="194"/>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138,105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101,606</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308,337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517,103</w:t>
            </w: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shows our results of operations for the three and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55" w:name="page56"/>
    <w:bookmarkEnd w:id="55"/>
    <w:tbl>
      <w:tblPr>
        <w:tblLayout w:type="fixed"/>
        <w:tblInd w:w="36" w:type="dxa"/>
        <w:tblCellMar>
          <w:top w:w="0" w:type="dxa"/>
          <w:left w:w="0" w:type="dxa"/>
          <w:bottom w:w="0" w:type="dxa"/>
          <w:right w:w="0" w:type="dxa"/>
        </w:tblCellMar>
      </w:tblPr>
      <w:tr>
        <w:trPr>
          <w:trHeight w:val="179"/>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7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5"/>
        </w:trPr>
        <w:tc>
          <w:tcPr>
            <w:tcW w:w="5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7"/>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316,085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397,383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1,034,764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1,315,618</w:t>
            </w:r>
          </w:p>
        </w:tc>
        <w:tc>
          <w:tcPr>
            <w:tcW w:w="0" w:type="dxa"/>
            <w:vAlign w:val="bottom"/>
          </w:tcPr>
          <w:p>
            <w:pPr>
              <w:spacing w:after="0"/>
              <w:rPr>
                <w:sz w:val="1"/>
                <w:szCs w:val="1"/>
                <w:color w:val="auto"/>
              </w:rPr>
            </w:pPr>
          </w:p>
        </w:tc>
      </w:tr>
      <w:tr>
        <w:trPr>
          <w:trHeight w:val="185"/>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2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127,693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43,631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307,916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95,435</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110,276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120,986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341,223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411,981</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76,110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(956)</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73,493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44,010</w:t>
            </w:r>
          </w:p>
        </w:tc>
        <w:tc>
          <w:tcPr>
            <w:tcW w:w="0" w:type="dxa"/>
            <w:vAlign w:val="bottom"/>
          </w:tcPr>
          <w:p>
            <w:pPr>
              <w:spacing w:after="0"/>
              <w:rPr>
                <w:sz w:val="1"/>
                <w:szCs w:val="1"/>
                <w:color w:val="auto"/>
              </w:rPr>
            </w:pPr>
          </w:p>
        </w:tc>
      </w:tr>
      <w:tr>
        <w:trPr>
          <w:trHeight w:val="194"/>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630,164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561,044</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1,757,396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1,867,044</w:t>
            </w:r>
          </w:p>
        </w:tc>
        <w:tc>
          <w:tcPr>
            <w:tcW w:w="0" w:type="dxa"/>
            <w:vAlign w:val="bottom"/>
          </w:tcPr>
          <w:p>
            <w:pPr>
              <w:spacing w:after="0"/>
              <w:rPr>
                <w:sz w:val="1"/>
                <w:szCs w:val="1"/>
                <w:color w:val="auto"/>
              </w:rPr>
            </w:pPr>
          </w:p>
        </w:tc>
      </w:tr>
      <w:tr>
        <w:trPr>
          <w:trHeight w:val="207"/>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123,245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168,869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391,238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476,235</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Communication and data processing</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57,066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52,907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170,837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164,441</w:t>
            </w:r>
          </w:p>
        </w:tc>
        <w:tc>
          <w:tcPr>
            <w:tcW w:w="0" w:type="dxa"/>
            <w:vAlign w:val="bottom"/>
          </w:tcPr>
          <w:p>
            <w:pPr>
              <w:spacing w:after="0"/>
              <w:rPr>
                <w:sz w:val="1"/>
                <w:szCs w:val="1"/>
                <w:color w:val="auto"/>
              </w:rPr>
            </w:pPr>
          </w:p>
        </w:tc>
      </w:tr>
      <w:tr>
        <w:trPr>
          <w:trHeight w:val="185"/>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Employee compensation and payroll taxes</w:t>
            </w:r>
          </w:p>
        </w:tc>
        <w:tc>
          <w:tcPr>
            <w:tcW w:w="2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97,221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103,254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296,214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305,338</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expense</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132,802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61,989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342,896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153,243</w:t>
            </w:r>
          </w:p>
        </w:tc>
        <w:tc>
          <w:tcPr>
            <w:tcW w:w="0" w:type="dxa"/>
            <w:vAlign w:val="bottom"/>
          </w:tcPr>
          <w:p>
            <w:pPr>
              <w:spacing w:after="0"/>
              <w:rPr>
                <w:sz w:val="1"/>
                <w:szCs w:val="1"/>
                <w:color w:val="auto"/>
              </w:rPr>
            </w:pPr>
          </w:p>
        </w:tc>
      </w:tr>
      <w:tr>
        <w:trPr>
          <w:trHeight w:val="185"/>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Operations and administrative</w:t>
            </w:r>
          </w:p>
        </w:tc>
        <w:tc>
          <w:tcPr>
            <w:tcW w:w="2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22,416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14,319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72,204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53,110</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15,815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16,658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47,076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50,470</w:t>
            </w:r>
          </w:p>
        </w:tc>
        <w:tc>
          <w:tcPr>
            <w:tcW w:w="0" w:type="dxa"/>
            <w:vAlign w:val="bottom"/>
          </w:tcPr>
          <w:p>
            <w:pPr>
              <w:spacing w:after="0"/>
              <w:rPr>
                <w:sz w:val="1"/>
                <w:szCs w:val="1"/>
                <w:color w:val="auto"/>
              </w:rPr>
            </w:pPr>
          </w:p>
        </w:tc>
      </w:tr>
      <w:tr>
        <w:trPr>
          <w:trHeight w:val="185"/>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15,967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16,060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48,007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48,817</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Termination of office leases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361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185"/>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1,796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1,404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28,525</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Financing interest expense on long-term borrowings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25,361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23,483</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74,499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66,905</w:t>
            </w:r>
          </w:p>
        </w:tc>
        <w:tc>
          <w:tcPr>
            <w:tcW w:w="0" w:type="dxa"/>
            <w:vAlign w:val="bottom"/>
          </w:tcPr>
          <w:p>
            <w:pPr>
              <w:spacing w:after="0"/>
              <w:rPr>
                <w:sz w:val="1"/>
                <w:szCs w:val="1"/>
                <w:color w:val="auto"/>
              </w:rPr>
            </w:pPr>
          </w:p>
        </w:tc>
      </w:tr>
      <w:tr>
        <w:trPr>
          <w:trHeight w:val="194"/>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492,059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459,438</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1,449,059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1,349,941</w:t>
            </w:r>
          </w:p>
        </w:tc>
        <w:tc>
          <w:tcPr>
            <w:tcW w:w="0" w:type="dxa"/>
            <w:vAlign w:val="bottom"/>
          </w:tcPr>
          <w:p>
            <w:pPr>
              <w:spacing w:after="0"/>
              <w:rPr>
                <w:sz w:val="1"/>
                <w:szCs w:val="1"/>
                <w:color w:val="auto"/>
              </w:rPr>
            </w:pPr>
          </w:p>
        </w:tc>
      </w:tr>
      <w:tr>
        <w:trPr>
          <w:trHeight w:val="178"/>
        </w:trPr>
        <w:tc>
          <w:tcPr>
            <w:tcW w:w="500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15"/>
                <w:szCs w:val="15"/>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138,105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101,606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308,337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517,103</w:t>
            </w:r>
          </w:p>
        </w:tc>
        <w:tc>
          <w:tcPr>
            <w:tcW w:w="0" w:type="dxa"/>
            <w:vAlign w:val="bottom"/>
          </w:tcPr>
          <w:p>
            <w:pPr>
              <w:spacing w:after="0"/>
              <w:rPr>
                <w:sz w:val="1"/>
                <w:szCs w:val="1"/>
                <w:color w:val="auto"/>
              </w:rPr>
            </w:pPr>
          </w:p>
        </w:tc>
      </w:tr>
      <w:tr>
        <w:trPr>
          <w:trHeight w:val="197"/>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20,512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21,732</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51,117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88,405</w:t>
            </w:r>
          </w:p>
        </w:tc>
        <w:tc>
          <w:tcPr>
            <w:tcW w:w="0" w:type="dxa"/>
            <w:vAlign w:val="bottom"/>
          </w:tcPr>
          <w:p>
            <w:pPr>
              <w:spacing w:after="0"/>
              <w:rPr>
                <w:sz w:val="1"/>
                <w:szCs w:val="1"/>
                <w:color w:val="auto"/>
              </w:rPr>
            </w:pPr>
          </w:p>
        </w:tc>
      </w:tr>
      <w:tr>
        <w:trPr>
          <w:trHeight w:val="194"/>
        </w:trPr>
        <w:tc>
          <w:tcPr>
            <w:tcW w:w="500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117,593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79,874</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257,220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428,698</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0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GAAP Net income Margin (1)</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96" w:hanging="396"/>
        <w:spacing w:after="0"/>
        <w:tabs>
          <w:tab w:leader="none" w:pos="3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Net income by Total revenue.</w:t>
      </w:r>
    </w:p>
    <w:p>
      <w:pPr>
        <w:spacing w:after="0" w:line="200" w:lineRule="exact"/>
        <w:rPr>
          <w:sz w:val="20"/>
          <w:szCs w:val="20"/>
          <w:color w:val="auto"/>
        </w:rPr>
      </w:pPr>
    </w:p>
    <w:p>
      <w:pPr>
        <w:spacing w:after="0" w:line="327"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96"/>
          </w:cols>
          <w:pgMar w:left="324" w:top="895" w:right="379" w:bottom="1440" w:gutter="0" w:footer="0" w:header="0"/>
        </w:sectPr>
      </w:pPr>
    </w:p>
    <w:bookmarkStart w:id="56" w:name="page57"/>
    <w:bookmarkEnd w:id="56"/>
    <w:p>
      <w:pPr>
        <w:ind w:left="1240"/>
        <w:spacing w:after="0"/>
        <w:rPr>
          <w:sz w:val="20"/>
          <w:szCs w:val="20"/>
          <w:color w:val="auto"/>
        </w:rPr>
      </w:pPr>
      <w:r>
        <w:rPr>
          <w:rFonts w:ascii="Arial" w:cs="Arial" w:eastAsia="Arial" w:hAnsi="Arial"/>
          <w:sz w:val="17"/>
          <w:szCs w:val="17"/>
          <w:color w:val="auto"/>
        </w:rPr>
        <w:t>Net income available to stockholders and basic and diluted earnings per share are presented below:</w:t>
      </w:r>
    </w:p>
    <w:p>
      <w:pPr>
        <w:spacing w:after="0" w:line="209"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2600" w:type="dxa"/>
            <w:vAlign w:val="bottom"/>
            <w:gridSpan w:val="3"/>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780" w:type="dxa"/>
            <w:vAlign w:val="bottom"/>
            <w:vMerge w:val="continue"/>
          </w:tcPr>
          <w:p>
            <w:pPr>
              <w:spacing w:after="0"/>
              <w:rPr>
                <w:sz w:val="14"/>
                <w:szCs w:val="14"/>
                <w:color w:val="auto"/>
              </w:rPr>
            </w:pPr>
          </w:p>
        </w:tc>
        <w:tc>
          <w:tcPr>
            <w:tcW w:w="12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2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2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79,874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257,220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428,698</w:t>
            </w:r>
          </w:p>
        </w:tc>
      </w:tr>
      <w:tr>
        <w:trPr>
          <w:trHeight w:val="205"/>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(55,678)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(39,867)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(120,722)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(191,264)</w:t>
            </w:r>
          </w:p>
        </w:tc>
      </w:tr>
      <w:tr>
        <w:trPr>
          <w:trHeight w:val="249"/>
        </w:trPr>
        <w:tc>
          <w:tcPr>
            <w:tcW w:w="3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00"/>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40,007</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136,498</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237,434</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05"/>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0.37</w:t>
            </w:r>
          </w:p>
        </w:tc>
        <w:tc>
          <w:tcPr>
            <w:tcW w:w="16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49"/>
        </w:trPr>
        <w:tc>
          <w:tcPr>
            <w:tcW w:w="3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185"/>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93,408,537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102,289,172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95,376,590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105,500,700</w:t>
            </w:r>
          </w:p>
        </w:tc>
      </w:tr>
      <w:tr>
        <w:trPr>
          <w:trHeight w:val="202"/>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93,408,537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102,550,852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95,376,590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106,004,393</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45" w:lineRule="exact"/>
        <w:rPr>
          <w:sz w:val="20"/>
          <w:szCs w:val="20"/>
          <w:color w:val="auto"/>
        </w:rPr>
      </w:pPr>
    </w:p>
    <w:p>
      <w:pPr>
        <w:ind w:firstLine="622"/>
        <w:spacing w:after="0" w:line="278"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94" w:lineRule="exact"/>
        <w:rPr>
          <w:sz w:val="20"/>
          <w:szCs w:val="20"/>
          <w:color w:val="auto"/>
        </w:rPr>
      </w:pPr>
    </w:p>
    <w:p>
      <w:pPr>
        <w:ind w:right="140" w:firstLine="622"/>
        <w:spacing w:after="0" w:line="321" w:lineRule="auto"/>
        <w:rPr>
          <w:sz w:val="20"/>
          <w:szCs w:val="20"/>
          <w:color w:val="auto"/>
        </w:rPr>
      </w:pPr>
      <w:r>
        <w:rPr>
          <w:rFonts w:ascii="Arial" w:cs="Arial" w:eastAsia="Arial" w:hAnsi="Arial"/>
          <w:sz w:val="15"/>
          <w:szCs w:val="15"/>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64" w:lineRule="exact"/>
        <w:rPr>
          <w:sz w:val="20"/>
          <w:szCs w:val="20"/>
          <w:color w:val="auto"/>
        </w:rPr>
      </w:pPr>
    </w:p>
    <w:p>
      <w:pPr>
        <w:ind w:right="200" w:firstLine="622"/>
        <w:spacing w:after="0" w:line="282"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represents revenue earned from bid/ask spreads. Trading income is generated in the normal course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59% and 70% of our total revenues for the nine months ended September 30, 2023 and 2022, respectively.</w:t>
      </w:r>
    </w:p>
    <w:p>
      <w:pPr>
        <w:spacing w:after="0" w:line="190" w:lineRule="exact"/>
        <w:rPr>
          <w:sz w:val="20"/>
          <w:szCs w:val="20"/>
          <w:color w:val="auto"/>
        </w:rPr>
      </w:pPr>
    </w:p>
    <w:p>
      <w:pPr>
        <w:ind w:right="220" w:firstLine="622"/>
        <w:spacing w:after="0" w:line="264"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203" w:lineRule="exact"/>
        <w:rPr>
          <w:sz w:val="20"/>
          <w:szCs w:val="20"/>
          <w:color w:val="auto"/>
        </w:rPr>
      </w:pPr>
    </w:p>
    <w:p>
      <w:pPr>
        <w:ind w:right="40" w:firstLine="622"/>
        <w:spacing w:after="0" w:line="259"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We earn revenues on transactions for which we charge explicit commissions or commission equivalents,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parties. Revenues are derived from fees generated by matching sell-side and buy-side clients orders, and from analytic products delivered to the clients.</w:t>
      </w:r>
    </w:p>
    <w:p>
      <w:pPr>
        <w:spacing w:after="0" w:line="257" w:lineRule="exact"/>
        <w:rPr>
          <w:sz w:val="20"/>
          <w:szCs w:val="20"/>
          <w:color w:val="auto"/>
        </w:rPr>
      </w:pPr>
    </w:p>
    <w:p>
      <w:pPr>
        <w:ind w:right="40" w:firstLine="622"/>
        <w:spacing w:after="0" w:line="269"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We have interests in multiple strategic investments and telecommunications joint ventures (“JVs”). We record our pro-rata share of each JV’s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earnings or losses within Other, net, while fees related to the use of communication services provided by the JVs are recorded within Communications and data processing.</w:t>
      </w:r>
    </w:p>
    <w:p>
      <w:pPr>
        <w:spacing w:after="0" w:line="185" w:lineRule="exact"/>
        <w:rPr>
          <w:sz w:val="20"/>
          <w:szCs w:val="20"/>
          <w:color w:val="auto"/>
        </w:rPr>
      </w:pPr>
    </w:p>
    <w:p>
      <w:pPr>
        <w:ind w:right="320" w:firstLine="622"/>
        <w:spacing w:after="0" w:line="277" w:lineRule="auto"/>
        <w:rPr>
          <w:sz w:val="20"/>
          <w:szCs w:val="20"/>
          <w:color w:val="auto"/>
        </w:rPr>
      </w:pPr>
      <w:r>
        <w:rPr>
          <w:rFonts w:ascii="Arial" w:cs="Arial" w:eastAsia="Arial" w:hAnsi="Arial"/>
          <w:sz w:val="16"/>
          <w:szCs w:val="16"/>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193" w:lineRule="exact"/>
        <w:rPr>
          <w:sz w:val="20"/>
          <w:szCs w:val="20"/>
          <w:color w:val="auto"/>
        </w:rPr>
      </w:pPr>
    </w:p>
    <w:p>
      <w:pPr>
        <w:ind w:right="400" w:firstLine="622"/>
        <w:spacing w:after="0" w:line="284" w:lineRule="auto"/>
        <w:rPr>
          <w:sz w:val="20"/>
          <w:szCs w:val="20"/>
          <w:color w:val="auto"/>
        </w:rPr>
      </w:pPr>
      <w:r>
        <w:rPr>
          <w:rFonts w:ascii="Arial" w:cs="Arial" w:eastAsia="Arial" w:hAnsi="Arial"/>
          <w:sz w:val="17"/>
          <w:szCs w:val="17"/>
          <w:color w:val="auto"/>
        </w:rPr>
        <w:t>Other, net can also include gains on sales of strategic investments and businesses, as well as revenues from service agreements related to the sale of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45" w:lineRule="exact"/>
        <w:rPr>
          <w:sz w:val="20"/>
          <w:szCs w:val="20"/>
          <w:color w:val="auto"/>
        </w:rPr>
      </w:pPr>
    </w:p>
    <w:p>
      <w:pPr>
        <w:ind w:firstLine="622"/>
        <w:spacing w:after="0" w:line="278"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are our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4" w:lineRule="exact"/>
        <w:rPr>
          <w:sz w:val="20"/>
          <w:szCs w:val="20"/>
          <w:color w:val="auto"/>
        </w:rPr>
      </w:pPr>
    </w:p>
    <w:p>
      <w:pPr>
        <w:ind w:right="60" w:firstLine="622"/>
        <w:spacing w:after="0" w:line="286"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data center co-location, network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6" w:lineRule="exact"/>
        <w:rPr>
          <w:sz w:val="20"/>
          <w:szCs w:val="20"/>
          <w:color w:val="auto"/>
        </w:rPr>
      </w:pPr>
    </w:p>
    <w:p>
      <w:pPr>
        <w:ind w:right="40" w:firstLine="622"/>
        <w:spacing w:after="0" w:line="286"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include employee salaries, cash and non-cash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employee benefits, payroll taxes, severance and other employee related costs. Employee compensation and payroll taxes also includes non-cash compensation expenses with respect to restricted stock units and restricted stock awards pursuant to the Amended and Restated 2015 Management Incentive Plan and Class A Common Stock underlying certain awards assumed pursuant to the Amended and Restated ITG 2007 Equity Plan.</w:t>
      </w:r>
    </w:p>
    <w:p>
      <w:pPr>
        <w:spacing w:after="0" w:line="186" w:lineRule="exact"/>
        <w:rPr>
          <w:sz w:val="20"/>
          <w:szCs w:val="20"/>
          <w:color w:val="auto"/>
        </w:rPr>
      </w:pPr>
    </w:p>
    <w:p>
      <w:pPr>
        <w:ind w:right="240" w:firstLine="622"/>
        <w:spacing w:after="0" w:line="317"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62" w:lineRule="exact"/>
        <w:rPr>
          <w:sz w:val="20"/>
          <w:szCs w:val="20"/>
          <w:color w:val="auto"/>
        </w:rPr>
      </w:pPr>
    </w:p>
    <w:p>
      <w:pPr>
        <w:ind w:right="260" w:firstLine="622"/>
        <w:spacing w:after="0" w:line="284"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expenses.</w:t>
      </w:r>
    </w:p>
    <w:p>
      <w:pPr>
        <w:spacing w:after="0" w:line="186" w:lineRule="exact"/>
        <w:rPr>
          <w:sz w:val="20"/>
          <w:szCs w:val="20"/>
          <w:color w:val="auto"/>
        </w:rPr>
      </w:pPr>
    </w:p>
    <w:p>
      <w:pPr>
        <w:ind w:right="80" w:firstLine="622"/>
        <w:spacing w:after="0" w:line="260"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and leased equipment,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207" w:lineRule="exact"/>
        <w:rPr>
          <w:sz w:val="20"/>
          <w:szCs w:val="20"/>
          <w:color w:val="auto"/>
        </w:rPr>
      </w:pPr>
    </w:p>
    <w:p>
      <w:pPr>
        <w:ind w:right="340" w:firstLine="622"/>
        <w:spacing w:after="0" w:line="294"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8" w:name="page59"/>
    <w:bookmarkEnd w:id="58"/>
    <w:p>
      <w:pPr>
        <w:ind w:right="120" w:firstLine="622"/>
        <w:spacing w:after="0" w:line="269"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write-off expense related to certain office space we ceased use of as part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 to integrate and consolidate office space. The aggregate write-off amount includes the impairment of operating lease right-of-use assets, leasehold improvements and fixed assets, and dilapidation charges.</w:t>
      </w:r>
    </w:p>
    <w:p>
      <w:pPr>
        <w:spacing w:after="0" w:line="198" w:lineRule="exact"/>
        <w:rPr>
          <w:sz w:val="20"/>
          <w:szCs w:val="20"/>
          <w:color w:val="auto"/>
        </w:rPr>
      </w:pPr>
    </w:p>
    <w:p>
      <w:pPr>
        <w:ind w:right="20" w:firstLine="622"/>
        <w:spacing w:after="0" w:line="294" w:lineRule="auto"/>
        <w:rPr>
          <w:sz w:val="20"/>
          <w:szCs w:val="20"/>
          <w:color w:val="auto"/>
        </w:rPr>
      </w:pPr>
      <w:r>
        <w:rPr>
          <w:rFonts w:ascii="Arial" w:cs="Arial" w:eastAsia="Arial" w:hAnsi="Arial"/>
          <w:sz w:val="16"/>
          <w:szCs w:val="16"/>
          <w:b w:val="1"/>
          <w:bCs w:val="1"/>
          <w:i w:val="1"/>
          <w:iCs w:val="1"/>
          <w:color w:val="auto"/>
        </w:rPr>
        <w:t xml:space="preserve">Debt issue cost related to debt refinancing, prepayment and commitment fees. </w:t>
      </w:r>
      <w:r>
        <w:rPr>
          <w:rFonts w:ascii="Arial" w:cs="Arial" w:eastAsia="Arial" w:hAnsi="Arial"/>
          <w:sz w:val="16"/>
          <w:szCs w:val="16"/>
          <w:color w:val="auto"/>
        </w:rPr>
        <w:t>As a result of the refinancing or early termination of our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80" w:lineRule="exact"/>
        <w:rPr>
          <w:sz w:val="20"/>
          <w:szCs w:val="20"/>
          <w:color w:val="auto"/>
        </w:rPr>
      </w:pPr>
    </w:p>
    <w:p>
      <w:pPr>
        <w:ind w:right="220" w:firstLine="622"/>
        <w:spacing w:after="0" w:line="28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or more acquisitions or dispositions.</w:t>
      </w:r>
    </w:p>
    <w:p>
      <w:pPr>
        <w:spacing w:after="0" w:line="186" w:lineRule="exact"/>
        <w:rPr>
          <w:sz w:val="20"/>
          <w:szCs w:val="20"/>
          <w:color w:val="auto"/>
        </w:rPr>
      </w:pPr>
    </w:p>
    <w:p>
      <w:pPr>
        <w:ind w:right="100" w:firstLine="622"/>
        <w:spacing w:after="0" w:line="284"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 borrowing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45" w:lineRule="exact"/>
        <w:rPr>
          <w:sz w:val="20"/>
          <w:szCs w:val="20"/>
          <w:color w:val="auto"/>
        </w:rPr>
      </w:pPr>
    </w:p>
    <w:p>
      <w:pPr>
        <w:ind w:right="160" w:firstLine="622"/>
        <w:spacing w:after="0" w:line="284" w:lineRule="auto"/>
        <w:rPr>
          <w:sz w:val="20"/>
          <w:szCs w:val="20"/>
          <w:color w:val="auto"/>
        </w:rPr>
      </w:pPr>
      <w:r>
        <w:rPr>
          <w:rFonts w:ascii="Arial" w:cs="Arial" w:eastAsia="Arial" w:hAnsi="Arial"/>
          <w:sz w:val="17"/>
          <w:szCs w:val="17"/>
          <w:color w:val="auto"/>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spacing w:after="0" w:line="173" w:lineRule="exact"/>
        <w:rPr>
          <w:sz w:val="20"/>
          <w:szCs w:val="20"/>
          <w:color w:val="auto"/>
        </w:rPr>
      </w:pPr>
    </w:p>
    <w:p>
      <w:pPr>
        <w:jc w:val="both"/>
        <w:ind w:right="280" w:firstLine="622"/>
        <w:spacing w:after="0" w:line="277" w:lineRule="auto"/>
        <w:rPr>
          <w:sz w:val="20"/>
          <w:szCs w:val="20"/>
          <w:color w:val="auto"/>
        </w:rPr>
      </w:pPr>
      <w:r>
        <w:rPr>
          <w:rFonts w:ascii="Arial" w:cs="Arial" w:eastAsia="Arial" w:hAnsi="Arial"/>
          <w:sz w:val="15"/>
          <w:szCs w:val="15"/>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jc w:val="both"/>
        <w:spacing w:after="0" w:line="245" w:lineRule="auto"/>
        <w:rPr>
          <w:sz w:val="20"/>
          <w:szCs w:val="20"/>
          <w:color w:val="auto"/>
        </w:rPr>
      </w:pPr>
      <w:r>
        <w:rPr>
          <w:rFonts w:ascii="Arial" w:cs="Arial" w:eastAsia="Arial" w:hAnsi="Arial"/>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spacing w:after="0" w:line="217" w:lineRule="exact"/>
        <w:rPr>
          <w:sz w:val="20"/>
          <w:szCs w:val="20"/>
          <w:color w:val="auto"/>
        </w:rPr>
      </w:pPr>
    </w:p>
    <w:p>
      <w:pPr>
        <w:ind w:right="200" w:firstLine="622"/>
        <w:spacing w:after="0" w:line="264"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51" w:lineRule="exact"/>
        <w:rPr>
          <w:sz w:val="20"/>
          <w:szCs w:val="20"/>
          <w:color w:val="auto"/>
        </w:rPr>
      </w:pPr>
    </w:p>
    <w:p>
      <w:pPr>
        <w:ind w:right="200" w:firstLine="622"/>
        <w:spacing w:after="0" w:line="284"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86" w:lineRule="exact"/>
        <w:rPr>
          <w:sz w:val="20"/>
          <w:szCs w:val="20"/>
          <w:color w:val="auto"/>
        </w:rPr>
      </w:pPr>
    </w:p>
    <w:p>
      <w:pPr>
        <w:ind w:left="1020" w:right="120" w:hanging="238"/>
        <w:spacing w:after="0" w:line="277" w:lineRule="auto"/>
        <w:tabs>
          <w:tab w:leader="none" w:pos="10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64" w:lineRule="exact"/>
        <w:rPr>
          <w:rFonts w:ascii="Arial" w:cs="Arial" w:eastAsia="Arial" w:hAnsi="Arial"/>
          <w:sz w:val="16"/>
          <w:szCs w:val="16"/>
          <w:color w:val="auto"/>
        </w:rPr>
      </w:pPr>
    </w:p>
    <w:p>
      <w:pPr>
        <w:ind w:left="1020" w:right="20" w:hanging="238"/>
        <w:spacing w:after="0" w:line="260" w:lineRule="auto"/>
        <w:tabs>
          <w:tab w:leader="none" w:pos="10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and the sales of businesses.</w:t>
      </w:r>
    </w:p>
    <w:p>
      <w:pPr>
        <w:spacing w:after="0" w:line="77" w:lineRule="exact"/>
        <w:rPr>
          <w:rFonts w:ascii="Arial" w:cs="Arial" w:eastAsia="Arial" w:hAnsi="Arial"/>
          <w:sz w:val="17"/>
          <w:szCs w:val="17"/>
          <w:color w:val="auto"/>
        </w:rPr>
      </w:pPr>
    </w:p>
    <w:p>
      <w:pPr>
        <w:ind w:left="1020" w:right="320" w:hanging="238"/>
        <w:spacing w:after="0" w:line="264" w:lineRule="auto"/>
        <w:tabs>
          <w:tab w:leader="none" w:pos="10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73" w:lineRule="exact"/>
        <w:rPr>
          <w:rFonts w:ascii="Arial" w:cs="Arial" w:eastAsia="Arial" w:hAnsi="Arial"/>
          <w:sz w:val="17"/>
          <w:szCs w:val="17"/>
          <w:color w:val="auto"/>
        </w:rPr>
      </w:pPr>
    </w:p>
    <w:p>
      <w:pPr>
        <w:ind w:left="1020" w:hanging="238"/>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45" w:lineRule="exact"/>
        <w:rPr>
          <w:sz w:val="20"/>
          <w:szCs w:val="20"/>
          <w:color w:val="auto"/>
        </w:rPr>
      </w:pPr>
    </w:p>
    <w:p>
      <w:pPr>
        <w:ind w:firstLine="622"/>
        <w:spacing w:after="0" w:line="274"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199" w:lineRule="exact"/>
        <w:rPr>
          <w:sz w:val="20"/>
          <w:szCs w:val="20"/>
          <w:color w:val="auto"/>
        </w:rPr>
      </w:pPr>
    </w:p>
    <w:p>
      <w:pPr>
        <w:ind w:right="220" w:firstLine="622"/>
        <w:spacing w:after="0" w:line="264" w:lineRule="auto"/>
        <w:rPr>
          <w:sz w:val="20"/>
          <w:szCs w:val="20"/>
          <w:color w:val="auto"/>
        </w:rPr>
      </w:pPr>
      <w:r>
        <w:rPr>
          <w:rFonts w:ascii="Arial" w:cs="Arial" w:eastAsia="Arial" w:hAnsi="Arial"/>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203" w:lineRule="exact"/>
        <w:rPr>
          <w:sz w:val="20"/>
          <w:szCs w:val="20"/>
          <w:color w:val="auto"/>
        </w:rPr>
      </w:pPr>
    </w:p>
    <w:p>
      <w:pPr>
        <w:ind w:left="1020" w:hanging="23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115" w:lineRule="exact"/>
        <w:rPr>
          <w:rFonts w:ascii="Arial" w:cs="Arial" w:eastAsia="Arial" w:hAnsi="Arial"/>
          <w:sz w:val="17"/>
          <w:szCs w:val="17"/>
          <w:color w:val="auto"/>
        </w:rPr>
      </w:pPr>
    </w:p>
    <w:p>
      <w:pPr>
        <w:ind w:left="1020" w:right="480" w:hanging="238"/>
        <w:spacing w:after="0" w:line="284" w:lineRule="auto"/>
        <w:tabs>
          <w:tab w:leader="none" w:pos="10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60" w:name="page61"/>
    <w:bookmarkEnd w:id="60"/>
    <w:p>
      <w:pPr>
        <w:ind w:left="1020" w:right="180" w:hanging="238"/>
        <w:spacing w:after="0" w:line="354" w:lineRule="auto"/>
        <w:tabs>
          <w:tab w:leader="none" w:pos="10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9" w:lineRule="exact"/>
        <w:rPr>
          <w:rFonts w:ascii="Arial" w:cs="Arial" w:eastAsia="Arial" w:hAnsi="Arial"/>
          <w:sz w:val="15"/>
          <w:szCs w:val="15"/>
          <w:color w:val="auto"/>
        </w:rPr>
      </w:pPr>
    </w:p>
    <w:p>
      <w:pPr>
        <w:ind w:left="1020" w:hanging="238"/>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consolidated statements of cash flows;</w:t>
      </w:r>
    </w:p>
    <w:p>
      <w:pPr>
        <w:spacing w:after="0" w:line="115" w:lineRule="exact"/>
        <w:rPr>
          <w:rFonts w:ascii="Arial" w:cs="Arial" w:eastAsia="Arial" w:hAnsi="Arial"/>
          <w:sz w:val="17"/>
          <w:szCs w:val="17"/>
          <w:color w:val="auto"/>
        </w:rPr>
      </w:pPr>
    </w:p>
    <w:p>
      <w:pPr>
        <w:ind w:left="1020" w:hanging="238"/>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27" w:lineRule="exact"/>
        <w:rPr>
          <w:rFonts w:ascii="Arial" w:cs="Arial" w:eastAsia="Arial" w:hAnsi="Arial"/>
          <w:sz w:val="16"/>
          <w:szCs w:val="16"/>
          <w:color w:val="auto"/>
        </w:rPr>
      </w:pPr>
    </w:p>
    <w:p>
      <w:pPr>
        <w:ind w:left="1020" w:hanging="238"/>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245" w:lineRule="exact"/>
        <w:rPr>
          <w:sz w:val="20"/>
          <w:szCs w:val="20"/>
          <w:color w:val="auto"/>
        </w:rPr>
      </w:pPr>
    </w:p>
    <w:p>
      <w:pPr>
        <w:ind w:firstLine="622"/>
        <w:spacing w:after="0" w:line="260" w:lineRule="auto"/>
        <w:rPr>
          <w:sz w:val="20"/>
          <w:szCs w:val="20"/>
          <w:color w:val="auto"/>
        </w:rPr>
      </w:pPr>
      <w:r>
        <w:rPr>
          <w:rFonts w:ascii="Arial" w:cs="Arial" w:eastAsia="Arial" w:hAnsi="Arial"/>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207" w:lineRule="exact"/>
        <w:rPr>
          <w:sz w:val="20"/>
          <w:szCs w:val="20"/>
          <w:color w:val="auto"/>
        </w:rPr>
      </w:pPr>
    </w:p>
    <w:p>
      <w:pPr>
        <w:ind w:right="140" w:firstLine="622"/>
        <w:spacing w:after="0" w:line="284" w:lineRule="auto"/>
        <w:rPr>
          <w:sz w:val="20"/>
          <w:szCs w:val="20"/>
          <w:color w:val="auto"/>
        </w:rPr>
      </w:pPr>
      <w:r>
        <w:rPr>
          <w:rFonts w:ascii="Arial" w:cs="Arial" w:eastAsia="Arial" w:hAnsi="Arial"/>
          <w:sz w:val="17"/>
          <w:szCs w:val="17"/>
          <w:color w:val="auto"/>
        </w:rPr>
        <w:t>The following table reconciles the Condensed Consolidated Statements of Comprehensive Income to arrive at Adjusted Net Trading Income, EBITDA, Adjusted EBITDA, and Non-GAAP Operating Margins for the three and nine months ended September 30,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40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1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1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Trading income, net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316,085</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397,383</w:t>
            </w:r>
          </w:p>
        </w:tc>
        <w:tc>
          <w:tcPr>
            <w:tcW w:w="14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1,034,764</w:t>
            </w:r>
          </w:p>
        </w:tc>
        <w:tc>
          <w:tcPr>
            <w:tcW w:w="560" w:type="dxa"/>
            <w:vAlign w:val="bottom"/>
            <w:gridSpan w:val="3"/>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1,315,618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127,693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43,631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110,276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120,986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341,223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411,981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(123,245)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(168,869)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(476,235)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Interest and dividends expense</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(132,802)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(61,989)</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(342,896)</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(153,243)</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298,007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331,142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949,769</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1,193,556</w:t>
            </w:r>
          </w:p>
        </w:tc>
        <w:tc>
          <w:tcPr>
            <w:tcW w:w="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117,593</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79,874</w:t>
            </w:r>
          </w:p>
        </w:tc>
        <w:tc>
          <w:tcPr>
            <w:tcW w:w="14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257,220</w:t>
            </w:r>
          </w:p>
        </w:tc>
        <w:tc>
          <w:tcPr>
            <w:tcW w:w="560" w:type="dxa"/>
            <w:vAlign w:val="bottom"/>
            <w:gridSpan w:val="3"/>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428,698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Financing interest expense on long-term borrowings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25,361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23,483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1,796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1,404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5,744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28,525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15,815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16,658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50,470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15,967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16,060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48,007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48,817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20,512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21,732</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51,117</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88,405</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197,044</w:t>
            </w:r>
          </w:p>
        </w:tc>
        <w:tc>
          <w:tcPr>
            <w:tcW w:w="100" w:type="dxa"/>
            <w:vAlign w:val="bottom"/>
          </w:tcPr>
          <w:p>
            <w:pPr>
              <w:spacing w:after="0"/>
              <w:rPr>
                <w:sz w:val="15"/>
                <w:szCs w:val="15"/>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159,211</w:t>
            </w:r>
          </w:p>
        </w:tc>
        <w:tc>
          <w:tcPr>
            <w:tcW w:w="14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483,663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711,820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Severance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1,250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Transaction advisory fees and expenses</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Termination of office leases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361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(74,599)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1,556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(67,396)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 based compensation</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15,353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18,133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47,108</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50,841</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139,514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180,645</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468,975</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733,714</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GAAP Net income Margin (1)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23.0 %</w:t>
            </w:r>
          </w:p>
        </w:tc>
        <w:tc>
          <w:tcPr>
            <w:tcW w:w="0" w:type="dxa"/>
            <w:vAlign w:val="bottom"/>
          </w:tcPr>
          <w:p>
            <w:pPr>
              <w:spacing w:after="0"/>
              <w:rPr>
                <w:sz w:val="1"/>
                <w:szCs w:val="1"/>
                <w:color w:val="auto"/>
              </w:rPr>
            </w:pPr>
          </w:p>
        </w:tc>
      </w:tr>
      <w:tr>
        <w:trPr>
          <w:trHeight w:val="18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Non-GAAP Net income Margin (2)</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24.1 %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35.9</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EBITDA Margin (3)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Adjusted EBITDA Margin (4)</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54.6 %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49.4</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61.5</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00" w:hanging="396"/>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Net income by Total revenue.</w:t>
      </w:r>
    </w:p>
    <w:p>
      <w:pPr>
        <w:spacing w:after="0" w:line="11" w:lineRule="exact"/>
        <w:rPr>
          <w:rFonts w:ascii="Arial" w:cs="Arial" w:eastAsia="Arial" w:hAnsi="Arial"/>
          <w:sz w:val="16"/>
          <w:szCs w:val="16"/>
          <w:color w:val="auto"/>
        </w:rPr>
      </w:pPr>
    </w:p>
    <w:p>
      <w:pPr>
        <w:ind w:left="400" w:hanging="396"/>
        <w:spacing w:after="0" w:line="236"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ind w:left="400" w:hanging="396"/>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6"/>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1" w:name="page62"/>
    <w:bookmarkEnd w:id="61"/>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reconciles Net income to arrive at Normalized Adjusted Net Income before income taxes, Normalized provision for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Normalized Adjusted Net Income and Normalized Adjusted EPS for the three and nine months ended September 30,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5"/>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117,593</w:t>
            </w:r>
          </w:p>
        </w:tc>
        <w:tc>
          <w:tcPr>
            <w:tcW w:w="1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79,874</w:t>
            </w:r>
          </w:p>
        </w:tc>
        <w:tc>
          <w:tcPr>
            <w:tcW w:w="16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257,220</w:t>
            </w:r>
          </w:p>
        </w:tc>
        <w:tc>
          <w:tcPr>
            <w:tcW w:w="10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428,698</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20,512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21,732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51,117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88,405</w:t>
            </w:r>
          </w:p>
        </w:tc>
        <w:tc>
          <w:tcPr>
            <w:tcW w:w="0" w:type="dxa"/>
            <w:vAlign w:val="bottom"/>
          </w:tcPr>
          <w:p>
            <w:pPr>
              <w:spacing w:after="0"/>
              <w:rPr>
                <w:sz w:val="1"/>
                <w:szCs w:val="1"/>
                <w:color w:val="auto"/>
              </w:rPr>
            </w:pPr>
          </w:p>
        </w:tc>
      </w:tr>
      <w:tr>
        <w:trPr>
          <w:trHeight w:val="178"/>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138,105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101,606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308,337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517,103</w:t>
            </w:r>
          </w:p>
        </w:tc>
        <w:tc>
          <w:tcPr>
            <w:tcW w:w="0" w:type="dxa"/>
            <w:vAlign w:val="bottom"/>
          </w:tcPr>
          <w:p>
            <w:pPr>
              <w:spacing w:after="0"/>
              <w:rPr>
                <w:sz w:val="1"/>
                <w:szCs w:val="1"/>
                <w:color w:val="auto"/>
              </w:rPr>
            </w:pPr>
          </w:p>
        </w:tc>
      </w:tr>
      <w:tr>
        <w:trPr>
          <w:trHeight w:val="165"/>
        </w:trPr>
        <w:tc>
          <w:tcPr>
            <w:tcW w:w="5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16,060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48,007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48,817</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28,525</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Severance</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4,009</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85"/>
        </w:trPr>
        <w:tc>
          <w:tcPr>
            <w:tcW w:w="5920" w:type="dxa"/>
            <w:vAlign w:val="bottom"/>
            <w:gridSpan w:val="2"/>
          </w:tcPr>
          <w:p>
            <w:pPr>
              <w:ind w:left="140"/>
              <w:spacing w:after="0"/>
              <w:rPr>
                <w:sz w:val="20"/>
                <w:szCs w:val="20"/>
                <w:color w:val="auto"/>
              </w:rPr>
            </w:pPr>
            <w:r>
              <w:rPr>
                <w:rFonts w:ascii="Arial" w:cs="Arial" w:eastAsia="Arial" w:hAnsi="Arial"/>
                <w:sz w:val="14"/>
                <w:szCs w:val="14"/>
                <w:color w:val="auto"/>
              </w:rPr>
              <w:t>Termination of office leases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(35,813)</w:t>
            </w:r>
          </w:p>
        </w:tc>
        <w:tc>
          <w:tcPr>
            <w:tcW w:w="0" w:type="dxa"/>
            <w:vAlign w:val="bottom"/>
          </w:tcPr>
          <w:p>
            <w:pPr>
              <w:spacing w:after="0"/>
              <w:rPr>
                <w:sz w:val="1"/>
                <w:szCs w:val="1"/>
                <w:color w:val="auto"/>
              </w:rPr>
            </w:pPr>
          </w:p>
        </w:tc>
      </w:tr>
      <w:tr>
        <w:trPr>
          <w:trHeight w:val="187"/>
        </w:trPr>
        <w:tc>
          <w:tcPr>
            <w:tcW w:w="5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Share based compensation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18,133</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50,841</w:t>
            </w:r>
          </w:p>
        </w:tc>
        <w:tc>
          <w:tcPr>
            <w:tcW w:w="0" w:type="dxa"/>
            <w:vAlign w:val="bottom"/>
          </w:tcPr>
          <w:p>
            <w:pPr>
              <w:spacing w:after="0"/>
              <w:rPr>
                <w:sz w:val="1"/>
                <w:szCs w:val="1"/>
                <w:color w:val="auto"/>
              </w:rPr>
            </w:pPr>
          </w:p>
        </w:tc>
      </w:tr>
      <w:tr>
        <w:trPr>
          <w:trHeight w:val="19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Normalized Adjusted Net Income before income taxes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140,504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616,339</w:t>
            </w:r>
          </w:p>
        </w:tc>
        <w:tc>
          <w:tcPr>
            <w:tcW w:w="0" w:type="dxa"/>
            <w:vAlign w:val="bottom"/>
          </w:tcPr>
          <w:p>
            <w:pPr>
              <w:spacing w:after="0"/>
              <w:rPr>
                <w:sz w:val="1"/>
                <w:szCs w:val="1"/>
                <w:color w:val="auto"/>
              </w:rPr>
            </w:pPr>
          </w:p>
        </w:tc>
      </w:tr>
      <w:tr>
        <w:trPr>
          <w:trHeight w:val="187"/>
        </w:trPr>
        <w:tc>
          <w:tcPr>
            <w:tcW w:w="5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Normalized provision for income taxes (1)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33,702</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83,374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147,922</w:t>
            </w:r>
          </w:p>
        </w:tc>
        <w:tc>
          <w:tcPr>
            <w:tcW w:w="0" w:type="dxa"/>
            <w:vAlign w:val="bottom"/>
          </w:tcPr>
          <w:p>
            <w:pPr>
              <w:spacing w:after="0"/>
              <w:rPr>
                <w:sz w:val="1"/>
                <w:szCs w:val="1"/>
                <w:color w:val="auto"/>
              </w:rPr>
            </w:pPr>
          </w:p>
        </w:tc>
      </w:tr>
      <w:tr>
        <w:trPr>
          <w:trHeight w:val="194"/>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Normalized Adjusted Net Income</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106,802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468,417</w:t>
            </w: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167,164,049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175,893,027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169,101,067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179,290,742</w:t>
            </w: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75"/>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Normalized Adjusted EPS</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0.61</w:t>
            </w:r>
          </w:p>
        </w:tc>
        <w:tc>
          <w:tcPr>
            <w:tcW w:w="16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18440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275" w:lineRule="exact"/>
        <w:rPr>
          <w:sz w:val="20"/>
          <w:szCs w:val="20"/>
          <w:color w:val="auto"/>
        </w:rPr>
      </w:pPr>
    </w:p>
    <w:p>
      <w:pPr>
        <w:ind w:left="400" w:hanging="396"/>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24% for all periods presented.</w:t>
      </w:r>
    </w:p>
    <w:p>
      <w:pPr>
        <w:spacing w:after="0" w:line="11" w:lineRule="exact"/>
        <w:rPr>
          <w:rFonts w:ascii="Arial" w:cs="Arial" w:eastAsia="Arial" w:hAnsi="Arial"/>
          <w:sz w:val="16"/>
          <w:szCs w:val="16"/>
          <w:color w:val="auto"/>
        </w:rPr>
      </w:pPr>
    </w:p>
    <w:p>
      <w:pPr>
        <w:ind w:left="400" w:hanging="396"/>
        <w:spacing w:after="0" w:line="286" w:lineRule="auto"/>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ind w:firstLine="622"/>
        <w:spacing w:after="0" w:line="284" w:lineRule="auto"/>
        <w:rPr>
          <w:sz w:val="20"/>
          <w:szCs w:val="20"/>
          <w:color w:val="auto"/>
        </w:rPr>
      </w:pPr>
      <w:r>
        <w:rPr>
          <w:rFonts w:ascii="Arial" w:cs="Arial" w:eastAsia="Arial" w:hAnsi="Arial"/>
          <w:sz w:val="17"/>
          <w:szCs w:val="17"/>
          <w:color w:val="auto"/>
        </w:rPr>
        <w:t>The following tables reconcile Trading income, net to Adjusted Net Trading Income by segment for the three and nine months ended September 30, 2023, and 2022:</w:t>
      </w:r>
    </w:p>
    <w:p>
      <w:pPr>
        <w:spacing w:after="0" w:line="33" w:lineRule="exact"/>
        <w:rPr>
          <w:sz w:val="20"/>
          <w:szCs w:val="20"/>
          <w:color w:val="auto"/>
        </w:rPr>
      </w:pPr>
    </w:p>
    <w:tbl>
      <w:tblPr>
        <w:tblLayout w:type="fixed"/>
        <w:tblInd w:w="1060" w:type="dxa"/>
        <w:tblCellMar>
          <w:top w:w="0" w:type="dxa"/>
          <w:left w:w="0" w:type="dxa"/>
          <w:bottom w:w="0" w:type="dxa"/>
          <w:right w:w="0" w:type="dxa"/>
        </w:tblCellMar>
      </w:tblPr>
      <w:tr>
        <w:trPr>
          <w:trHeight w:val="179"/>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w w:val="95"/>
              </w:rPr>
              <w:t>Three Months Ended September 30, 2023</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310,523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5,562</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center"/>
              <w:ind w:left="351"/>
              <w:spacing w:after="0"/>
              <w:rPr>
                <w:sz w:val="20"/>
                <w:szCs w:val="20"/>
                <w:color w:val="auto"/>
              </w:rPr>
            </w:pPr>
            <w:r>
              <w:rPr>
                <w:rFonts w:ascii="Arial" w:cs="Arial" w:eastAsia="Arial" w:hAnsi="Arial"/>
                <w:sz w:val="14"/>
                <w:szCs w:val="14"/>
                <w:color w:val="auto"/>
                <w:w w:val="86"/>
              </w:rPr>
              <w:t>316,085</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51"/>
              <w:spacing w:after="0"/>
              <w:rPr>
                <w:sz w:val="20"/>
                <w:szCs w:val="20"/>
                <w:color w:val="auto"/>
              </w:rPr>
            </w:pPr>
            <w:r>
              <w:rPr>
                <w:rFonts w:ascii="Arial" w:cs="Arial" w:eastAsia="Arial" w:hAnsi="Arial"/>
                <w:sz w:val="14"/>
                <w:szCs w:val="14"/>
                <w:color w:val="auto"/>
                <w:w w:val="86"/>
              </w:rPr>
              <w:t>110,276</w:t>
            </w:r>
          </w:p>
        </w:tc>
        <w:tc>
          <w:tcPr>
            <w:tcW w:w="0" w:type="dxa"/>
            <w:vAlign w:val="bottom"/>
          </w:tcPr>
          <w:p>
            <w:pPr>
              <w:spacing w:after="0"/>
              <w:rPr>
                <w:sz w:val="1"/>
                <w:szCs w:val="1"/>
                <w:color w:val="auto"/>
              </w:rPr>
            </w:pPr>
          </w:p>
        </w:tc>
      </w:tr>
      <w:tr>
        <w:trPr>
          <w:trHeight w:val="185"/>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124,803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51"/>
              <w:spacing w:after="0"/>
              <w:rPr>
                <w:sz w:val="20"/>
                <w:szCs w:val="20"/>
                <w:color w:val="auto"/>
              </w:rPr>
            </w:pPr>
            <w:r>
              <w:rPr>
                <w:rFonts w:ascii="Arial" w:cs="Arial" w:eastAsia="Arial" w:hAnsi="Arial"/>
                <w:sz w:val="14"/>
                <w:szCs w:val="14"/>
                <w:color w:val="auto"/>
                <w:w w:val="86"/>
              </w:rPr>
              <w:t>127,693</w:t>
            </w:r>
          </w:p>
        </w:tc>
        <w:tc>
          <w:tcPr>
            <w:tcW w:w="0" w:type="dxa"/>
            <w:vAlign w:val="bottom"/>
          </w:tcPr>
          <w:p>
            <w:pPr>
              <w:spacing w:after="0"/>
              <w:rPr>
                <w:sz w:val="1"/>
                <w:szCs w:val="1"/>
                <w:color w:val="auto"/>
              </w:rPr>
            </w:pPr>
          </w:p>
        </w:tc>
      </w:tr>
      <w:tr>
        <w:trPr>
          <w:trHeight w:val="147"/>
        </w:trPr>
        <w:tc>
          <w:tcPr>
            <w:tcW w:w="376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left="331"/>
              <w:spacing w:after="0"/>
              <w:rPr>
                <w:sz w:val="20"/>
                <w:szCs w:val="20"/>
                <w:color w:val="auto"/>
              </w:rPr>
            </w:pPr>
            <w:r>
              <w:rPr>
                <w:rFonts w:ascii="Arial" w:cs="Arial" w:eastAsia="Arial" w:hAnsi="Arial"/>
                <w:sz w:val="14"/>
                <w:szCs w:val="14"/>
                <w:color w:val="auto"/>
                <w:w w:val="90"/>
              </w:rPr>
              <w:t>(123,245)</w:t>
            </w:r>
          </w:p>
        </w:tc>
        <w:tc>
          <w:tcPr>
            <w:tcW w:w="0" w:type="dxa"/>
            <w:vAlign w:val="bottom"/>
          </w:tcPr>
          <w:p>
            <w:pPr>
              <w:spacing w:after="0"/>
              <w:rPr>
                <w:sz w:val="1"/>
                <w:szCs w:val="1"/>
                <w:color w:val="auto"/>
              </w:rPr>
            </w:pPr>
          </w:p>
        </w:tc>
      </w:tr>
      <w:tr>
        <w:trPr>
          <w:trHeight w:val="187"/>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(132,523)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31"/>
              <w:spacing w:after="0"/>
              <w:rPr>
                <w:sz w:val="20"/>
                <w:szCs w:val="20"/>
                <w:color w:val="auto"/>
              </w:rPr>
            </w:pPr>
            <w:r>
              <w:rPr>
                <w:rFonts w:ascii="Arial" w:cs="Arial" w:eastAsia="Arial" w:hAnsi="Arial"/>
                <w:sz w:val="14"/>
                <w:szCs w:val="14"/>
                <w:color w:val="auto"/>
                <w:w w:val="90"/>
              </w:rPr>
              <w:t>(132,802)</w:t>
            </w:r>
          </w:p>
        </w:tc>
        <w:tc>
          <w:tcPr>
            <w:tcW w:w="0" w:type="dxa"/>
            <w:vAlign w:val="bottom"/>
          </w:tcPr>
          <w:p>
            <w:pPr>
              <w:spacing w:after="0"/>
              <w:rPr>
                <w:sz w:val="1"/>
                <w:szCs w:val="1"/>
                <w:color w:val="auto"/>
              </w:rPr>
            </w:pPr>
          </w:p>
        </w:tc>
      </w:tr>
      <w:tr>
        <w:trPr>
          <w:trHeight w:val="219"/>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center"/>
              <w:ind w:left="351"/>
              <w:spacing w:after="0"/>
              <w:rPr>
                <w:sz w:val="20"/>
                <w:szCs w:val="20"/>
                <w:color w:val="auto"/>
              </w:rPr>
            </w:pPr>
            <w:r>
              <w:rPr>
                <w:rFonts w:ascii="Arial" w:cs="Arial" w:eastAsia="Arial" w:hAnsi="Arial"/>
                <w:sz w:val="14"/>
                <w:szCs w:val="14"/>
                <w:color w:val="auto"/>
                <w:w w:val="86"/>
              </w:rPr>
              <w:t>298,007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60" w:type="dxa"/>
        <w:tblCellMar>
          <w:top w:w="0" w:type="dxa"/>
          <w:left w:w="0" w:type="dxa"/>
          <w:bottom w:w="0" w:type="dxa"/>
          <w:right w:w="0" w:type="dxa"/>
        </w:tblCellMar>
      </w:tblPr>
      <w:tr>
        <w:trPr>
          <w:trHeight w:val="179"/>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w w:val="95"/>
              </w:rPr>
              <w:t>Three Months Ended September 30, 2022</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392,496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4,887</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397,383</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120,986</w:t>
            </w:r>
          </w:p>
        </w:tc>
        <w:tc>
          <w:tcPr>
            <w:tcW w:w="0" w:type="dxa"/>
            <w:vAlign w:val="bottom"/>
          </w:tcPr>
          <w:p>
            <w:pPr>
              <w:spacing w:after="0"/>
              <w:rPr>
                <w:sz w:val="1"/>
                <w:szCs w:val="1"/>
                <w:color w:val="auto"/>
              </w:rPr>
            </w:pPr>
          </w:p>
        </w:tc>
      </w:tr>
      <w:tr>
        <w:trPr>
          <w:trHeight w:val="185"/>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43,446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43,631</w:t>
            </w:r>
          </w:p>
        </w:tc>
        <w:tc>
          <w:tcPr>
            <w:tcW w:w="0" w:type="dxa"/>
            <w:vAlign w:val="bottom"/>
          </w:tcPr>
          <w:p>
            <w:pPr>
              <w:spacing w:after="0"/>
              <w:rPr>
                <w:sz w:val="1"/>
                <w:szCs w:val="1"/>
                <w:color w:val="auto"/>
              </w:rPr>
            </w:pPr>
          </w:p>
        </w:tc>
      </w:tr>
      <w:tr>
        <w:trPr>
          <w:trHeight w:val="139"/>
        </w:trPr>
        <w:tc>
          <w:tcPr>
            <w:tcW w:w="37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(147,346)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(168,869)</w:t>
            </w:r>
          </w:p>
        </w:tc>
        <w:tc>
          <w:tcPr>
            <w:tcW w:w="0" w:type="dxa"/>
            <w:vAlign w:val="bottom"/>
          </w:tcPr>
          <w:p>
            <w:pPr>
              <w:spacing w:after="0"/>
              <w:rPr>
                <w:sz w:val="1"/>
                <w:szCs w:val="1"/>
                <w:color w:val="auto"/>
              </w:rPr>
            </w:pPr>
          </w:p>
        </w:tc>
      </w:tr>
      <w:tr>
        <w:trPr>
          <w:trHeight w:val="19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(61,989)</w:t>
            </w:r>
          </w:p>
        </w:tc>
        <w:tc>
          <w:tcPr>
            <w:tcW w:w="0" w:type="dxa"/>
            <w:vAlign w:val="bottom"/>
          </w:tcPr>
          <w:p>
            <w:pPr>
              <w:spacing w:after="0"/>
              <w:rPr>
                <w:sz w:val="1"/>
                <w:szCs w:val="1"/>
                <w:color w:val="auto"/>
              </w:rPr>
            </w:pPr>
          </w:p>
        </w:tc>
      </w:tr>
      <w:tr>
        <w:trPr>
          <w:trHeight w:val="219"/>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tbl>
      <w:tblPr>
        <w:tblLayout w:type="fixed"/>
        <w:tblInd w:w="1060" w:type="dxa"/>
        <w:tblCellMar>
          <w:top w:w="0" w:type="dxa"/>
          <w:left w:w="0" w:type="dxa"/>
          <w:bottom w:w="0" w:type="dxa"/>
          <w:right w:w="0" w:type="dxa"/>
        </w:tblCellMar>
      </w:tblPr>
      <w:tr>
        <w:trPr>
          <w:trHeight w:val="179"/>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Nine Months Ended September 30, 2023</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1,021,179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1,034,764</w:t>
            </w:r>
          </w:p>
        </w:tc>
        <w:tc>
          <w:tcPr>
            <w:tcW w:w="0" w:type="dxa"/>
            <w:vAlign w:val="bottom"/>
          </w:tcPr>
          <w:p>
            <w:pPr>
              <w:spacing w:after="0"/>
              <w:rPr>
                <w:sz w:val="1"/>
                <w:szCs w:val="1"/>
                <w:color w:val="auto"/>
              </w:rPr>
            </w:pPr>
          </w:p>
        </w:tc>
      </w:tr>
      <w:tr>
        <w:trPr>
          <w:trHeight w:val="185"/>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22,677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318,546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341,223</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307,916</w:t>
            </w:r>
          </w:p>
        </w:tc>
        <w:tc>
          <w:tcPr>
            <w:tcW w:w="0" w:type="dxa"/>
            <w:vAlign w:val="bottom"/>
          </w:tcPr>
          <w:p>
            <w:pPr>
              <w:spacing w:after="0"/>
              <w:rPr>
                <w:sz w:val="1"/>
                <w:szCs w:val="1"/>
                <w:color w:val="auto"/>
              </w:rPr>
            </w:pPr>
          </w:p>
        </w:tc>
      </w:tr>
      <w:tr>
        <w:trPr>
          <w:trHeight w:val="130"/>
        </w:trPr>
        <w:tc>
          <w:tcPr>
            <w:tcW w:w="376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(323,868)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(67,370)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(391,238)</w:t>
            </w:r>
          </w:p>
        </w:tc>
        <w:tc>
          <w:tcPr>
            <w:tcW w:w="0" w:type="dxa"/>
            <w:vAlign w:val="bottom"/>
          </w:tcPr>
          <w:p>
            <w:pPr>
              <w:spacing w:after="0"/>
              <w:rPr>
                <w:sz w:val="1"/>
                <w:szCs w:val="1"/>
                <w:color w:val="auto"/>
              </w:rPr>
            </w:pPr>
          </w:p>
        </w:tc>
      </w:tr>
      <w:tr>
        <w:trPr>
          <w:trHeight w:val="185"/>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(342,896)</w:t>
            </w:r>
          </w:p>
        </w:tc>
        <w:tc>
          <w:tcPr>
            <w:tcW w:w="0" w:type="dxa"/>
            <w:vAlign w:val="bottom"/>
          </w:tcPr>
          <w:p>
            <w:pPr>
              <w:spacing w:after="0"/>
              <w:rPr>
                <w:sz w:val="1"/>
                <w:szCs w:val="1"/>
                <w:color w:val="auto"/>
              </w:rPr>
            </w:pPr>
          </w:p>
        </w:tc>
      </w:tr>
      <w:tr>
        <w:trPr>
          <w:trHeight w:val="187"/>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679,120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270,649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949,769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tbl>
      <w:tblPr>
        <w:tblLayout w:type="fixed"/>
        <w:tblInd w:w="1060" w:type="dxa"/>
        <w:tblCellMar>
          <w:top w:w="0" w:type="dxa"/>
          <w:left w:w="0" w:type="dxa"/>
          <w:bottom w:w="0" w:type="dxa"/>
          <w:right w:w="0" w:type="dxa"/>
        </w:tblCellMar>
      </w:tblPr>
      <w:tr>
        <w:trPr>
          <w:trHeight w:val="179"/>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Nine Months Ended September 30, 2022</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1,299,117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1,315,618</w:t>
            </w:r>
          </w:p>
        </w:tc>
        <w:tc>
          <w:tcPr>
            <w:tcW w:w="0" w:type="dxa"/>
            <w:vAlign w:val="bottom"/>
          </w:tcPr>
          <w:p>
            <w:pPr>
              <w:spacing w:after="0"/>
              <w:rPr>
                <w:sz w:val="1"/>
                <w:szCs w:val="1"/>
                <w:color w:val="auto"/>
              </w:rPr>
            </w:pPr>
          </w:p>
        </w:tc>
      </w:tr>
      <w:tr>
        <w:trPr>
          <w:trHeight w:val="185"/>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30,881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381,100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411,981</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95,435</w:t>
            </w:r>
          </w:p>
        </w:tc>
        <w:tc>
          <w:tcPr>
            <w:tcW w:w="0" w:type="dxa"/>
            <w:vAlign w:val="bottom"/>
          </w:tcPr>
          <w:p>
            <w:pPr>
              <w:spacing w:after="0"/>
              <w:rPr>
                <w:sz w:val="1"/>
                <w:szCs w:val="1"/>
                <w:color w:val="auto"/>
              </w:rPr>
            </w:pPr>
          </w:p>
        </w:tc>
      </w:tr>
      <w:tr>
        <w:trPr>
          <w:trHeight w:val="137"/>
        </w:trPr>
        <w:tc>
          <w:tcPr>
            <w:tcW w:w="3760" w:type="dxa"/>
            <w:vAlign w:val="bottom"/>
            <w:gridSpan w:val="2"/>
          </w:tcPr>
          <w:p>
            <w:pPr>
              <w:ind w:left="20"/>
              <w:spacing w:after="0" w:line="137"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(401,982)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(74,253)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(476,235)</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(153,243)</w:t>
            </w:r>
          </w:p>
        </w:tc>
        <w:tc>
          <w:tcPr>
            <w:tcW w:w="0" w:type="dxa"/>
            <w:vAlign w:val="bottom"/>
          </w:tcPr>
          <w:p>
            <w:pPr>
              <w:spacing w:after="0"/>
              <w:rPr>
                <w:sz w:val="1"/>
                <w:szCs w:val="1"/>
                <w:color w:val="auto"/>
              </w:rPr>
            </w:pPr>
          </w:p>
        </w:tc>
      </w:tr>
      <w:tr>
        <w:trPr>
          <w:trHeight w:val="187"/>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873,836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319,720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1,193,556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20" w:firstLine="622"/>
        <w:spacing w:after="0" w:line="284" w:lineRule="auto"/>
        <w:rPr>
          <w:sz w:val="20"/>
          <w:szCs w:val="20"/>
          <w:color w:val="auto"/>
        </w:rPr>
      </w:pPr>
      <w:r>
        <w:rPr>
          <w:rFonts w:ascii="Arial" w:cs="Arial" w:eastAsia="Arial" w:hAnsi="Arial"/>
          <w:sz w:val="17"/>
          <w:szCs w:val="17"/>
          <w:color w:val="auto"/>
        </w:rPr>
        <w:t>The following table shows our Adjusted Net Trading Income and average daily Adjusted Net Trading Income by segment for the three and nine months ended September 30, 2023, and 2022: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3" w:name="page64"/>
    <w:bookmarkEnd w:id="63"/>
    <w:tbl>
      <w:tblPr>
        <w:tblLayout w:type="fixed"/>
        <w:tblInd w:w="104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840"/>
              <w:spacing w:after="0"/>
              <w:rPr>
                <w:sz w:val="20"/>
                <w:szCs w:val="20"/>
                <w:color w:val="auto"/>
              </w:rPr>
            </w:pPr>
            <w:r>
              <w:rPr>
                <w:rFonts w:ascii="Arial" w:cs="Arial" w:eastAsia="Arial" w:hAnsi="Arial"/>
                <w:sz w:val="14"/>
                <w:szCs w:val="14"/>
                <w:b w:val="1"/>
                <w:bCs w:val="1"/>
                <w:color w:val="auto"/>
                <w:w w:val="92"/>
              </w:rPr>
              <w:t>Three Months Ended September 30,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Adjusted Net Trading Income by Segment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238,264</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271"/>
              <w:spacing w:after="0"/>
              <w:rPr>
                <w:sz w:val="20"/>
                <w:szCs w:val="20"/>
                <w:color w:val="auto"/>
              </w:rPr>
            </w:pPr>
            <w:r>
              <w:rPr>
                <w:rFonts w:ascii="Arial" w:cs="Arial" w:eastAsia="Arial" w:hAnsi="Arial"/>
                <w:sz w:val="14"/>
                <w:szCs w:val="14"/>
                <w:color w:val="auto"/>
                <w:w w:val="89"/>
              </w:rPr>
              <w:t>(12.7)%</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92,878</w:t>
            </w:r>
          </w:p>
        </w:tc>
        <w:tc>
          <w:tcPr>
            <w:tcW w:w="4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298,007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331,142</w:t>
            </w:r>
          </w:p>
        </w:tc>
        <w:tc>
          <w:tcPr>
            <w:tcW w:w="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ind w:right="271"/>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6"/>
          </w:tcPr>
          <w:p>
            <w:pPr>
              <w:ind w:left="840"/>
              <w:spacing w:after="0"/>
              <w:rPr>
                <w:sz w:val="20"/>
                <w:szCs w:val="20"/>
                <w:color w:val="auto"/>
              </w:rPr>
            </w:pPr>
            <w:r>
              <w:rPr>
                <w:rFonts w:ascii="Arial" w:cs="Arial" w:eastAsia="Arial" w:hAnsi="Arial"/>
                <w:sz w:val="14"/>
                <w:szCs w:val="14"/>
                <w:b w:val="1"/>
                <w:bCs w:val="1"/>
                <w:color w:val="auto"/>
                <w:w w:val="92"/>
              </w:rPr>
              <w:t>Three Months Ended September 30,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Average Daily Adjusted Net Trading Income by Segment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3,723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271"/>
              <w:spacing w:after="0"/>
              <w:rPr>
                <w:sz w:val="20"/>
                <w:szCs w:val="20"/>
                <w:color w:val="auto"/>
              </w:rPr>
            </w:pPr>
            <w:r>
              <w:rPr>
                <w:rFonts w:ascii="Arial" w:cs="Arial" w:eastAsia="Arial" w:hAnsi="Arial"/>
                <w:sz w:val="14"/>
                <w:szCs w:val="14"/>
                <w:color w:val="auto"/>
                <w:w w:val="89"/>
              </w:rPr>
              <w:t>(11.3)%</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1,451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5,174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ind w:right="251"/>
              <w:spacing w:after="0"/>
              <w:rPr>
                <w:sz w:val="20"/>
                <w:szCs w:val="20"/>
                <w:color w:val="auto"/>
              </w:rPr>
            </w:pPr>
            <w:r>
              <w:rPr>
                <w:rFonts w:ascii="Arial" w:cs="Arial" w:eastAsia="Arial" w:hAnsi="Arial"/>
                <w:sz w:val="14"/>
                <w:szCs w:val="14"/>
                <w:color w:val="auto"/>
                <w:w w:val="92"/>
              </w:rPr>
              <w:t>(9.6)%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40" w:type="dxa"/>
        <w:tblCellMar>
          <w:top w:w="0" w:type="dxa"/>
          <w:left w:w="0" w:type="dxa"/>
          <w:bottom w:w="0" w:type="dxa"/>
          <w:right w:w="0" w:type="dxa"/>
        </w:tblCellMar>
      </w:tblPr>
      <w:tr>
        <w:trPr>
          <w:trHeight w:val="179"/>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900"/>
              <w:spacing w:after="0"/>
              <w:rPr>
                <w:sz w:val="20"/>
                <w:szCs w:val="20"/>
                <w:color w:val="auto"/>
              </w:rPr>
            </w:pPr>
            <w:r>
              <w:rPr>
                <w:rFonts w:ascii="Arial" w:cs="Arial" w:eastAsia="Arial" w:hAnsi="Arial"/>
                <w:sz w:val="14"/>
                <w:szCs w:val="14"/>
                <w:b w:val="1"/>
                <w:bCs w:val="1"/>
                <w:color w:val="auto"/>
                <w:w w:val="92"/>
              </w:rPr>
              <w:t>Nine Months Ended September 30,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Adjusted Net Trading Income by Segment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4"/>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Market Making</w:t>
            </w: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679,120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873,836</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w w:val="89"/>
              </w:rPr>
              <w:t>(22.3)%</w:t>
            </w:r>
          </w:p>
        </w:tc>
        <w:tc>
          <w:tcPr>
            <w:tcW w:w="0" w:type="dxa"/>
            <w:vAlign w:val="bottom"/>
          </w:tcPr>
          <w:p>
            <w:pPr>
              <w:spacing w:after="0"/>
              <w:rPr>
                <w:sz w:val="1"/>
                <w:szCs w:val="1"/>
                <w:color w:val="auto"/>
              </w:rPr>
            </w:pPr>
          </w:p>
        </w:tc>
      </w:tr>
      <w:tr>
        <w:trPr>
          <w:trHeight w:val="187"/>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270,649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319,720</w:t>
            </w:r>
          </w:p>
        </w:tc>
        <w:tc>
          <w:tcPr>
            <w:tcW w:w="4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color w:val="auto"/>
                <w:w w:val="89"/>
              </w:rPr>
              <w:t>(15.3)%</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949,769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1,193,556</w:t>
            </w:r>
          </w:p>
        </w:tc>
        <w:tc>
          <w:tcPr>
            <w:tcW w:w="4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ind w:right="251"/>
              <w:spacing w:after="0"/>
              <w:rPr>
                <w:sz w:val="20"/>
                <w:szCs w:val="20"/>
                <w:color w:val="auto"/>
              </w:rPr>
            </w:pPr>
            <w:r>
              <w:rPr>
                <w:rFonts w:ascii="Arial" w:cs="Arial" w:eastAsia="Arial" w:hAnsi="Arial"/>
                <w:sz w:val="14"/>
                <w:szCs w:val="14"/>
                <w:color w:val="auto"/>
                <w:w w:val="89"/>
              </w:rPr>
              <w:t>(20.4)%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79"/>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900"/>
              <w:spacing w:after="0"/>
              <w:rPr>
                <w:sz w:val="20"/>
                <w:szCs w:val="20"/>
                <w:color w:val="auto"/>
              </w:rPr>
            </w:pPr>
            <w:r>
              <w:rPr>
                <w:rFonts w:ascii="Arial" w:cs="Arial" w:eastAsia="Arial" w:hAnsi="Arial"/>
                <w:sz w:val="14"/>
                <w:szCs w:val="14"/>
                <w:b w:val="1"/>
                <w:bCs w:val="1"/>
                <w:color w:val="auto"/>
                <w:w w:val="92"/>
              </w:rPr>
              <w:t>Nine Months Ended September 30,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Average Daily Adjusted Net Trading Income by Segment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4"/>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Market Making</w:t>
            </w: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4,648</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w w:val="89"/>
              </w:rPr>
              <w:t>(21.9)%</w:t>
            </w:r>
          </w:p>
        </w:tc>
        <w:tc>
          <w:tcPr>
            <w:tcW w:w="0" w:type="dxa"/>
            <w:vAlign w:val="bottom"/>
          </w:tcPr>
          <w:p>
            <w:pPr>
              <w:spacing w:after="0"/>
              <w:rPr>
                <w:sz w:val="1"/>
                <w:szCs w:val="1"/>
                <w:color w:val="auto"/>
              </w:rPr>
            </w:pPr>
          </w:p>
        </w:tc>
      </w:tr>
      <w:tr>
        <w:trPr>
          <w:trHeight w:val="187"/>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1,701</w:t>
            </w:r>
          </w:p>
        </w:tc>
        <w:tc>
          <w:tcPr>
            <w:tcW w:w="4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color w:val="auto"/>
                <w:w w:val="89"/>
              </w:rPr>
              <w:t>(14.9)%</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6,349</w:t>
            </w:r>
          </w:p>
        </w:tc>
        <w:tc>
          <w:tcPr>
            <w:tcW w:w="4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ind w:right="251"/>
              <w:spacing w:after="0"/>
              <w:rPr>
                <w:sz w:val="20"/>
                <w:szCs w:val="20"/>
                <w:color w:val="auto"/>
              </w:rPr>
            </w:pPr>
            <w:r>
              <w:rPr>
                <w:rFonts w:ascii="Arial" w:cs="Arial" w:eastAsia="Arial" w:hAnsi="Arial"/>
                <w:sz w:val="14"/>
                <w:szCs w:val="14"/>
                <w:color w:val="auto"/>
                <w:w w:val="89"/>
              </w:rPr>
              <w:t>(19.0)%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2023 Compared to Three Months Ended September 30, 2022</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32" w:lineRule="exact"/>
        <w:rPr>
          <w:sz w:val="20"/>
          <w:szCs w:val="20"/>
          <w:color w:val="auto"/>
        </w:rPr>
      </w:pPr>
    </w:p>
    <w:p>
      <w:pPr>
        <w:ind w:firstLine="622"/>
        <w:spacing w:after="0" w:line="245" w:lineRule="auto"/>
        <w:rPr>
          <w:sz w:val="20"/>
          <w:szCs w:val="20"/>
          <w:color w:val="auto"/>
        </w:rPr>
      </w:pPr>
      <w:r>
        <w:rPr>
          <w:rFonts w:ascii="Arial" w:cs="Arial" w:eastAsia="Arial" w:hAnsi="Arial"/>
          <w:sz w:val="17"/>
          <w:szCs w:val="17"/>
          <w:color w:val="auto"/>
        </w:rPr>
        <w:t>Our total revenues increased $69.2 million, or 12.3%, to $630.2 million for the three months ended September 30, 2023, compared to $561.0 million for the three months ended September 30, 2022. The increase was primarily driven by an increase in Other, net as a result of gains recorded from settlement fund recoveries received in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947" w:right="419" w:bottom="1440" w:gutter="0" w:footer="0" w:header="0"/>
        </w:sectPr>
      </w:pPr>
    </w:p>
    <w:bookmarkStart w:id="64" w:name="page65"/>
    <w:bookmarkEnd w:id="64"/>
    <w:p>
      <w:pPr>
        <w:ind w:left="620"/>
        <w:spacing w:after="0"/>
        <w:rPr>
          <w:sz w:val="20"/>
          <w:szCs w:val="20"/>
          <w:color w:val="auto"/>
        </w:rPr>
      </w:pPr>
      <w:r>
        <w:rPr>
          <w:rFonts w:ascii="Arial" w:cs="Arial" w:eastAsia="Arial" w:hAnsi="Arial"/>
          <w:sz w:val="17"/>
          <w:szCs w:val="17"/>
          <w:color w:val="auto"/>
        </w:rPr>
        <w:t>The following table shows total revenues by segment for the three months ended September 30, 2023 and 2022.</w:t>
      </w:r>
    </w:p>
    <w:p>
      <w:pPr>
        <w:spacing w:after="0" w:line="41" w:lineRule="exact"/>
        <w:rPr>
          <w:sz w:val="20"/>
          <w:szCs w:val="20"/>
          <w:color w:val="auto"/>
        </w:rPr>
      </w:pPr>
    </w:p>
    <w:tbl>
      <w:tblPr>
        <w:tblLayout w:type="fixed"/>
        <w:tblInd w:w="960" w:type="dxa"/>
        <w:tblCellMar>
          <w:top w:w="0" w:type="dxa"/>
          <w:left w:w="0" w:type="dxa"/>
          <w:bottom w:w="0" w:type="dxa"/>
          <w:right w:w="0" w:type="dxa"/>
        </w:tblCellMar>
      </w:tblPr>
      <w:tr>
        <w:trPr>
          <w:trHeight w:val="179"/>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20" w:type="dxa"/>
            <w:vAlign w:val="bottom"/>
            <w:gridSpan w:val="6"/>
          </w:tcPr>
          <w:p>
            <w:pPr>
              <w:ind w:left="1100"/>
              <w:spacing w:after="0"/>
              <w:rPr>
                <w:sz w:val="20"/>
                <w:szCs w:val="20"/>
                <w:color w:val="auto"/>
              </w:rPr>
            </w:pPr>
            <w:r>
              <w:rPr>
                <w:rFonts w:ascii="Arial" w:cs="Arial" w:eastAsia="Arial" w:hAnsi="Arial"/>
                <w:sz w:val="14"/>
                <w:szCs w:val="14"/>
                <w:b w:val="1"/>
                <w:bCs w:val="1"/>
                <w:color w:val="auto"/>
                <w:w w:val="96"/>
              </w:rPr>
              <w:t>Three Months Ended September 30,</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8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2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310,523</w:t>
            </w:r>
          </w:p>
        </w:tc>
        <w:tc>
          <w:tcPr>
            <w:tcW w:w="10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392,496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51"/>
              <w:spacing w:after="0"/>
              <w:rPr>
                <w:sz w:val="20"/>
                <w:szCs w:val="20"/>
                <w:color w:val="auto"/>
              </w:rPr>
            </w:pPr>
            <w:r>
              <w:rPr>
                <w:rFonts w:ascii="Arial" w:cs="Arial" w:eastAsia="Arial" w:hAnsi="Arial"/>
                <w:sz w:val="14"/>
                <w:szCs w:val="14"/>
                <w:color w:val="auto"/>
                <w:w w:val="93"/>
              </w:rPr>
              <w:t>(20.9)%</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124,803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w w:val="88"/>
              </w:rPr>
              <w:t>187.3%</w:t>
            </w:r>
          </w:p>
        </w:tc>
        <w:tc>
          <w:tcPr>
            <w:tcW w:w="0" w:type="dxa"/>
            <w:vAlign w:val="bottom"/>
          </w:tcPr>
          <w:p>
            <w:pPr>
              <w:spacing w:after="0"/>
              <w:rPr>
                <w:sz w:val="1"/>
                <w:szCs w:val="1"/>
                <w:color w:val="auto"/>
              </w:rPr>
            </w:pPr>
          </w:p>
        </w:tc>
      </w:tr>
      <w:tr>
        <w:trPr>
          <w:trHeight w:val="185"/>
        </w:trPr>
        <w:tc>
          <w:tcPr>
            <w:tcW w:w="422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6,343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10,687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51"/>
              <w:spacing w:after="0"/>
              <w:rPr>
                <w:sz w:val="20"/>
                <w:szCs w:val="20"/>
                <w:color w:val="auto"/>
              </w:rPr>
            </w:pPr>
            <w:r>
              <w:rPr>
                <w:rFonts w:ascii="Arial" w:cs="Arial" w:eastAsia="Arial" w:hAnsi="Arial"/>
                <w:sz w:val="14"/>
                <w:szCs w:val="14"/>
                <w:color w:val="auto"/>
                <w:w w:val="93"/>
              </w:rPr>
              <w:t>(40.6)%</w:t>
            </w: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75,682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4"/>
        </w:trPr>
        <w:tc>
          <w:tcPr>
            <w:tcW w:w="4220" w:type="dxa"/>
            <w:vAlign w:val="bottom"/>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517,351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447,886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71"/>
              <w:spacing w:after="0"/>
              <w:rPr>
                <w:sz w:val="20"/>
                <w:szCs w:val="20"/>
                <w:color w:val="auto"/>
              </w:rPr>
            </w:pPr>
            <w:r>
              <w:rPr>
                <w:rFonts w:ascii="Arial" w:cs="Arial" w:eastAsia="Arial" w:hAnsi="Arial"/>
                <w:sz w:val="14"/>
                <w:szCs w:val="14"/>
                <w:color w:val="auto"/>
                <w:w w:val="90"/>
              </w:rPr>
              <w:t>15.5%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5,562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71"/>
              <w:spacing w:after="0"/>
              <w:rPr>
                <w:sz w:val="20"/>
                <w:szCs w:val="20"/>
                <w:color w:val="auto"/>
              </w:rPr>
            </w:pPr>
            <w:r>
              <w:rPr>
                <w:rFonts w:ascii="Arial" w:cs="Arial" w:eastAsia="Arial" w:hAnsi="Arial"/>
                <w:sz w:val="14"/>
                <w:szCs w:val="14"/>
                <w:color w:val="auto"/>
                <w:w w:val="90"/>
              </w:rPr>
              <w:t>13.8%</w:t>
            </w:r>
          </w:p>
        </w:tc>
        <w:tc>
          <w:tcPr>
            <w:tcW w:w="0" w:type="dxa"/>
            <w:vAlign w:val="bottom"/>
          </w:tcPr>
          <w:p>
            <w:pPr>
              <w:spacing w:after="0"/>
              <w:rPr>
                <w:sz w:val="1"/>
                <w:szCs w:val="1"/>
                <w:color w:val="auto"/>
              </w:rPr>
            </w:pPr>
          </w:p>
        </w:tc>
      </w:tr>
      <w:tr>
        <w:trPr>
          <w:trHeight w:val="185"/>
        </w:trPr>
        <w:tc>
          <w:tcPr>
            <w:tcW w:w="422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2,890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5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103,933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w w:val="92"/>
              </w:rPr>
              <w:t>(5.8)%</w:t>
            </w:r>
          </w:p>
        </w:tc>
        <w:tc>
          <w:tcPr>
            <w:tcW w:w="0" w:type="dxa"/>
            <w:vAlign w:val="bottom"/>
          </w:tcPr>
          <w:p>
            <w:pPr>
              <w:spacing w:after="0"/>
              <w:rPr>
                <w:sz w:val="1"/>
                <w:szCs w:val="1"/>
                <w:color w:val="auto"/>
              </w:rPr>
            </w:pPr>
          </w:p>
        </w:tc>
      </w:tr>
      <w:tr>
        <w:trPr>
          <w:trHeight w:val="187"/>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color w:val="auto"/>
                <w:w w:val="93"/>
              </w:rPr>
              <w:t>(98.4)%</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112,453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119,599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ind w:right="251"/>
              <w:spacing w:after="0"/>
              <w:rPr>
                <w:sz w:val="20"/>
                <w:szCs w:val="20"/>
                <w:color w:val="auto"/>
              </w:rPr>
            </w:pPr>
            <w:r>
              <w:rPr>
                <w:rFonts w:ascii="Arial" w:cs="Arial" w:eastAsia="Arial" w:hAnsi="Arial"/>
                <w:sz w:val="14"/>
                <w:szCs w:val="14"/>
                <w:color w:val="auto"/>
                <w:w w:val="92"/>
              </w:rPr>
              <w:t>(6.0)%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center"/>
              <w:ind w:right="25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ind w:right="25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2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316,085</w:t>
            </w:r>
          </w:p>
        </w:tc>
        <w:tc>
          <w:tcPr>
            <w:tcW w:w="10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397,383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51"/>
              <w:spacing w:after="0"/>
              <w:rPr>
                <w:sz w:val="20"/>
                <w:szCs w:val="20"/>
                <w:color w:val="auto"/>
              </w:rPr>
            </w:pPr>
            <w:r>
              <w:rPr>
                <w:rFonts w:ascii="Arial" w:cs="Arial" w:eastAsia="Arial" w:hAnsi="Arial"/>
                <w:sz w:val="14"/>
                <w:szCs w:val="14"/>
                <w:color w:val="auto"/>
                <w:w w:val="93"/>
              </w:rPr>
              <w:t>(20.5)%</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127,693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w w:val="88"/>
              </w:rPr>
              <w:t>192.7%</w:t>
            </w:r>
          </w:p>
        </w:tc>
        <w:tc>
          <w:tcPr>
            <w:tcW w:w="0" w:type="dxa"/>
            <w:vAlign w:val="bottom"/>
          </w:tcPr>
          <w:p>
            <w:pPr>
              <w:spacing w:after="0"/>
              <w:rPr>
                <w:sz w:val="1"/>
                <w:szCs w:val="1"/>
                <w:color w:val="auto"/>
              </w:rPr>
            </w:pPr>
          </w:p>
        </w:tc>
      </w:tr>
      <w:tr>
        <w:trPr>
          <w:trHeight w:val="185"/>
        </w:trPr>
        <w:tc>
          <w:tcPr>
            <w:tcW w:w="422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110,276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120,986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51"/>
              <w:spacing w:after="0"/>
              <w:rPr>
                <w:sz w:val="20"/>
                <w:szCs w:val="20"/>
                <w:color w:val="auto"/>
              </w:rPr>
            </w:pPr>
            <w:r>
              <w:rPr>
                <w:rFonts w:ascii="Arial" w:cs="Arial" w:eastAsia="Arial" w:hAnsi="Arial"/>
                <w:sz w:val="14"/>
                <w:szCs w:val="14"/>
                <w:color w:val="auto"/>
                <w:w w:val="92"/>
              </w:rPr>
              <w:t>(8.9)%</w:t>
            </w: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76,110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4"/>
        </w:trPr>
        <w:tc>
          <w:tcPr>
            <w:tcW w:w="422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630,164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center"/>
              <w:ind w:right="271"/>
              <w:spacing w:after="0"/>
              <w:rPr>
                <w:sz w:val="20"/>
                <w:szCs w:val="20"/>
                <w:color w:val="auto"/>
              </w:rPr>
            </w:pPr>
            <w:r>
              <w:rPr>
                <w:rFonts w:ascii="Arial" w:cs="Arial" w:eastAsia="Arial" w:hAnsi="Arial"/>
                <w:sz w:val="14"/>
                <w:szCs w:val="14"/>
                <w:color w:val="auto"/>
                <w:w w:val="90"/>
              </w:rPr>
              <w:t>12.3%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20" w:firstLine="622"/>
        <w:spacing w:after="0" w:line="287" w:lineRule="auto"/>
        <w:rPr>
          <w:sz w:val="20"/>
          <w:szCs w:val="20"/>
          <w:color w:val="auto"/>
        </w:rPr>
      </w:pPr>
      <w:r>
        <w:rPr>
          <w:rFonts w:ascii="Arial" w:cs="Arial" w:eastAsia="Arial" w:hAnsi="Arial"/>
          <w:sz w:val="15"/>
          <w:szCs w:val="15"/>
          <w:b w:val="1"/>
          <w:bCs w:val="1"/>
          <w:i w:val="1"/>
          <w:iCs w:val="1"/>
          <w:color w:val="auto"/>
        </w:rPr>
        <w:t xml:space="preserve">Trading income, net. </w:t>
      </w:r>
      <w:r>
        <w:rPr>
          <w:rFonts w:ascii="Arial" w:cs="Arial" w:eastAsia="Arial" w:hAnsi="Arial"/>
          <w:sz w:val="15"/>
          <w:szCs w:val="15"/>
          <w:color w:val="auto"/>
        </w:rPr>
        <w:t>Trading income, net was primarily earned by our Market Making segment. Trading income, net decreased $81.3 million, or 20.5%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$316.1 million for the three months ended September 30, 2023, compared to $397.4 million for the three months ended September 30, 2022. The decrease was largely a result of lower market volumes and lower volatility across global markets and decreased opportunity in our customer market making trading as a result of lower spread opportunity and decreased quality of the order flow with which we interacted.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189" w:lineRule="exact"/>
        <w:rPr>
          <w:sz w:val="20"/>
          <w:szCs w:val="20"/>
          <w:color w:val="auto"/>
        </w:rPr>
      </w:pPr>
    </w:p>
    <w:p>
      <w:pPr>
        <w:ind w:right="40" w:firstLine="622"/>
        <w:spacing w:after="0" w:line="266" w:lineRule="auto"/>
        <w:rPr>
          <w:sz w:val="20"/>
          <w:szCs w:val="20"/>
          <w:color w:val="auto"/>
        </w:rPr>
      </w:pPr>
      <w:r>
        <w:rPr>
          <w:rFonts w:ascii="Arial" w:cs="Arial" w:eastAsia="Arial" w:hAnsi="Arial"/>
          <w:sz w:val="16"/>
          <w:szCs w:val="16"/>
          <w:b w:val="1"/>
          <w:bCs w:val="1"/>
          <w:i w:val="1"/>
          <w:iCs w:val="1"/>
          <w:color w:val="auto"/>
        </w:rPr>
        <w:t xml:space="preserve">Interest and dividends income. </w:t>
      </w:r>
      <w:r>
        <w:rPr>
          <w:rFonts w:ascii="Arial" w:cs="Arial" w:eastAsia="Arial" w:hAnsi="Arial"/>
          <w:sz w:val="16"/>
          <w:szCs w:val="16"/>
          <w:color w:val="auto"/>
        </w:rPr>
        <w:t>Interest and dividends income was primarily earned by our Market Making segment. Interest and dividends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$84.1 million, or 192.9%, to $127.7 million for the three months ended September 30, 2023, compared to $43.6 million for the three months ended September 30, 2022. This increase was primarily attributable to an increase in interest income earned on cash collateral posted as part of securities borrowing transactions and interest earned on balances maintained at banks and prime brokers, and higher dividends earned on market making trading assets held over periods when dividends are paid, both of which benefited from higher interest rates for the period compared to the same period during the prior year. As indicated above, rather than analyzing interest and dividends income in isolation, we evaluate it in the broader context of our Adjusted Net Trading Income.</w:t>
      </w:r>
    </w:p>
    <w:p>
      <w:pPr>
        <w:spacing w:after="0" w:line="203" w:lineRule="exact"/>
        <w:rPr>
          <w:sz w:val="20"/>
          <w:szCs w:val="20"/>
          <w:color w:val="auto"/>
        </w:rPr>
      </w:pPr>
    </w:p>
    <w:p>
      <w:pPr>
        <w:ind w:firstLine="622"/>
        <w:spacing w:after="0" w:line="250"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Commissions, net and technology services revenues were primarily earned by our Execution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Commissions, net and technology services revenues decreased $10.7 million, or 8.8%, to $110.3 million for the three months ended September 30, 2023, compared to $121.0 million for the three months ended September 30, 2022. This decrease was driven by lower market volumes, a reduction of institutional investors' commissions available, and declining institutional engagement. As indicated above, rather than analyzing interest and dividends income in isolation, we evaluate it in the broader context of our Adjusted Net Trading Income.</w:t>
      </w:r>
    </w:p>
    <w:p>
      <w:pPr>
        <w:spacing w:after="0" w:line="201" w:lineRule="exact"/>
        <w:rPr>
          <w:sz w:val="20"/>
          <w:szCs w:val="20"/>
          <w:color w:val="auto"/>
        </w:rPr>
      </w:pPr>
    </w:p>
    <w:p>
      <w:pPr>
        <w:ind w:right="100" w:firstLine="622"/>
        <w:spacing w:after="0" w:line="264"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increased $77.1 million, to $76.1 million for the three months ended September 30, 2023, compared to $(1.0)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2022. Other, net comprises changes in the valuation on our level 3 investment, as well as other miscellaneous income including various nonrecurring gains and losses. The three months ended September 30, 2023 included gains on settlement fund recoveries in which we are eligible to participate based 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5" w:name="page66"/>
    <w:bookmarkEnd w:id="65"/>
    <w:p>
      <w:pPr>
        <w:ind w:right="140"/>
        <w:spacing w:after="0" w:line="284" w:lineRule="auto"/>
        <w:rPr>
          <w:sz w:val="20"/>
          <w:szCs w:val="20"/>
          <w:color w:val="auto"/>
        </w:rPr>
      </w:pPr>
      <w:r>
        <w:rPr>
          <w:rFonts w:ascii="Arial" w:cs="Arial" w:eastAsia="Arial" w:hAnsi="Arial"/>
          <w:sz w:val="17"/>
          <w:szCs w:val="17"/>
          <w:color w:val="auto"/>
        </w:rPr>
        <w:t>our transactions in the applicable products. Refer to Note 9 "Financial Assets and Liabilities" in Part I Item 1 “Financial Statements” of this Quarterly Report on Form 10-Q for more details on our level 3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45" w:lineRule="exact"/>
        <w:rPr>
          <w:sz w:val="20"/>
          <w:szCs w:val="20"/>
          <w:color w:val="auto"/>
        </w:rPr>
      </w:pPr>
    </w:p>
    <w:p>
      <w:pPr>
        <w:ind w:right="20" w:firstLine="622"/>
        <w:spacing w:after="0" w:line="259" w:lineRule="auto"/>
        <w:rPr>
          <w:sz w:val="20"/>
          <w:szCs w:val="20"/>
          <w:color w:val="auto"/>
        </w:rPr>
      </w:pPr>
      <w:r>
        <w:rPr>
          <w:rFonts w:ascii="Arial" w:cs="Arial" w:eastAsia="Arial" w:hAnsi="Arial"/>
          <w:sz w:val="17"/>
          <w:szCs w:val="17"/>
          <w:color w:val="auto"/>
        </w:rPr>
        <w:t>Adjusted Net Trading Income, which is a non-GAAP measure, decreased $33.1 million, or 10.0%, to $298.0 million for the three months ended September 30, 2023, compared to $331.1 million for the three months ended September 30, 2022. This decrease was primarily attributable to lower Trading income, net in the Market Making segment during the three months ended September 30, 2023 compared to the same period in 2022, as noted above. Adjusted Net Trading Income per day decreased $0.5 million, or 9.6%, to $4.7 million for the three months ended September 30, 2023, compared to $5.2 million for the three months ended September 30, 2022.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45" w:lineRule="exact"/>
        <w:rPr>
          <w:sz w:val="20"/>
          <w:szCs w:val="20"/>
          <w:color w:val="auto"/>
        </w:rPr>
      </w:pPr>
    </w:p>
    <w:p>
      <w:pPr>
        <w:ind w:right="40" w:firstLine="622"/>
        <w:spacing w:after="0" w:line="294" w:lineRule="auto"/>
        <w:rPr>
          <w:sz w:val="20"/>
          <w:szCs w:val="20"/>
          <w:color w:val="auto"/>
        </w:rPr>
      </w:pPr>
      <w:r>
        <w:rPr>
          <w:rFonts w:ascii="Arial" w:cs="Arial" w:eastAsia="Arial" w:hAnsi="Arial"/>
          <w:sz w:val="16"/>
          <w:szCs w:val="16"/>
          <w:color w:val="auto"/>
        </w:rPr>
        <w:t>Our operating expenses increased $32.7 million, or 7.1%, to $492.1 million for the three months ended September 30, 2023, compared to $459.4 million for the three months ended September 30, 2022. The increase in operating expenses is primarily due to an increase in Interest and dividends expense, partially offset by a decline in Brokerage, exchange, clearance fees and payments for order flow, net, described in more detail below.</w:t>
      </w:r>
    </w:p>
    <w:p>
      <w:pPr>
        <w:spacing w:after="0" w:line="180" w:lineRule="exact"/>
        <w:rPr>
          <w:sz w:val="20"/>
          <w:szCs w:val="20"/>
          <w:color w:val="auto"/>
        </w:rPr>
      </w:pPr>
    </w:p>
    <w:p>
      <w:pPr>
        <w:ind w:firstLine="622"/>
        <w:spacing w:after="0" w:line="264" w:lineRule="auto"/>
        <w:rPr>
          <w:sz w:val="20"/>
          <w:szCs w:val="20"/>
          <w:color w:val="auto"/>
        </w:rPr>
      </w:pPr>
      <w:r>
        <w:rPr>
          <w:rFonts w:ascii="Arial" w:cs="Arial" w:eastAsia="Arial" w:hAnsi="Arial"/>
          <w:sz w:val="17"/>
          <w:szCs w:val="17"/>
          <w:b w:val="1"/>
          <w:bCs w:val="1"/>
          <w:i w:val="1"/>
          <w:iCs w:val="1"/>
          <w:color w:val="auto"/>
        </w:rPr>
        <w:t xml:space="preserve">Brokerage, exchange, clearance fees and payments for order flow, net. </w:t>
      </w:r>
      <w:r>
        <w:rPr>
          <w:rFonts w:ascii="Arial" w:cs="Arial" w:eastAsia="Arial" w:hAnsi="Arial"/>
          <w:sz w:val="17"/>
          <w:szCs w:val="17"/>
          <w:color w:val="auto"/>
        </w:rPr>
        <w:t>Brokerage exchange, clearance fees and payments for order flow, net,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$45.7 million, or 27.1%, to $123.2 million for the three months ended September 30, 2023, compared to $168.9 million for the three months ended September 30, 2022. These costs vary period to period based upon the level and composition of our trading activities. We evaluate this category representing direct costs associated with transacting business, in the broader context of our Adjusted Net Trading Income.</w:t>
      </w:r>
    </w:p>
    <w:p>
      <w:pPr>
        <w:spacing w:after="0" w:line="203" w:lineRule="exact"/>
        <w:rPr>
          <w:sz w:val="20"/>
          <w:szCs w:val="20"/>
          <w:color w:val="auto"/>
        </w:rPr>
      </w:pPr>
    </w:p>
    <w:p>
      <w:pPr>
        <w:jc w:val="both"/>
        <w:ind w:right="400" w:firstLine="622"/>
        <w:spacing w:after="0" w:line="294"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increased $4.2 million, or 7.9%, to $57.1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2023, compared to $52.9 million for the three months ended September 30, 2022. This increase was primarily due to increased connectivity spending on colocation, access, ports, and gateways, and microwave communication networks maintained by our joint ventures.</w:t>
      </w:r>
    </w:p>
    <w:p>
      <w:pPr>
        <w:spacing w:after="0" w:line="167" w:lineRule="exact"/>
        <w:rPr>
          <w:sz w:val="20"/>
          <w:szCs w:val="20"/>
          <w:color w:val="auto"/>
        </w:rPr>
      </w:pPr>
    </w:p>
    <w:p>
      <w:pPr>
        <w:ind w:right="80" w:firstLine="622"/>
        <w:spacing w:after="0" w:line="269"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decreased $6.1 million, or 5.9% to $97.2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2023, compared to $103.3 million for the three months ended September 30, 2022. The decrease in compensation levels was primarily attributable to a decrease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99" w:lineRule="exact"/>
        <w:rPr>
          <w:sz w:val="20"/>
          <w:szCs w:val="20"/>
          <w:color w:val="auto"/>
        </w:rPr>
      </w:pPr>
    </w:p>
    <w:p>
      <w:pPr>
        <w:ind w:right="220" w:firstLine="622"/>
        <w:spacing w:after="0" w:line="284" w:lineRule="auto"/>
        <w:rPr>
          <w:sz w:val="20"/>
          <w:szCs w:val="20"/>
          <w:color w:val="auto"/>
        </w:rPr>
      </w:pPr>
      <w:r>
        <w:rPr>
          <w:rFonts w:ascii="Arial" w:cs="Arial" w:eastAsia="Arial" w:hAnsi="Arial"/>
          <w:sz w:val="17"/>
          <w:szCs w:val="17"/>
          <w:color w:val="auto"/>
        </w:rPr>
        <w:t>We have capitalized and therefore excluded employee compensation and benefits related to software development of $9.7 million and $8.4 million for the three months ended September 30, 2023, and 2022, respectively.</w:t>
      </w:r>
    </w:p>
    <w:p>
      <w:pPr>
        <w:spacing w:after="0" w:line="173" w:lineRule="exact"/>
        <w:rPr>
          <w:sz w:val="20"/>
          <w:szCs w:val="20"/>
          <w:color w:val="auto"/>
        </w:rPr>
      </w:pPr>
    </w:p>
    <w:p>
      <w:pPr>
        <w:ind w:right="260" w:firstLine="622"/>
        <w:spacing w:after="0" w:line="261"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Interest and dividends expense increased $70.8 million or 114.2% to $132.8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compared to $62.0 million for the three months ended September 30, 2022. This increase was primarily attributable to higher interest expense incurred on cash collateral received as part of securities lending transactions and higher financing costs with respect to trading assets driven by higher interest rates, and higher dividend expense with respect to securities sold, not yet purchased. As indicated above, rather than analyzing interest and dividends expense in isolation, we evaluate it in the broader context of our Adjusted Net Trading Income.</w:t>
      </w:r>
    </w:p>
    <w:p>
      <w:pPr>
        <w:spacing w:after="0" w:line="192" w:lineRule="exact"/>
        <w:rPr>
          <w:sz w:val="20"/>
          <w:szCs w:val="20"/>
          <w:color w:val="auto"/>
        </w:rPr>
      </w:pPr>
    </w:p>
    <w:p>
      <w:pPr>
        <w:ind w:right="360" w:firstLine="622"/>
        <w:spacing w:after="0" w:line="253"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$8.1 million or 56.6% to $22.4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2023, compared to $14.3 million for the three months ended September 30, 2022. This increase was primarily driven by favorable foreign exchange rate movements in the prior year period.</w:t>
      </w:r>
    </w:p>
    <w:p>
      <w:pPr>
        <w:spacing w:after="0" w:line="212" w:lineRule="exact"/>
        <w:rPr>
          <w:sz w:val="20"/>
          <w:szCs w:val="20"/>
          <w:color w:val="auto"/>
        </w:rPr>
      </w:pPr>
    </w:p>
    <w:p>
      <w:pPr>
        <w:ind w:right="160" w:firstLine="622"/>
        <w:spacing w:after="0" w:line="26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decreased $0.9 million, or 5.4% to $15.8 million for the three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2023, compared to $16.7 million for the three months ended September 30, 2022. The decrease is driven primarily by decreased depreciation on computer equipment and amortization of capitalized software compared to the prior period.</w:t>
      </w:r>
    </w:p>
    <w:p>
      <w:pPr>
        <w:spacing w:after="0" w:line="198" w:lineRule="exact"/>
        <w:rPr>
          <w:sz w:val="20"/>
          <w:szCs w:val="20"/>
          <w:color w:val="auto"/>
        </w:rPr>
      </w:pPr>
    </w:p>
    <w:p>
      <w:pPr>
        <w:ind w:right="340" w:firstLine="622"/>
        <w:spacing w:after="0" w:line="284"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$0.1 million, or 0.6%, to $16.0 million for the three months ended September 30, 2023,</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compared to $16.1 million for the three months ended September 30, 2022. This decrease was due to certain intangible assets being fully amortized during 2022.</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 xml:space="preserve">Termination of office leases. </w:t>
      </w:r>
      <w:r>
        <w:rPr>
          <w:rFonts w:ascii="Arial" w:cs="Arial" w:eastAsia="Arial" w:hAnsi="Arial"/>
          <w:sz w:val="15"/>
          <w:szCs w:val="15"/>
          <w:color w:val="auto"/>
        </w:rPr>
        <w:t>Termination of office leases was $0.4 million for the three months ended September 30, 2023, and September 30, 2022.</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These expenses are related to the impairment of lease right-of-use assets, leasehold improvements and fixed assets for certain abandoned or vacated office space.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significant lease terminations in either period.</w:t>
      </w:r>
    </w:p>
    <w:p>
      <w:pPr>
        <w:spacing w:after="0" w:line="233" w:lineRule="exact"/>
        <w:rPr>
          <w:sz w:val="20"/>
          <w:szCs w:val="20"/>
          <w:color w:val="auto"/>
        </w:rPr>
      </w:pPr>
    </w:p>
    <w:p>
      <w:pPr>
        <w:ind w:firstLine="622"/>
        <w:spacing w:after="0" w:line="286" w:lineRule="auto"/>
        <w:rPr>
          <w:sz w:val="20"/>
          <w:szCs w:val="20"/>
          <w:color w:val="auto"/>
        </w:rPr>
      </w:pPr>
      <w:r>
        <w:rPr>
          <w:rFonts w:ascii="Arial" w:cs="Arial" w:eastAsia="Arial" w:hAnsi="Arial"/>
          <w:sz w:val="16"/>
          <w:szCs w:val="16"/>
          <w:b w:val="1"/>
          <w:bCs w:val="1"/>
          <w:i w:val="1"/>
          <w:iCs w:val="1"/>
          <w:color w:val="auto"/>
        </w:rPr>
        <w:t xml:space="preserve">Debt issue cost related to debt refinancing, prepayment and commitment fees. </w:t>
      </w:r>
      <w:r>
        <w:rPr>
          <w:rFonts w:ascii="Arial" w:cs="Arial" w:eastAsia="Arial" w:hAnsi="Arial"/>
          <w:sz w:val="16"/>
          <w:szCs w:val="16"/>
          <w:color w:val="auto"/>
        </w:rPr>
        <w:t>Expense from debt issue cost related to debt refinancing, prepayment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commitment fees increased to $1.8 million for the three months ended September 30, 2023, compared to $1.4 million for the three months ended September 30, 2022. The increase was primarily driven by costs incurred related to amending VAL's credit facility. Refer to Note 8 "Borrowings" in Part I Item 1 “Financial Statements” of this Quarterly Report on Form 10-Q for more details on our borrowing arrangements.</w:t>
      </w:r>
    </w:p>
    <w:p>
      <w:pPr>
        <w:spacing w:after="0" w:line="186" w:lineRule="exact"/>
        <w:rPr>
          <w:sz w:val="20"/>
          <w:szCs w:val="20"/>
          <w:color w:val="auto"/>
        </w:rPr>
      </w:pPr>
    </w:p>
    <w:p>
      <w:pPr>
        <w:ind w:right="320" w:firstLine="622"/>
        <w:spacing w:after="0" w:line="268"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were insignificant for both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and September 30, 2022. These expenses are primarily incurred in relation to our strategic investment portfolio.</w:t>
      </w:r>
    </w:p>
    <w:p>
      <w:pPr>
        <w:spacing w:after="0" w:line="199" w:lineRule="exact"/>
        <w:rPr>
          <w:sz w:val="20"/>
          <w:szCs w:val="20"/>
          <w:color w:val="auto"/>
        </w:rPr>
      </w:pPr>
    </w:p>
    <w:p>
      <w:pPr>
        <w:ind w:firstLine="622"/>
        <w:spacing w:after="0" w:line="269"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on long-term borrowings increased $1.9 million or 8.1% to $25.4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September 30, 2023, compared to $23.5 million for the three months ended September 30, 2022.The increase was attributable to the effect of higher interest rates applied on our outstanding principal.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45" w:lineRule="exact"/>
        <w:rPr>
          <w:sz w:val="20"/>
          <w:szCs w:val="20"/>
          <w:color w:val="auto"/>
        </w:rPr>
      </w:pPr>
    </w:p>
    <w:p>
      <w:pPr>
        <w:ind w:right="80" w:firstLine="622"/>
        <w:spacing w:after="0" w:line="264"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$20.5 million and 14.9% for the three months ended September 30, 2023, compared to $21.7 million and 21.4% for the three months ended September 30, 2022.</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2023 Compared to Nine Months Ended September 30, 2022</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45" w:lineRule="exact"/>
        <w:rPr>
          <w:sz w:val="20"/>
          <w:szCs w:val="20"/>
          <w:color w:val="auto"/>
        </w:rPr>
      </w:pPr>
    </w:p>
    <w:p>
      <w:pPr>
        <w:ind w:firstLine="622"/>
        <w:spacing w:after="0" w:line="262" w:lineRule="auto"/>
        <w:rPr>
          <w:sz w:val="20"/>
          <w:szCs w:val="20"/>
          <w:color w:val="auto"/>
        </w:rPr>
      </w:pPr>
      <w:r>
        <w:rPr>
          <w:rFonts w:ascii="Arial" w:cs="Arial" w:eastAsia="Arial" w:hAnsi="Arial"/>
          <w:sz w:val="17"/>
          <w:szCs w:val="17"/>
          <w:color w:val="auto"/>
        </w:rPr>
        <w:t>Our total revenues decreased $109.6 million, or 5.9%, to $1,757.4 million for the nine months ended September 30, 2023, compared to $1,867.0 million for the nine months ended September 30, 2022. This decrease was primarily attributable to a decrease of $280.8 million in Trading income, net, during the nine months ended September 30, 2023 compared to the prior period, partially offset by an increase of $212.5 million in Interest and dividends income, which is largely driven by the level of trading assets held over periods when dividends are paid, and the levels of stock borrowing and trading asset financing during the nine months ended September 30, 2023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866" w:right="439" w:bottom="1440" w:gutter="0" w:footer="0" w:header="0"/>
        </w:sectPr>
      </w:pPr>
    </w:p>
    <w:bookmarkStart w:id="67" w:name="page68"/>
    <w:bookmarkEnd w:id="67"/>
    <w:p>
      <w:pPr>
        <w:ind w:left="620"/>
        <w:spacing w:after="0"/>
        <w:rPr>
          <w:sz w:val="20"/>
          <w:szCs w:val="20"/>
          <w:color w:val="auto"/>
        </w:rPr>
      </w:pPr>
      <w:r>
        <w:rPr>
          <w:rFonts w:ascii="Arial" w:cs="Arial" w:eastAsia="Arial" w:hAnsi="Arial"/>
          <w:sz w:val="17"/>
          <w:szCs w:val="17"/>
          <w:color w:val="auto"/>
        </w:rPr>
        <w:t>The following table shows the total revenues by segment for the nine months ended September 30, 2023 and 2022.</w:t>
      </w: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gridSpan w:val="6"/>
          </w:tcPr>
          <w:p>
            <w:pPr>
              <w:ind w:left="1140"/>
              <w:spacing w:after="0"/>
              <w:rPr>
                <w:sz w:val="20"/>
                <w:szCs w:val="20"/>
                <w:color w:val="auto"/>
              </w:rPr>
            </w:pPr>
            <w:r>
              <w:rPr>
                <w:rFonts w:ascii="Arial" w:cs="Arial" w:eastAsia="Arial" w:hAnsi="Arial"/>
                <w:sz w:val="14"/>
                <w:szCs w:val="14"/>
                <w:b w:val="1"/>
                <w:bCs w:val="1"/>
                <w:color w:val="auto"/>
                <w:w w:val="97"/>
              </w:rPr>
              <w:t>Nine Months Ended September 30,</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94"/>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1,021,179</w:t>
            </w:r>
          </w:p>
        </w:tc>
        <w:tc>
          <w:tcPr>
            <w:tcW w:w="10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1,299,117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color w:val="auto"/>
                <w:w w:val="93"/>
              </w:rPr>
              <w:t>(21.4)%</w:t>
            </w:r>
          </w:p>
        </w:tc>
        <w:tc>
          <w:tcPr>
            <w:tcW w:w="0" w:type="dxa"/>
            <w:vAlign w:val="bottom"/>
          </w:tcPr>
          <w:p>
            <w:pPr>
              <w:spacing w:after="0"/>
              <w:rPr>
                <w:sz w:val="1"/>
                <w:szCs w:val="1"/>
                <w:color w:val="auto"/>
              </w:rPr>
            </w:pPr>
          </w:p>
        </w:tc>
      </w:tr>
      <w:tr>
        <w:trPr>
          <w:trHeight w:val="204"/>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300,086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95,221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88"/>
              </w:rPr>
              <w:t>215.1%</w:t>
            </w:r>
          </w:p>
        </w:tc>
        <w:tc>
          <w:tcPr>
            <w:tcW w:w="0" w:type="dxa"/>
            <w:vAlign w:val="bottom"/>
          </w:tcPr>
          <w:p>
            <w:pPr>
              <w:spacing w:after="0"/>
              <w:rPr>
                <w:sz w:val="1"/>
                <w:szCs w:val="1"/>
                <w:color w:val="auto"/>
              </w:rPr>
            </w:pPr>
          </w:p>
        </w:tc>
      </w:tr>
      <w:tr>
        <w:trPr>
          <w:trHeight w:val="185"/>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22,677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30,881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color w:val="auto"/>
                <w:w w:val="93"/>
              </w:rPr>
              <w:t>(26.6)%</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77,580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4"/>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1,421,522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1,427,044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color w:val="auto"/>
                <w:w w:val="92"/>
              </w:rPr>
              <w:t>(0.4)%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13,585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(17.7)</w:t>
            </w:r>
          </w:p>
        </w:tc>
        <w:tc>
          <w:tcPr>
            <w:tcW w:w="0" w:type="dxa"/>
            <w:vAlign w:val="bottom"/>
          </w:tcPr>
          <w:p>
            <w:pPr>
              <w:spacing w:after="0"/>
              <w:rPr>
                <w:sz w:val="1"/>
                <w:szCs w:val="1"/>
                <w:color w:val="auto"/>
              </w:rPr>
            </w:pPr>
          </w:p>
        </w:tc>
      </w:tr>
      <w:tr>
        <w:trPr>
          <w:trHeight w:val="185"/>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7,830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4"/>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318,546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3"/>
              </w:rPr>
              <w:t>(16.4)%</w:t>
            </w:r>
          </w:p>
        </w:tc>
        <w:tc>
          <w:tcPr>
            <w:tcW w:w="0" w:type="dxa"/>
            <w:vAlign w:val="bottom"/>
          </w:tcPr>
          <w:p>
            <w:pPr>
              <w:spacing w:after="0"/>
              <w:rPr>
                <w:sz w:val="1"/>
                <w:szCs w:val="1"/>
                <w:color w:val="auto"/>
              </w:rPr>
            </w:pPr>
          </w:p>
        </w:tc>
      </w:tr>
      <w:tr>
        <w:trPr>
          <w:trHeight w:val="187"/>
        </w:trPr>
        <w:tc>
          <w:tcPr>
            <w:tcW w:w="4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center"/>
              <w:ind w:right="231"/>
              <w:spacing w:after="0"/>
              <w:rPr>
                <w:sz w:val="20"/>
                <w:szCs w:val="20"/>
                <w:color w:val="auto"/>
              </w:rPr>
            </w:pPr>
            <w:r>
              <w:rPr>
                <w:rFonts w:ascii="Arial" w:cs="Arial" w:eastAsia="Arial" w:hAnsi="Arial"/>
                <w:sz w:val="14"/>
                <w:szCs w:val="14"/>
                <w:color w:val="auto"/>
                <w:w w:val="90"/>
              </w:rPr>
              <w:t>(98)%</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340,045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402,340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right="231"/>
              <w:spacing w:after="0"/>
              <w:rPr>
                <w:sz w:val="20"/>
                <w:szCs w:val="20"/>
                <w:color w:val="auto"/>
              </w:rPr>
            </w:pPr>
            <w:r>
              <w:rPr>
                <w:rFonts w:ascii="Arial" w:cs="Arial" w:eastAsia="Arial" w:hAnsi="Arial"/>
                <w:sz w:val="14"/>
                <w:szCs w:val="14"/>
                <w:color w:val="auto"/>
                <w:w w:val="93"/>
              </w:rPr>
              <w:t>(15.5)%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37,660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center"/>
              <w:ind w:right="23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37,660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right="23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1,034,764</w:t>
            </w:r>
          </w:p>
        </w:tc>
        <w:tc>
          <w:tcPr>
            <w:tcW w:w="100" w:type="dxa"/>
            <w:vAlign w:val="bottom"/>
          </w:tcPr>
          <w:p>
            <w:pPr>
              <w:spacing w:after="0"/>
              <w:rPr>
                <w:sz w:val="16"/>
                <w:szCs w:val="16"/>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1,315,618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color w:val="auto"/>
                <w:w w:val="93"/>
              </w:rPr>
              <w:t>(21.3)%</w:t>
            </w:r>
          </w:p>
        </w:tc>
        <w:tc>
          <w:tcPr>
            <w:tcW w:w="0" w:type="dxa"/>
            <w:vAlign w:val="bottom"/>
          </w:tcPr>
          <w:p>
            <w:pPr>
              <w:spacing w:after="0"/>
              <w:rPr>
                <w:sz w:val="1"/>
                <w:szCs w:val="1"/>
                <w:color w:val="auto"/>
              </w:rPr>
            </w:pPr>
          </w:p>
        </w:tc>
      </w:tr>
      <w:tr>
        <w:trPr>
          <w:trHeight w:val="204"/>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307,916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88"/>
              </w:rPr>
              <w:t>222.6%</w:t>
            </w:r>
          </w:p>
        </w:tc>
        <w:tc>
          <w:tcPr>
            <w:tcW w:w="0" w:type="dxa"/>
            <w:vAlign w:val="bottom"/>
          </w:tcPr>
          <w:p>
            <w:pPr>
              <w:spacing w:after="0"/>
              <w:rPr>
                <w:sz w:val="1"/>
                <w:szCs w:val="1"/>
                <w:color w:val="auto"/>
              </w:rPr>
            </w:pPr>
          </w:p>
        </w:tc>
      </w:tr>
      <w:tr>
        <w:trPr>
          <w:trHeight w:val="185"/>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341,223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411,981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color w:val="auto"/>
                <w:w w:val="93"/>
              </w:rPr>
              <w:t>(17.2)%</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73,493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w w:val="90"/>
              </w:rPr>
              <w:t>67.0%</w:t>
            </w:r>
          </w:p>
        </w:tc>
        <w:tc>
          <w:tcPr>
            <w:tcW w:w="0" w:type="dxa"/>
            <w:vAlign w:val="bottom"/>
          </w:tcPr>
          <w:p>
            <w:pPr>
              <w:spacing w:after="0"/>
              <w:rPr>
                <w:sz w:val="1"/>
                <w:szCs w:val="1"/>
                <w:color w:val="auto"/>
              </w:rPr>
            </w:pPr>
          </w:p>
        </w:tc>
      </w:tr>
      <w:tr>
        <w:trPr>
          <w:trHeight w:val="194"/>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1,757,396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1,867,044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231"/>
              <w:spacing w:after="0"/>
              <w:rPr>
                <w:sz w:val="20"/>
                <w:szCs w:val="20"/>
                <w:color w:val="auto"/>
              </w:rPr>
            </w:pPr>
            <w:r>
              <w:rPr>
                <w:rFonts w:ascii="Arial" w:cs="Arial" w:eastAsia="Arial" w:hAnsi="Arial"/>
                <w:sz w:val="14"/>
                <w:szCs w:val="14"/>
                <w:color w:val="auto"/>
                <w:w w:val="92"/>
              </w:rPr>
              <w:t>(5.9)%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right="60" w:firstLine="622"/>
        <w:spacing w:after="0" w:line="263"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decreased $280.8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21.3%, to $1,034.8 million for the nine months ended September 30, 2023, compared to $1,315.6 million for the nine months ended September 30, 2022. The decrease was largely a result of the decreased opportunity in our customer market making trading as a result of lower spread opportunity and decreased quality of the order flow with which we interact.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203" w:lineRule="exact"/>
        <w:rPr>
          <w:sz w:val="20"/>
          <w:szCs w:val="20"/>
          <w:color w:val="auto"/>
        </w:rPr>
      </w:pPr>
    </w:p>
    <w:p>
      <w:pPr>
        <w:ind w:right="220" w:firstLine="622"/>
        <w:spacing w:after="0" w:line="260"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$212.5 million, or 222.7%, to $307.9 million for the nine months ended September 30, 2023, compared to $95.4 million for the nine months ended September 30, 2022. This increase was primarily attributable to an increase in interest income earned on cash collateral posted as part of securities borrowed transactions, and higher dividends earned on market making trading assets held over periods when dividends are paid, both of which benefited from higher interest rates for the period compared to the prior period. As indicated above, rather than analyzing interest and dividends income in isolation, we evaluate it in the broader context of our Adjusted Net Trading Income.</w:t>
      </w:r>
    </w:p>
    <w:p>
      <w:pPr>
        <w:spacing w:after="0" w:line="194" w:lineRule="exact"/>
        <w:rPr>
          <w:sz w:val="20"/>
          <w:szCs w:val="20"/>
          <w:color w:val="auto"/>
        </w:rPr>
      </w:pPr>
    </w:p>
    <w:p>
      <w:pPr>
        <w:ind w:right="360" w:firstLine="622"/>
        <w:spacing w:after="0" w:line="282" w:lineRule="auto"/>
        <w:rPr>
          <w:sz w:val="20"/>
          <w:szCs w:val="20"/>
          <w:color w:val="auto"/>
        </w:rPr>
      </w:pPr>
      <w:r>
        <w:rPr>
          <w:rFonts w:ascii="Arial" w:cs="Arial" w:eastAsia="Arial" w:hAnsi="Arial"/>
          <w:sz w:val="15"/>
          <w:szCs w:val="15"/>
          <w:b w:val="1"/>
          <w:bCs w:val="1"/>
          <w:i w:val="1"/>
          <w:iCs w:val="1"/>
          <w:color w:val="auto"/>
        </w:rPr>
        <w:t xml:space="preserve">Commissions, net and technology services. </w:t>
      </w:r>
      <w:r>
        <w:rPr>
          <w:rFonts w:ascii="Arial" w:cs="Arial" w:eastAsia="Arial" w:hAnsi="Arial"/>
          <w:sz w:val="15"/>
          <w:szCs w:val="15"/>
          <w:color w:val="auto"/>
        </w:rPr>
        <w:t>Commissions, net and technology services revenues were primarily earned by our Execution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 Commissions, net and technology services revenues decreased $70.8 million, or 17.2%, to $341.2 million for the nine months ended September 30, 2023, compared to $412.0 million for the nine months ended September 30, 2022. This decrease was driven by the reduction of institutional investors</w:t>
      </w:r>
    </w:p>
    <w:p>
      <w:pPr>
        <w:spacing w:after="0" w:line="1"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commissions available, and declining institutional engagement, both of which result in lower commission income. As indicated above, rather than analyzing commission income in isolation, we evaluate it in the broader context of our Adjusted Net Trading Income.</w:t>
      </w:r>
    </w:p>
    <w:p>
      <w:pPr>
        <w:spacing w:after="0" w:line="199"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increased $29.5 million, or 67.0%, to $73.5 million for the nine months ended September 30, 2023, compared to $44.0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September 30, 2022. The income for the nine months ended September 30, 2023 primarily related to gains on settlement fund recoveries in which we are eligible to participate based on our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68" w:name="page69"/>
    <w:bookmarkEnd w:id="68"/>
    <w:p>
      <w:pPr>
        <w:ind w:right="660"/>
        <w:spacing w:after="0" w:line="284" w:lineRule="auto"/>
        <w:rPr>
          <w:sz w:val="20"/>
          <w:szCs w:val="20"/>
          <w:color w:val="auto"/>
        </w:rPr>
      </w:pPr>
      <w:r>
        <w:rPr>
          <w:rFonts w:ascii="Arial" w:cs="Arial" w:eastAsia="Arial" w:hAnsi="Arial"/>
          <w:sz w:val="17"/>
          <w:szCs w:val="17"/>
          <w:color w:val="auto"/>
        </w:rPr>
        <w:t>transactions in the applicable products. The income in 2022 was primarily due to gains recognized from sales of investments in our strategic investments portfolio.</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45" w:lineRule="exact"/>
        <w:rPr>
          <w:sz w:val="20"/>
          <w:szCs w:val="20"/>
          <w:color w:val="auto"/>
        </w:rPr>
      </w:pPr>
    </w:p>
    <w:p>
      <w:pPr>
        <w:ind w:firstLine="622"/>
        <w:spacing w:after="0" w:line="277" w:lineRule="auto"/>
        <w:rPr>
          <w:sz w:val="20"/>
          <w:szCs w:val="20"/>
          <w:color w:val="auto"/>
        </w:rPr>
      </w:pPr>
      <w:r>
        <w:rPr>
          <w:rFonts w:ascii="Arial" w:cs="Arial" w:eastAsia="Arial" w:hAnsi="Arial"/>
          <w:sz w:val="16"/>
          <w:szCs w:val="16"/>
          <w:color w:val="auto"/>
        </w:rPr>
        <w:t>Adjusted Net Trading Income, which is a non-GAAP measure, decreased $243.8 million, or 20.4%, to $949.8 million for the nine months ended September 30, 2023, compared to $1,193.6 million for the nine months ended September 30, 2022. This decrease was primarily attributable to lower Trading income, net as noted above, partially offset by an increase in Interest and dividends income, as described above, and lower Brokerage, exchange, clearance fees and payments for order flow, net as described below. Adjusted Net Trading Income per day decreased $1.2 million, or 19.0%, to $5.1 million for the nine months ended September 30, 2023, compared to $6.3 million for the nine months ended September 30, 2022. The number of trading days was 187 days for the nine months ended September 30, 2023, compared to 188 days for the nine months ended September 30, 2022.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45" w:lineRule="exact"/>
        <w:rPr>
          <w:sz w:val="20"/>
          <w:szCs w:val="20"/>
          <w:color w:val="auto"/>
        </w:rPr>
      </w:pPr>
    </w:p>
    <w:p>
      <w:pPr>
        <w:ind w:right="80" w:firstLine="622"/>
        <w:spacing w:after="0" w:line="321" w:lineRule="auto"/>
        <w:rPr>
          <w:sz w:val="20"/>
          <w:szCs w:val="20"/>
          <w:color w:val="auto"/>
        </w:rPr>
      </w:pPr>
      <w:r>
        <w:rPr>
          <w:rFonts w:ascii="Arial" w:cs="Arial" w:eastAsia="Arial" w:hAnsi="Arial"/>
          <w:sz w:val="15"/>
          <w:szCs w:val="15"/>
          <w:color w:val="auto"/>
        </w:rPr>
        <w:t>Our operating expenses increased $99.2 million, or 7.3%, to $1,449.1 million for the nine months ended September 30, 2023, compared to $1,349.9 million for the nine months ended September 30, 2022. The increase was primarily driven by increased in Interest and dividends expense, offset in part, by lower Brokerage, exchange, clearance fees and payments for order flow, net, and lower Debt issue cost related to debt refinancing, prepayment and commitment fees.</w:t>
      </w:r>
    </w:p>
    <w:p>
      <w:pPr>
        <w:spacing w:after="0" w:line="151" w:lineRule="exact"/>
        <w:rPr>
          <w:sz w:val="20"/>
          <w:szCs w:val="20"/>
          <w:color w:val="auto"/>
        </w:rPr>
      </w:pPr>
    </w:p>
    <w:p>
      <w:pPr>
        <w:ind w:right="340" w:firstLine="622"/>
        <w:spacing w:after="0" w:line="269"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$85.0 million, or 17.8%, to $391.2 million for the nine months ended September 30, 2023, compared to $476.2 million for the nine months ended September 30, 2022. These costs vary period to period based upon the level and composition of our trading activities. We evaluate this category, representing direct costs associated with transacting our business, in the broader context of our Adjusted Net Trading Income.</w:t>
      </w:r>
    </w:p>
    <w:p>
      <w:pPr>
        <w:spacing w:after="0" w:line="199" w:lineRule="exact"/>
        <w:rPr>
          <w:sz w:val="20"/>
          <w:szCs w:val="20"/>
          <w:color w:val="auto"/>
        </w:rPr>
      </w:pPr>
    </w:p>
    <w:p>
      <w:pPr>
        <w:ind w:right="440" w:firstLine="622"/>
        <w:spacing w:after="0" w:line="321" w:lineRule="auto"/>
        <w:rPr>
          <w:sz w:val="20"/>
          <w:szCs w:val="20"/>
          <w:color w:val="auto"/>
        </w:rPr>
      </w:pPr>
      <w:r>
        <w:rPr>
          <w:rFonts w:ascii="Arial" w:cs="Arial" w:eastAsia="Arial" w:hAnsi="Arial"/>
          <w:sz w:val="15"/>
          <w:szCs w:val="15"/>
          <w:b w:val="1"/>
          <w:bCs w:val="1"/>
          <w:i w:val="1"/>
          <w:iCs w:val="1"/>
          <w:color w:val="auto"/>
        </w:rPr>
        <w:t xml:space="preserve">Communication and data processing. </w:t>
      </w:r>
      <w:r>
        <w:rPr>
          <w:rFonts w:ascii="Arial" w:cs="Arial" w:eastAsia="Arial" w:hAnsi="Arial"/>
          <w:sz w:val="15"/>
          <w:szCs w:val="15"/>
          <w:color w:val="auto"/>
        </w:rPr>
        <w:t>Communication and data processing expense increased $6.4 million, or 3.9%, to $170.8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2023, compared to $164.4 million for the nine months ended September 30, 2022. This increase was primarily attributable to increased connectivity spending on colocation, access ports and gateways, and microwave communication networks maintained by our joint ventures.</w:t>
      </w:r>
    </w:p>
    <w:p>
      <w:pPr>
        <w:spacing w:after="0" w:line="164" w:lineRule="exact"/>
        <w:rPr>
          <w:sz w:val="20"/>
          <w:szCs w:val="20"/>
          <w:color w:val="auto"/>
        </w:rPr>
      </w:pPr>
    </w:p>
    <w:p>
      <w:pPr>
        <w:ind w:right="80" w:firstLine="622"/>
        <w:spacing w:after="0" w:line="286"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decreased $9.1 million, or 3.0%, to $296.2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2023, compared to $305.3 million for the nine months ended September 30, 2022. The decrease in compensation levels was primarily attributable to a decrease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86" w:lineRule="exact"/>
        <w:rPr>
          <w:sz w:val="20"/>
          <w:szCs w:val="20"/>
          <w:color w:val="auto"/>
        </w:rPr>
      </w:pPr>
    </w:p>
    <w:p>
      <w:pPr>
        <w:ind w:right="40" w:firstLine="622"/>
        <w:spacing w:after="0" w:line="284" w:lineRule="auto"/>
        <w:rPr>
          <w:sz w:val="20"/>
          <w:szCs w:val="20"/>
          <w:color w:val="auto"/>
        </w:rPr>
      </w:pPr>
      <w:r>
        <w:rPr>
          <w:rFonts w:ascii="Arial" w:cs="Arial" w:eastAsia="Arial" w:hAnsi="Arial"/>
          <w:sz w:val="17"/>
          <w:szCs w:val="17"/>
          <w:color w:val="auto"/>
        </w:rPr>
        <w:t>We have capitalized and therefore excluded employee compensation and benefits related to software development of $29.5 million and $25.1 million for the nine months ended September 30, 2023 and 2022, respectively.</w:t>
      </w:r>
    </w:p>
    <w:p>
      <w:pPr>
        <w:spacing w:after="0" w:line="173" w:lineRule="exact"/>
        <w:rPr>
          <w:sz w:val="20"/>
          <w:szCs w:val="20"/>
          <w:color w:val="auto"/>
        </w:rPr>
      </w:pPr>
    </w:p>
    <w:p>
      <w:pPr>
        <w:ind w:right="160" w:firstLine="622"/>
        <w:spacing w:after="0" w:line="261"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Interest and dividends expense increased $189.7 million, or 123.8%, to $342.9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compared to $153.2 million for the nine months ended September 30, 2022. This increase was primarily attributable to higher interest expense incurred on cash collateral received driven by higher interest rates, as well as an increase in securities lending transactions and higher dividend expense with respect to securities sold, not yet purchased for the period compared to the same period during the prior year. As indicated above, rather than analyzing interest and dividends expense in isolation, we generally evaluate it in the broader context of our Adjusted Net Trading Income.</w:t>
      </w:r>
    </w:p>
    <w:p>
      <w:pPr>
        <w:spacing w:after="0" w:line="192" w:lineRule="exact"/>
        <w:rPr>
          <w:sz w:val="20"/>
          <w:szCs w:val="20"/>
          <w:color w:val="auto"/>
        </w:rPr>
      </w:pPr>
    </w:p>
    <w:p>
      <w:pPr>
        <w:jc w:val="both"/>
        <w:ind w:right="240" w:firstLine="622"/>
        <w:spacing w:after="0" w:line="253"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$19.1 million, or 36.0%, to $72.2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2023, compared to $53.1 million for the nine months ended September 30, 2022. The increase was primarily driven by the beneficial effect of a strong U.S. dollar on foreign exchange translation gains during the prior year period.</w:t>
      </w:r>
    </w:p>
    <w:p>
      <w:pPr>
        <w:spacing w:after="0" w:line="212" w:lineRule="exact"/>
        <w:rPr>
          <w:sz w:val="20"/>
          <w:szCs w:val="20"/>
          <w:color w:val="auto"/>
        </w:rPr>
      </w:pPr>
    </w:p>
    <w:p>
      <w:pPr>
        <w:ind w:right="160" w:firstLine="622"/>
        <w:spacing w:after="0" w:line="26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decreased $3.4 million, or 6.7%, to $47.1 million for the nine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2023, compared to $50.5 million for the nine months ended September 30, 2022. This decrease is driven primarily by decreased depreciation of computer equipment, and amortization of capitalized software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69" w:name="page70"/>
    <w:bookmarkEnd w:id="69"/>
    <w:p>
      <w:pPr>
        <w:ind w:firstLine="622"/>
        <w:spacing w:after="0" w:line="269"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$0.8 million, or 1.6%, to $48.0 million for the nine months ended September 30, 2023, compared to $48.8 million for the nine months ended September 30, 2022. This decrease was primarily attributable to certain intangible assets being fully amortized in 2022.</w:t>
      </w:r>
    </w:p>
    <w:p>
      <w:pPr>
        <w:spacing w:after="0" w:line="198" w:lineRule="exact"/>
        <w:rPr>
          <w:sz w:val="20"/>
          <w:szCs w:val="20"/>
          <w:color w:val="auto"/>
        </w:rPr>
      </w:pPr>
    </w:p>
    <w:p>
      <w:pPr>
        <w:jc w:val="both"/>
        <w:ind w:right="60" w:firstLine="622"/>
        <w:spacing w:after="0" w:line="269"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was $0.3 million for the nine months ended September 30, 2023, compared to $1.7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September 30, 2022. These expenses in the prior period are related to the impairment of lease right-of-use assets, leasehold improvements and fixed assets for certain abandoned or vacated office space.</w:t>
      </w:r>
    </w:p>
    <w:p>
      <w:pPr>
        <w:spacing w:after="0" w:line="198" w:lineRule="exact"/>
        <w:rPr>
          <w:sz w:val="20"/>
          <w:szCs w:val="20"/>
          <w:color w:val="auto"/>
        </w:rPr>
      </w:pPr>
    </w:p>
    <w:p>
      <w:pPr>
        <w:ind w:right="80" w:firstLine="622"/>
        <w:spacing w:after="0" w:line="310" w:lineRule="auto"/>
        <w:rPr>
          <w:sz w:val="20"/>
          <w:szCs w:val="20"/>
          <w:color w:val="auto"/>
        </w:rPr>
      </w:pPr>
      <w:r>
        <w:rPr>
          <w:rFonts w:ascii="Arial" w:cs="Arial" w:eastAsia="Arial" w:hAnsi="Arial"/>
          <w:sz w:val="15"/>
          <w:szCs w:val="15"/>
          <w:b w:val="1"/>
          <w:bCs w:val="1"/>
          <w:i w:val="1"/>
          <w:iCs w:val="1"/>
          <w:color w:val="auto"/>
        </w:rPr>
        <w:t xml:space="preserve">Debt issue cost related to debt refinancing, prepayment and commitment fees. </w:t>
      </w:r>
      <w:r>
        <w:rPr>
          <w:rFonts w:ascii="Arial" w:cs="Arial" w:eastAsia="Arial" w:hAnsi="Arial"/>
          <w:sz w:val="15"/>
          <w:szCs w:val="15"/>
          <w:color w:val="auto"/>
        </w:rPr>
        <w:t>Expense from debt issue cost related to debt refinancing, prepayment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commitment fees decreased $22.8 million, or 80.0%, to $5.7 million for the nine months ended September 30, 2023, compared to $28.5 million for the nine months ended September 30, 2022. The decrease was primarily driven by the acceleration of deferred debt issuance costs as a result of refinancing our long-term debt transaction in January 2022. See Note 8 "Borrowings" of Part I Item 1 “Financial Statements” of this Quarterly Report on Form 10-Q for additional details.</w:t>
      </w:r>
    </w:p>
    <w:p>
      <w:pPr>
        <w:spacing w:after="0" w:line="172" w:lineRule="exact"/>
        <w:rPr>
          <w:sz w:val="20"/>
          <w:szCs w:val="20"/>
          <w:color w:val="auto"/>
        </w:rPr>
      </w:pPr>
    </w:p>
    <w:p>
      <w:pPr>
        <w:ind w:right="20" w:firstLine="622"/>
        <w:spacing w:after="0" w:line="354" w:lineRule="auto"/>
        <w:rPr>
          <w:sz w:val="20"/>
          <w:szCs w:val="20"/>
          <w:color w:val="auto"/>
        </w:rPr>
      </w:pPr>
      <w:r>
        <w:rPr>
          <w:rFonts w:ascii="Arial" w:cs="Arial" w:eastAsia="Arial" w:hAnsi="Arial"/>
          <w:sz w:val="15"/>
          <w:szCs w:val="15"/>
          <w:b w:val="1"/>
          <w:bCs w:val="1"/>
          <w:i w:val="1"/>
          <w:iCs w:val="1"/>
          <w:color w:val="auto"/>
        </w:rPr>
        <w:t xml:space="preserve">Transaction advisory fees and expenses. </w:t>
      </w:r>
      <w:r>
        <w:rPr>
          <w:rFonts w:ascii="Arial" w:cs="Arial" w:eastAsia="Arial" w:hAnsi="Arial"/>
          <w:sz w:val="15"/>
          <w:szCs w:val="15"/>
          <w:color w:val="auto"/>
        </w:rPr>
        <w:t>Transaction advisory fees and expenses were immaterial for the nine months ended September 30, 2023,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$1.1 million for the nine months ended September 30, 2022. These expenses were primarily incurred in relation to our strategic investment portfolio.</w:t>
      </w:r>
    </w:p>
    <w:p>
      <w:pPr>
        <w:spacing w:after="0" w:line="139" w:lineRule="exact"/>
        <w:rPr>
          <w:sz w:val="20"/>
          <w:szCs w:val="20"/>
          <w:color w:val="auto"/>
        </w:rPr>
      </w:pPr>
    </w:p>
    <w:p>
      <w:pPr>
        <w:ind w:right="100" w:firstLine="622"/>
        <w:spacing w:after="0" w:line="264" w:lineRule="auto"/>
        <w:rPr>
          <w:sz w:val="20"/>
          <w:szCs w:val="20"/>
          <w:color w:val="auto"/>
        </w:rPr>
      </w:pPr>
      <w:r>
        <w:rPr>
          <w:rFonts w:ascii="Arial" w:cs="Arial" w:eastAsia="Arial" w:hAnsi="Arial"/>
          <w:sz w:val="17"/>
          <w:szCs w:val="17"/>
          <w:b w:val="1"/>
          <w:bCs w:val="1"/>
          <w:i w:val="1"/>
          <w:iCs w:val="1"/>
          <w:color w:val="auto"/>
        </w:rPr>
        <w:t xml:space="preserve">Financing interest expense on long term borrowings. </w:t>
      </w:r>
      <w:r>
        <w:rPr>
          <w:rFonts w:ascii="Arial" w:cs="Arial" w:eastAsia="Arial" w:hAnsi="Arial"/>
          <w:sz w:val="17"/>
          <w:szCs w:val="17"/>
          <w:color w:val="auto"/>
        </w:rPr>
        <w:t>Financing interest expense on long-term borrowings increased $7.6 million, or 11.4%, to $74.5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September 30, 2023, compared to $66.9 million for the nine months ended September 30, 2022. This increase was attributable to the increase in outstanding principal as a result of refinancing our long-term debt in January 2022, as described in further detail below, and the effect of higher interest rates.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45" w:lineRule="exact"/>
        <w:rPr>
          <w:sz w:val="20"/>
          <w:szCs w:val="20"/>
          <w:color w:val="auto"/>
        </w:rPr>
      </w:pPr>
    </w:p>
    <w:p>
      <w:pPr>
        <w:ind w:right="160" w:firstLine="622"/>
        <w:spacing w:after="0" w:line="264"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$51.1 million and 16.6% for the nine months ended September 30, 2023, compared to a provision for income taxes and effective tax rate of $88.4 million and 17.1% for the nine months ended September 30, 2022.</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5" w:lineRule="exact"/>
        <w:rPr>
          <w:sz w:val="20"/>
          <w:szCs w:val="20"/>
          <w:color w:val="auto"/>
        </w:rPr>
      </w:pPr>
    </w:p>
    <w:p>
      <w:pPr>
        <w:ind w:right="100" w:firstLine="622"/>
        <w:spacing w:after="0" w:line="264" w:lineRule="auto"/>
        <w:rPr>
          <w:sz w:val="20"/>
          <w:szCs w:val="20"/>
          <w:color w:val="auto"/>
        </w:rPr>
      </w:pPr>
      <w:r>
        <w:rPr>
          <w:rFonts w:ascii="Arial" w:cs="Arial" w:eastAsia="Arial" w:hAnsi="Arial"/>
          <w:sz w:val="17"/>
          <w:szCs w:val="17"/>
          <w:color w:val="auto"/>
        </w:rPr>
        <w:t>As of September 30, 2023, we had $688.8 million in Cash and cash equivalents. This balance is maintained primarily to support operating activities, for capital expenditures and for short-term access to liquidity, and for other general corporate purposes. As of September 30, 2023, we had borrowings under our prime brokerage credit facilities of approximately $93.6 million, borrowings under our broker dealer facilities of $100.0 million, and long-term debt outstanding in an aggregate principal amount of approximately $1,805.4 million.</w:t>
      </w:r>
    </w:p>
    <w:p>
      <w:pPr>
        <w:spacing w:after="0" w:line="203" w:lineRule="exact"/>
        <w:rPr>
          <w:sz w:val="20"/>
          <w:szCs w:val="20"/>
          <w:color w:val="auto"/>
        </w:rPr>
      </w:pPr>
    </w:p>
    <w:p>
      <w:pPr>
        <w:ind w:firstLine="622"/>
        <w:spacing w:after="0" w:line="299" w:lineRule="auto"/>
        <w:rPr>
          <w:sz w:val="20"/>
          <w:szCs w:val="20"/>
          <w:color w:val="auto"/>
        </w:rPr>
      </w:pPr>
      <w:r>
        <w:rPr>
          <w:rFonts w:ascii="Arial" w:cs="Arial" w:eastAsia="Arial" w:hAnsi="Arial"/>
          <w:sz w:val="15"/>
          <w:szCs w:val="15"/>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8 "Borrowings" of Part I Item 1 “Financial Statements”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Liquidity and Capital Resources</w:t>
      </w:r>
    </w:p>
    <w:p>
      <w:pPr>
        <w:spacing w:after="0" w:line="245" w:lineRule="exact"/>
        <w:rPr>
          <w:sz w:val="20"/>
          <w:szCs w:val="20"/>
          <w:color w:val="auto"/>
        </w:rPr>
      </w:pPr>
    </w:p>
    <w:p>
      <w:pPr>
        <w:ind w:firstLine="622"/>
        <w:spacing w:after="0" w:line="284"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70" w:name="page71"/>
    <w:bookmarkEnd w:id="70"/>
    <w:p>
      <w:pPr>
        <w:ind w:right="20"/>
        <w:spacing w:after="0" w:line="269" w:lineRule="auto"/>
        <w:rPr>
          <w:sz w:val="20"/>
          <w:szCs w:val="20"/>
          <w:color w:val="auto"/>
        </w:rPr>
      </w:pPr>
      <w:r>
        <w:rPr>
          <w:rFonts w:ascii="Arial" w:cs="Arial" w:eastAsia="Arial" w:hAnsi="Arial"/>
          <w:sz w:val="17"/>
          <w:szCs w:val="17"/>
          <w:color w:val="auto"/>
        </w:rPr>
        <w:t>needs for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198" w:lineRule="exact"/>
        <w:rPr>
          <w:sz w:val="20"/>
          <w:szCs w:val="20"/>
          <w:color w:val="auto"/>
        </w:rPr>
      </w:pPr>
    </w:p>
    <w:p>
      <w:pPr>
        <w:ind w:right="40" w:firstLine="622"/>
        <w:spacing w:after="0" w:line="264"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Liquidity and Capital Resources</w:t>
      </w:r>
    </w:p>
    <w:p>
      <w:pPr>
        <w:spacing w:after="0" w:line="245" w:lineRule="exact"/>
        <w:rPr>
          <w:sz w:val="20"/>
          <w:szCs w:val="20"/>
          <w:color w:val="auto"/>
        </w:rPr>
      </w:pPr>
    </w:p>
    <w:p>
      <w:pPr>
        <w:ind w:right="40" w:firstLine="622"/>
        <w:spacing w:after="0" w:line="269" w:lineRule="auto"/>
        <w:rPr>
          <w:sz w:val="20"/>
          <w:szCs w:val="20"/>
          <w:color w:val="auto"/>
        </w:rPr>
      </w:pPr>
      <w:r>
        <w:rPr>
          <w:rFonts w:ascii="Arial" w:cs="Arial" w:eastAsia="Arial" w:hAnsi="Arial"/>
          <w:sz w:val="17"/>
          <w:szCs w:val="17"/>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32" w:lineRule="exact"/>
        <w:rPr>
          <w:sz w:val="20"/>
          <w:szCs w:val="20"/>
          <w:color w:val="auto"/>
        </w:rPr>
      </w:pPr>
    </w:p>
    <w:p>
      <w:pPr>
        <w:ind w:firstLine="622"/>
        <w:spacing w:after="0" w:line="256" w:lineRule="auto"/>
        <w:rPr>
          <w:sz w:val="20"/>
          <w:szCs w:val="20"/>
          <w:color w:val="auto"/>
        </w:rPr>
      </w:pPr>
      <w:r>
        <w:rPr>
          <w:rFonts w:ascii="Arial" w:cs="Arial" w:eastAsia="Arial" w:hAnsi="Arial"/>
          <w:sz w:val="16"/>
          <w:szCs w:val="16"/>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 Item 1 “Financial Statements” of this Quarterly Report on Form 10-Q are expected to range from approximately $36.4 thousand to $22.0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$21.3 million in March 2022, and $23.3 million in April 2023. Future payments under the tax receivable agreements in respect of subsequent exchanges would be in addition to these amounts. We currently expect to fund these payments from realized cash tax savings from the favorable tax attributes.</w:t>
      </w:r>
    </w:p>
    <w:p>
      <w:pPr>
        <w:spacing w:after="0" w:line="214" w:lineRule="exact"/>
        <w:rPr>
          <w:sz w:val="20"/>
          <w:szCs w:val="20"/>
          <w:color w:val="auto"/>
        </w:rPr>
      </w:pPr>
    </w:p>
    <w:p>
      <w:pPr>
        <w:ind w:right="40" w:firstLine="622"/>
        <w:spacing w:after="0" w:line="279" w:lineRule="auto"/>
        <w:rPr>
          <w:sz w:val="20"/>
          <w:szCs w:val="20"/>
          <w:color w:val="auto"/>
        </w:rPr>
      </w:pPr>
      <w:r>
        <w:rPr>
          <w:rFonts w:ascii="Arial" w:cs="Arial" w:eastAsia="Arial" w:hAnsi="Arial"/>
          <w:sz w:val="16"/>
          <w:szCs w:val="16"/>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45" w:lineRule="exact"/>
        <w:rPr>
          <w:sz w:val="20"/>
          <w:szCs w:val="20"/>
          <w:color w:val="auto"/>
        </w:rPr>
      </w:pPr>
    </w:p>
    <w:p>
      <w:pPr>
        <w:ind w:right="60" w:firstLine="622"/>
        <w:spacing w:after="0" w:line="264" w:lineRule="auto"/>
        <w:rPr>
          <w:sz w:val="20"/>
          <w:szCs w:val="20"/>
          <w:color w:val="auto"/>
        </w:rPr>
      </w:pPr>
      <w:r>
        <w:rPr>
          <w:rFonts w:ascii="Arial" w:cs="Arial" w:eastAsia="Arial" w:hAnsi="Arial"/>
          <w:sz w:val="17"/>
          <w:szCs w:val="17"/>
          <w:color w:val="auto"/>
        </w:rPr>
        <w:t>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became a registered U.S. broker-dealer and as such is subject to regulation and capital requirements from its primary regulators, the SEC and FINRA.</w:t>
      </w:r>
    </w:p>
    <w:p>
      <w:pPr>
        <w:spacing w:after="0" w:line="203" w:lineRule="exact"/>
        <w:rPr>
          <w:sz w:val="20"/>
          <w:szCs w:val="20"/>
          <w:color w:val="auto"/>
        </w:rPr>
      </w:pPr>
    </w:p>
    <w:p>
      <w:pPr>
        <w:ind w:right="60" w:firstLine="622"/>
        <w:spacing w:after="0" w:line="260"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rules set forth by NYSE and is required to maintain a certain level of capital in connection with the operation of its designated market maker business.</w:t>
      </w:r>
    </w:p>
    <w:p>
      <w:pPr>
        <w:spacing w:after="0" w:line="232" w:lineRule="exact"/>
        <w:rPr>
          <w:sz w:val="20"/>
          <w:szCs w:val="20"/>
          <w:color w:val="auto"/>
        </w:rPr>
      </w:pPr>
    </w:p>
    <w:p>
      <w:pPr>
        <w:ind w:right="100" w:firstLine="622"/>
        <w:spacing w:after="0" w:line="256" w:lineRule="auto"/>
        <w:rPr>
          <w:sz w:val="20"/>
          <w:szCs w:val="20"/>
          <w:color w:val="auto"/>
        </w:rPr>
      </w:pPr>
      <w:r>
        <w:rPr>
          <w:rFonts w:ascii="Arial" w:cs="Arial" w:eastAsia="Arial" w:hAnsi="Arial"/>
          <w:sz w:val="16"/>
          <w:szCs w:val="16"/>
          <w:color w:val="auto"/>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spacing w:after="0" w:line="214" w:lineRule="exact"/>
        <w:rPr>
          <w:sz w:val="20"/>
          <w:szCs w:val="20"/>
          <w:color w:val="auto"/>
        </w:rPr>
      </w:pPr>
    </w:p>
    <w:p>
      <w:pPr>
        <w:ind w:right="340" w:firstLine="622"/>
        <w:spacing w:after="0" w:line="284" w:lineRule="auto"/>
        <w:rPr>
          <w:sz w:val="20"/>
          <w:szCs w:val="20"/>
          <w:color w:val="auto"/>
        </w:rPr>
      </w:pPr>
      <w:r>
        <w:rPr>
          <w:rFonts w:ascii="Arial" w:cs="Arial" w:eastAsia="Arial" w:hAnsi="Arial"/>
          <w:sz w:val="17"/>
          <w:szCs w:val="17"/>
          <w:color w:val="auto"/>
        </w:rPr>
        <w:t>See Note 19 "Regulatory Requirement" of Part I Item 1 “Financial Statements” of this Quarterly Report on Form 10-Q for a discussion of regulatory capital requirements of our regulated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 Dealer Credit Facilities, Short-Term Bank Loans, and Prime Brokerage Credit Facilities</w:t>
      </w:r>
    </w:p>
    <w:p>
      <w:pPr>
        <w:spacing w:after="0" w:line="245" w:lineRule="exact"/>
        <w:rPr>
          <w:sz w:val="20"/>
          <w:szCs w:val="20"/>
          <w:color w:val="auto"/>
        </w:rPr>
      </w:pPr>
    </w:p>
    <w:p>
      <w:pPr>
        <w:ind w:right="120" w:firstLine="622"/>
        <w:spacing w:after="0" w:line="260"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8 "Borrowings" of Part I Item 1 “Financial Statements” of this Quarterly Report on Form 10-Q for details on our various credit facilities. As of September 30, 2023, there was an outstanding principal balance on our broker-dealer facilities of $100.0 million, and the outstanding aggregate short-term credit facilities with various prime brokers and other financial institutions from which the Company receives execution or clearing services was approximately $93.6 million, which was netted within Receivables from broker-dealers and clearing organizations on the Condensed Consolidated Statements of Financial Condition of Part I Item 1 “Financial Statements” of this Quarterly Report on Form 10-Q.</w:t>
      </w:r>
    </w:p>
    <w:p>
      <w:pPr>
        <w:spacing w:after="0" w:line="207" w:lineRule="exact"/>
        <w:rPr>
          <w:sz w:val="20"/>
          <w:szCs w:val="20"/>
          <w:color w:val="auto"/>
        </w:rPr>
      </w:pPr>
    </w:p>
    <w:p>
      <w:pPr>
        <w:ind w:firstLine="622"/>
        <w:spacing w:after="0" w:line="279" w:lineRule="auto"/>
        <w:rPr>
          <w:sz w:val="20"/>
          <w:szCs w:val="20"/>
          <w:color w:val="auto"/>
        </w:rPr>
      </w:pPr>
      <w:r>
        <w:rPr>
          <w:rFonts w:ascii="Arial" w:cs="Arial" w:eastAsia="Arial" w:hAnsi="Arial"/>
          <w:sz w:val="16"/>
          <w:szCs w:val="16"/>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195" w:lineRule="exact"/>
        <w:rPr>
          <w:sz w:val="20"/>
          <w:szCs w:val="20"/>
          <w:color w:val="auto"/>
        </w:rPr>
      </w:pPr>
    </w:p>
    <w:p>
      <w:pPr>
        <w:ind w:right="80" w:firstLine="622"/>
        <w:spacing w:after="0" w:line="279" w:lineRule="auto"/>
        <w:rPr>
          <w:sz w:val="20"/>
          <w:szCs w:val="20"/>
          <w:color w:val="auto"/>
        </w:rPr>
      </w:pPr>
      <w:r>
        <w:rPr>
          <w:rFonts w:ascii="Arial" w:cs="Arial" w:eastAsia="Arial" w:hAnsi="Arial"/>
          <w:sz w:val="16"/>
          <w:szCs w:val="16"/>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and up to and including January 15, 2022 at a price of $22.98. The Warrant was exercised on December 17, 2021 for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32" w:lineRule="exact"/>
        <w:rPr>
          <w:sz w:val="20"/>
          <w:szCs w:val="20"/>
          <w:color w:val="auto"/>
        </w:rPr>
      </w:pPr>
    </w:p>
    <w:p>
      <w:pPr>
        <w:ind w:right="20" w:firstLine="622"/>
        <w:spacing w:after="0" w:line="284" w:lineRule="auto"/>
        <w:rPr>
          <w:sz w:val="20"/>
          <w:szCs w:val="20"/>
          <w:color w:val="auto"/>
        </w:rPr>
      </w:pPr>
      <w:r>
        <w:rPr>
          <w:rFonts w:ascii="Arial" w:cs="Arial" w:eastAsia="Arial" w:hAnsi="Arial"/>
          <w:sz w:val="15"/>
          <w:szCs w:val="15"/>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 Financial entered into</w:t>
      </w:r>
    </w:p>
    <w:p>
      <w:pPr>
        <w:spacing w:after="0" w:line="242" w:lineRule="auto"/>
        <w:rPr>
          <w:sz w:val="20"/>
          <w:szCs w:val="20"/>
          <w:color w:val="auto"/>
        </w:rPr>
      </w:pPr>
      <w:r>
        <w:rPr>
          <w:rFonts w:ascii="Arial" w:cs="Arial" w:eastAsia="Arial" w:hAnsi="Arial"/>
          <w:sz w:val="17"/>
          <w:szCs w:val="17"/>
          <w:color w:val="auto"/>
        </w:rPr>
        <w:t>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20" w:lineRule="exact"/>
        <w:rPr>
          <w:sz w:val="20"/>
          <w:szCs w:val="20"/>
          <w:color w:val="auto"/>
        </w:rPr>
      </w:pPr>
    </w:p>
    <w:p>
      <w:pPr>
        <w:ind w:right="60" w:firstLine="622"/>
        <w:spacing w:after="0" w:line="292" w:lineRule="auto"/>
        <w:rPr>
          <w:sz w:val="20"/>
          <w:szCs w:val="20"/>
          <w:color w:val="auto"/>
        </w:rPr>
      </w:pPr>
      <w:r>
        <w:rPr>
          <w:rFonts w:ascii="Arial" w:cs="Arial" w:eastAsia="Arial" w:hAnsi="Arial"/>
          <w:sz w:val="15"/>
          <w:szCs w:val="15"/>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w:t>
      </w:r>
    </w:p>
    <w:p>
      <w:pPr>
        <w:ind w:right="40" w:firstLine="4"/>
        <w:spacing w:after="0" w:line="262"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3" w:lineRule="exact"/>
        <w:rPr>
          <w:sz w:val="20"/>
          <w:szCs w:val="20"/>
          <w:color w:val="auto"/>
        </w:rPr>
      </w:pPr>
    </w:p>
    <w:p>
      <w:pPr>
        <w:ind w:firstLine="622"/>
        <w:spacing w:after="0" w:line="310" w:lineRule="auto"/>
        <w:rPr>
          <w:sz w:val="20"/>
          <w:szCs w:val="20"/>
          <w:color w:val="auto"/>
        </w:rPr>
      </w:pPr>
      <w:r>
        <w:rPr>
          <w:rFonts w:ascii="Arial" w:cs="Arial" w:eastAsia="Arial" w:hAnsi="Arial"/>
          <w:sz w:val="15"/>
          <w:szCs w:val="15"/>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72" w:lineRule="exact"/>
        <w:rPr>
          <w:sz w:val="20"/>
          <w:szCs w:val="20"/>
          <w:color w:val="auto"/>
        </w:rPr>
      </w:pPr>
    </w:p>
    <w:p>
      <w:pPr>
        <w:ind w:right="60" w:firstLine="622"/>
        <w:spacing w:after="0" w:line="321" w:lineRule="auto"/>
        <w:rPr>
          <w:sz w:val="20"/>
          <w:szCs w:val="20"/>
          <w:color w:val="auto"/>
        </w:rPr>
      </w:pPr>
      <w:r>
        <w:rPr>
          <w:rFonts w:ascii="Arial" w:cs="Arial" w:eastAsia="Arial" w:hAnsi="Arial"/>
          <w:sz w:val="15"/>
          <w:szCs w:val="15"/>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64" w:lineRule="exact"/>
        <w:rPr>
          <w:sz w:val="20"/>
          <w:szCs w:val="20"/>
          <w:color w:val="auto"/>
        </w:rPr>
      </w:pPr>
    </w:p>
    <w:p>
      <w:pPr>
        <w:jc w:val="both"/>
        <w:ind w:right="480" w:firstLine="622"/>
        <w:spacing w:after="0" w:line="321" w:lineRule="auto"/>
        <w:rPr>
          <w:sz w:val="20"/>
          <w:szCs w:val="20"/>
          <w:color w:val="auto"/>
        </w:rPr>
      </w:pPr>
      <w:r>
        <w:rPr>
          <w:rFonts w:ascii="Arial" w:cs="Arial" w:eastAsia="Arial" w:hAnsi="Arial"/>
          <w:sz w:val="15"/>
          <w:szCs w:val="15"/>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September 30, 2023, $1,782.0 million was outstanding under the term loans. We were in compliance with all applicable covenants under the Credit Agreement as of September 30, 2023.</w:t>
      </w:r>
    </w:p>
    <w:p>
      <w:pPr>
        <w:spacing w:after="0" w:line="164" w:lineRule="exact"/>
        <w:rPr>
          <w:sz w:val="20"/>
          <w:szCs w:val="20"/>
          <w:color w:val="auto"/>
        </w:rPr>
      </w:pPr>
    </w:p>
    <w:p>
      <w:pPr>
        <w:ind w:right="20" w:firstLine="622"/>
        <w:spacing w:after="0" w:line="275" w:lineRule="auto"/>
        <w:rPr>
          <w:sz w:val="20"/>
          <w:szCs w:val="20"/>
          <w:color w:val="auto"/>
        </w:rPr>
      </w:pPr>
      <w:r>
        <w:rPr>
          <w:rFonts w:ascii="Arial" w:cs="Arial" w:eastAsia="Arial" w:hAnsi="Arial"/>
          <w:sz w:val="16"/>
          <w:szCs w:val="16"/>
          <w:color w:val="auto"/>
        </w:rPr>
        <w:t>In October 2019, the Company entered into a five-year $525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45" w:lineRule="exact"/>
        <w:rPr>
          <w:sz w:val="20"/>
          <w:szCs w:val="20"/>
          <w:color w:val="auto"/>
        </w:rPr>
      </w:pPr>
    </w:p>
    <w:p>
      <w:pPr>
        <w:ind w:right="500" w:firstLine="622"/>
        <w:spacing w:after="0" w:line="284" w:lineRule="auto"/>
        <w:rPr>
          <w:sz w:val="20"/>
          <w:szCs w:val="20"/>
          <w:color w:val="auto"/>
        </w:rPr>
      </w:pPr>
      <w:r>
        <w:rPr>
          <w:rFonts w:ascii="Arial" w:cs="Arial" w:eastAsia="Arial" w:hAnsi="Arial"/>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summarizes our primary sources and uses of cash for the nine months ended September 30, 2023, and 2022.</w:t>
      </w:r>
    </w:p>
    <w:p>
      <w:pPr>
        <w:spacing w:after="0" w:line="274" w:lineRule="exact"/>
        <w:rPr>
          <w:sz w:val="20"/>
          <w:szCs w:val="20"/>
          <w:color w:val="auto"/>
        </w:rPr>
      </w:pPr>
    </w:p>
    <w:tbl>
      <w:tblPr>
        <w:tblLayout w:type="fixed"/>
        <w:tblInd w:w="1260" w:type="dxa"/>
        <w:tblCellMar>
          <w:top w:w="0" w:type="dxa"/>
          <w:left w:w="0" w:type="dxa"/>
          <w:bottom w:w="0" w:type="dxa"/>
          <w:right w:w="0" w:type="dxa"/>
        </w:tblCellMar>
      </w:tblPr>
      <w:tr>
        <w:trPr>
          <w:trHeight w:val="179"/>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6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5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143,691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290,462</w:t>
            </w:r>
          </w:p>
        </w:tc>
        <w:tc>
          <w:tcPr>
            <w:tcW w:w="0" w:type="dxa"/>
            <w:vAlign w:val="bottom"/>
          </w:tcPr>
          <w:p>
            <w:pPr>
              <w:spacing w:after="0"/>
              <w:rPr>
                <w:sz w:val="1"/>
                <w:szCs w:val="1"/>
                <w:color w:val="auto"/>
              </w:rPr>
            </w:pPr>
          </w:p>
        </w:tc>
      </w:tr>
      <w:tr>
        <w:trPr>
          <w:trHeight w:val="185"/>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(70,463)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(10,980)</w:t>
            </w:r>
          </w:p>
        </w:tc>
        <w:tc>
          <w:tcPr>
            <w:tcW w:w="0" w:type="dxa"/>
            <w:vAlign w:val="bottom"/>
          </w:tcPr>
          <w:p>
            <w:pPr>
              <w:spacing w:after="0"/>
              <w:rPr>
                <w:sz w:val="1"/>
                <w:szCs w:val="1"/>
                <w:color w:val="auto"/>
              </w:rPr>
            </w:pPr>
          </w:p>
        </w:tc>
      </w:tr>
      <w:tr>
        <w:trPr>
          <w:trHeight w:val="204"/>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(385,285)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(466,498)</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(43,490)</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decrease in cash and cash equivalents</w:t>
            </w: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(311,887)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(230,506)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32" w:lineRule="exact"/>
        <w:rPr>
          <w:sz w:val="20"/>
          <w:szCs w:val="20"/>
          <w:color w:val="auto"/>
        </w:rPr>
      </w:pPr>
    </w:p>
    <w:p>
      <w:pPr>
        <w:ind w:firstLine="622"/>
        <w:spacing w:after="0" w:line="277" w:lineRule="auto"/>
        <w:rPr>
          <w:sz w:val="20"/>
          <w:szCs w:val="20"/>
          <w:color w:val="auto"/>
        </w:rPr>
      </w:pPr>
      <w:r>
        <w:rPr>
          <w:rFonts w:ascii="Arial" w:cs="Arial" w:eastAsia="Arial" w:hAnsi="Arial"/>
          <w:sz w:val="16"/>
          <w:szCs w:val="16"/>
          <w:color w:val="auto"/>
        </w:rPr>
        <w:t>Net cash provided by operating activities was $143.7 million for the nine months ended September 30, 2023, compared to net cash provided by operating activities of $290.5 million for the nine months ended September 30, 2022. The change in net cash provided by operating activities was primarily attributable to lower net income, as well as decreases in noncash adjustments for the nine months ended September 30, 2023 compared to the prior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45" w:lineRule="exact"/>
        <w:rPr>
          <w:sz w:val="20"/>
          <w:szCs w:val="20"/>
          <w:color w:val="auto"/>
        </w:rPr>
      </w:pPr>
    </w:p>
    <w:p>
      <w:pPr>
        <w:ind w:right="220" w:firstLine="622"/>
        <w:spacing w:after="0" w:line="264" w:lineRule="auto"/>
        <w:rPr>
          <w:sz w:val="20"/>
          <w:szCs w:val="20"/>
          <w:color w:val="auto"/>
        </w:rPr>
      </w:pPr>
      <w:r>
        <w:rPr>
          <w:rFonts w:ascii="Arial" w:cs="Arial" w:eastAsia="Arial" w:hAnsi="Arial"/>
          <w:sz w:val="17"/>
          <w:szCs w:val="17"/>
          <w:color w:val="auto"/>
        </w:rPr>
        <w:t>Net cash used in investing activities, which includes cash used with respect to capitalized software and cash used in the acquisition of property and equipment, was $70.5 million for the nine months ended September 30, 2023, compared with net cash used in investing activities of $11.0 million for the nine months ended September 30, 2022. Net cash used in investing activities for the nine months ended September 30, 2022 included cash proceeds from the sale of strategic investments, partially offsetting cash uses in the prior period.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45" w:lineRule="exact"/>
        <w:rPr>
          <w:sz w:val="20"/>
          <w:szCs w:val="20"/>
          <w:color w:val="auto"/>
        </w:rPr>
      </w:pPr>
    </w:p>
    <w:p>
      <w:pPr>
        <w:ind w:right="60" w:firstLine="622"/>
        <w:spacing w:after="0" w:line="260" w:lineRule="auto"/>
        <w:rPr>
          <w:sz w:val="20"/>
          <w:szCs w:val="20"/>
          <w:color w:val="auto"/>
        </w:rPr>
      </w:pPr>
      <w:r>
        <w:rPr>
          <w:rFonts w:ascii="Arial" w:cs="Arial" w:eastAsia="Arial" w:hAnsi="Arial"/>
          <w:sz w:val="17"/>
          <w:szCs w:val="17"/>
          <w:color w:val="auto"/>
        </w:rPr>
        <w:t>Net cash used in financing activities was $385.3 million for the nine months ended September 30, 2023, compared to $466.5 million for the nine months ended September 30, 2022. The cash used in financing activities for the nine months ended September 30, 2023 was primarily attributable to $251.9 million in dividends to stockholders and distributions made to noncontrolling interests and $184.4 million in purchases of treasury stock. The cash used in financing activities of $466.5 million during the same period of 2022 primarily reflects $316.1 million net dividends to stockholders and distributions to noncontrolling interests, and $434.5 million purchase of treasury stock, partially offset by $164.4 million of net proceeds from long term borrowings, and an increase of $104.9 million in short-term borrowings.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45" w:lineRule="exact"/>
        <w:rPr>
          <w:sz w:val="20"/>
          <w:szCs w:val="20"/>
          <w:color w:val="auto"/>
        </w:rPr>
      </w:pPr>
    </w:p>
    <w:p>
      <w:pPr>
        <w:ind w:right="100" w:firstLine="622"/>
        <w:spacing w:after="0" w:line="264" w:lineRule="auto"/>
        <w:rPr>
          <w:sz w:val="20"/>
          <w:szCs w:val="20"/>
          <w:color w:val="auto"/>
        </w:rPr>
      </w:pPr>
      <w:r>
        <w:rPr>
          <w:rFonts w:ascii="Arial" w:cs="Arial" w:eastAsia="Arial" w:hAnsi="Arial"/>
          <w:sz w:val="17"/>
          <w:szCs w:val="17"/>
          <w:color w:val="auto"/>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May 4, 2021 to $470.0 million (and extended the duration through May 4, 2022), and on November 3, 2021 to $1,220.0 million (and extended the duration through November 3, 2023).</w:t>
      </w:r>
    </w:p>
    <w:p>
      <w:pPr>
        <w:spacing w:after="0" w:line="203" w:lineRule="exact"/>
        <w:rPr>
          <w:sz w:val="20"/>
          <w:szCs w:val="20"/>
          <w:color w:val="auto"/>
        </w:rPr>
      </w:pPr>
    </w:p>
    <w:p>
      <w:pPr>
        <w:ind w:right="80" w:firstLine="622"/>
        <w:spacing w:after="0" w:line="279" w:lineRule="auto"/>
        <w:rPr>
          <w:sz w:val="20"/>
          <w:szCs w:val="20"/>
          <w:color w:val="auto"/>
        </w:rPr>
      </w:pPr>
      <w:r>
        <w:rPr>
          <w:rFonts w:ascii="Arial" w:cs="Arial" w:eastAsia="Arial" w:hAnsi="Arial"/>
          <w:sz w:val="16"/>
          <w:szCs w:val="16"/>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2023, the Company repurchased approximately 41.2 million shares of Class A Common Stock and Virtu Financial Units for approximately $1,065.6 million. As of September 30, 2023, the Company has approximately of $154.4 million remaining capacity for future purchases of shares of Class A Common Stock and Virtu Financial Units under the program.</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1" w:lineRule="exact"/>
        <w:rPr>
          <w:sz w:val="20"/>
          <w:szCs w:val="20"/>
          <w:color w:val="auto"/>
        </w:rPr>
      </w:pPr>
    </w:p>
    <w:p>
      <w:pPr>
        <w:ind w:firstLine="622"/>
        <w:spacing w:after="0" w:line="26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204" w:lineRule="exact"/>
        <w:rPr>
          <w:sz w:val="20"/>
          <w:szCs w:val="20"/>
          <w:color w:val="auto"/>
        </w:rPr>
      </w:pPr>
    </w:p>
    <w:p>
      <w:pPr>
        <w:ind w:right="20" w:firstLine="622"/>
        <w:spacing w:after="0" w:line="262"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45" w:lineRule="exact"/>
        <w:rPr>
          <w:sz w:val="20"/>
          <w:szCs w:val="20"/>
          <w:color w:val="auto"/>
        </w:rPr>
      </w:pPr>
    </w:p>
    <w:p>
      <w:pPr>
        <w:ind w:right="120" w:firstLine="622"/>
        <w:spacing w:after="0" w:line="305"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75" w:lineRule="exact"/>
        <w:rPr>
          <w:sz w:val="20"/>
          <w:szCs w:val="20"/>
          <w:color w:val="auto"/>
        </w:rPr>
      </w:pPr>
    </w:p>
    <w:p>
      <w:pPr>
        <w:ind w:right="60" w:firstLine="622"/>
        <w:spacing w:after="0" w:line="269"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57" w:lineRule="exact"/>
        <w:rPr>
          <w:sz w:val="20"/>
          <w:szCs w:val="20"/>
          <w:color w:val="auto"/>
        </w:rPr>
      </w:pPr>
    </w:p>
    <w:p>
      <w:pPr>
        <w:ind w:right="520" w:firstLine="622"/>
        <w:spacing w:after="0" w:line="284"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32" w:lineRule="exact"/>
        <w:rPr>
          <w:sz w:val="20"/>
          <w:szCs w:val="20"/>
          <w:color w:val="auto"/>
        </w:rPr>
      </w:pPr>
    </w:p>
    <w:p>
      <w:pPr>
        <w:ind w:firstLine="622"/>
        <w:spacing w:after="0" w:line="263" w:lineRule="auto"/>
        <w:rPr>
          <w:sz w:val="20"/>
          <w:szCs w:val="20"/>
          <w:color w:val="auto"/>
        </w:rPr>
      </w:pPr>
      <w:r>
        <w:rPr>
          <w:rFonts w:ascii="Arial" w:cs="Arial" w:eastAsia="Arial" w:hAnsi="Arial"/>
          <w:sz w:val="16"/>
          <w:szCs w:val="16"/>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9 "Financial Assets and Liabilities" of Part I Item 1 “Financial Statements” of this Quarterly Report on Form 10-Q for further information about fair value measurements.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45" w:lineRule="exact"/>
        <w:rPr>
          <w:sz w:val="20"/>
          <w:szCs w:val="20"/>
          <w:color w:val="auto"/>
        </w:rPr>
      </w:pPr>
    </w:p>
    <w:p>
      <w:pPr>
        <w:ind w:right="220" w:firstLine="622"/>
        <w:spacing w:after="0" w:line="269"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75" w:name="page76"/>
    <w:bookmarkEnd w:id="75"/>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45" w:lineRule="exact"/>
        <w:rPr>
          <w:sz w:val="20"/>
          <w:szCs w:val="20"/>
          <w:color w:val="auto"/>
        </w:rPr>
      </w:pPr>
    </w:p>
    <w:p>
      <w:pPr>
        <w:ind w:right="300" w:firstLine="622"/>
        <w:spacing w:after="0" w:line="294" w:lineRule="auto"/>
        <w:rPr>
          <w:sz w:val="20"/>
          <w:szCs w:val="20"/>
          <w:color w:val="auto"/>
        </w:rPr>
      </w:pPr>
      <w:r>
        <w:rPr>
          <w:rFonts w:ascii="Arial" w:cs="Arial" w:eastAsia="Arial" w:hAnsi="Arial"/>
          <w:sz w:val="16"/>
          <w:szCs w:val="16"/>
          <w:color w:val="auto"/>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45" w:lineRule="exact"/>
        <w:rPr>
          <w:sz w:val="20"/>
          <w:szCs w:val="20"/>
          <w:color w:val="auto"/>
        </w:rPr>
      </w:pPr>
    </w:p>
    <w:p>
      <w:pPr>
        <w:ind w:firstLine="622"/>
        <w:spacing w:after="0" w:line="310" w:lineRule="auto"/>
        <w:rPr>
          <w:sz w:val="20"/>
          <w:szCs w:val="20"/>
          <w:color w:val="auto"/>
        </w:rPr>
      </w:pPr>
      <w:r>
        <w:rPr>
          <w:rFonts w:ascii="Arial" w:cs="Arial" w:eastAsia="Arial" w:hAnsi="Arial"/>
          <w:sz w:val="15"/>
          <w:szCs w:val="15"/>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172" w:lineRule="exact"/>
        <w:rPr>
          <w:sz w:val="20"/>
          <w:szCs w:val="20"/>
          <w:color w:val="auto"/>
        </w:rPr>
      </w:pPr>
    </w:p>
    <w:p>
      <w:pPr>
        <w:ind w:right="80" w:firstLine="622"/>
        <w:spacing w:after="0" w:line="284" w:lineRule="auto"/>
        <w:rPr>
          <w:sz w:val="20"/>
          <w:szCs w:val="20"/>
          <w:color w:val="auto"/>
        </w:rPr>
      </w:pPr>
      <w:r>
        <w:rPr>
          <w:rFonts w:ascii="Arial" w:cs="Arial" w:eastAsia="Arial" w:hAnsi="Arial"/>
          <w:sz w:val="17"/>
          <w:szCs w:val="17"/>
          <w:color w:val="auto"/>
        </w:rPr>
        <w:t>Workflow technology revenues consist of order and trade execution management and order routing services we provide through our front-end workflow solutions and network capabilities.</w:t>
      </w:r>
    </w:p>
    <w:p>
      <w:pPr>
        <w:spacing w:after="0" w:line="186" w:lineRule="exact"/>
        <w:rPr>
          <w:sz w:val="20"/>
          <w:szCs w:val="20"/>
          <w:color w:val="auto"/>
        </w:rPr>
      </w:pPr>
    </w:p>
    <w:p>
      <w:pPr>
        <w:ind w:right="100" w:firstLine="622"/>
        <w:spacing w:after="0" w:line="286"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86" w:lineRule="exact"/>
        <w:rPr>
          <w:sz w:val="20"/>
          <w:szCs w:val="20"/>
          <w:color w:val="auto"/>
        </w:rPr>
      </w:pPr>
    </w:p>
    <w:p>
      <w:pPr>
        <w:ind w:right="60" w:firstLine="622"/>
        <w:spacing w:after="0" w:line="317" w:lineRule="auto"/>
        <w:rPr>
          <w:sz w:val="20"/>
          <w:szCs w:val="20"/>
          <w:color w:val="auto"/>
        </w:rPr>
      </w:pPr>
      <w:r>
        <w:rPr>
          <w:rFonts w:ascii="Arial" w:cs="Arial" w:eastAsia="Arial" w:hAnsi="Arial"/>
          <w:sz w:val="16"/>
          <w:szCs w:val="16"/>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62" w:lineRule="exact"/>
        <w:rPr>
          <w:sz w:val="20"/>
          <w:szCs w:val="20"/>
          <w:color w:val="auto"/>
        </w:rPr>
      </w:pPr>
    </w:p>
    <w:p>
      <w:pPr>
        <w:ind w:right="20" w:firstLine="622"/>
        <w:spacing w:after="0" w:line="264" w:lineRule="auto"/>
        <w:rPr>
          <w:sz w:val="20"/>
          <w:szCs w:val="20"/>
          <w:color w:val="auto"/>
        </w:rPr>
      </w:pPr>
      <w:r>
        <w:rPr>
          <w:rFonts w:ascii="Arial" w:cs="Arial" w:eastAsia="Arial" w:hAnsi="Arial"/>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3" w:lineRule="exact"/>
        <w:rPr>
          <w:sz w:val="20"/>
          <w:szCs w:val="20"/>
          <w:color w:val="auto"/>
        </w:rPr>
      </w:pPr>
    </w:p>
    <w:p>
      <w:pPr>
        <w:ind w:firstLine="622"/>
        <w:spacing w:after="0" w:line="260"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7" w:lineRule="exact"/>
        <w:rPr>
          <w:sz w:val="20"/>
          <w:szCs w:val="20"/>
          <w:color w:val="auto"/>
        </w:rPr>
      </w:pPr>
    </w:p>
    <w:p>
      <w:pPr>
        <w:ind w:right="240" w:firstLine="622"/>
        <w:spacing w:after="0" w:line="269"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2" w:lineRule="exact"/>
        <w:rPr>
          <w:sz w:val="20"/>
          <w:szCs w:val="20"/>
          <w:color w:val="auto"/>
        </w:rPr>
      </w:pPr>
    </w:p>
    <w:p>
      <w:pPr>
        <w:ind w:left="1240" w:right="580" w:hanging="614"/>
        <w:spacing w:after="0" w:line="262" w:lineRule="auto"/>
        <w:tabs>
          <w:tab w:leader="none" w:pos="12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ind w:left="1240" w:right="640" w:hanging="614"/>
        <w:spacing w:after="0" w:line="269" w:lineRule="auto"/>
        <w:tabs>
          <w:tab w:leader="none" w:pos="1231"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98" w:lineRule="exact"/>
        <w:rPr>
          <w:sz w:val="20"/>
          <w:szCs w:val="20"/>
          <w:color w:val="auto"/>
        </w:rPr>
      </w:pPr>
    </w:p>
    <w:p>
      <w:pPr>
        <w:ind w:right="40" w:firstLine="622"/>
        <w:spacing w:after="0" w:line="269"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45" w:lineRule="exact"/>
        <w:rPr>
          <w:sz w:val="20"/>
          <w:szCs w:val="20"/>
          <w:color w:val="auto"/>
        </w:rPr>
      </w:pPr>
    </w:p>
    <w:p>
      <w:pPr>
        <w:ind w:firstLine="622"/>
        <w:spacing w:after="0" w:line="269"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8" w:lineRule="exact"/>
        <w:rPr>
          <w:sz w:val="20"/>
          <w:szCs w:val="20"/>
          <w:color w:val="auto"/>
        </w:rPr>
      </w:pPr>
    </w:p>
    <w:p>
      <w:pPr>
        <w:ind w:firstLine="622"/>
        <w:spacing w:after="0" w:line="295" w:lineRule="auto"/>
        <w:rPr>
          <w:sz w:val="20"/>
          <w:szCs w:val="20"/>
          <w:color w:val="auto"/>
        </w:rPr>
      </w:pPr>
      <w:r>
        <w:rPr>
          <w:rFonts w:ascii="Arial" w:cs="Arial" w:eastAsia="Arial" w:hAnsi="Arial"/>
          <w:sz w:val="15"/>
          <w:szCs w:val="15"/>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5" w:lineRule="exact"/>
        <w:rPr>
          <w:sz w:val="20"/>
          <w:szCs w:val="20"/>
          <w:color w:val="auto"/>
        </w:rPr>
      </w:pPr>
    </w:p>
    <w:p>
      <w:pPr>
        <w:ind w:right="380" w:firstLine="622"/>
        <w:spacing w:after="0" w:line="284"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6" w:lineRule="exact"/>
        <w:rPr>
          <w:sz w:val="20"/>
          <w:szCs w:val="20"/>
          <w:color w:val="auto"/>
        </w:rPr>
      </w:pPr>
    </w:p>
    <w:p>
      <w:pPr>
        <w:ind w:right="220" w:firstLine="622"/>
        <w:spacing w:after="0" w:line="294" w:lineRule="auto"/>
        <w:rPr>
          <w:sz w:val="20"/>
          <w:szCs w:val="20"/>
          <w:color w:val="auto"/>
        </w:rPr>
      </w:pPr>
      <w:r>
        <w:rPr>
          <w:rFonts w:ascii="Arial" w:cs="Arial" w:eastAsia="Arial" w:hAnsi="Arial"/>
          <w:sz w:val="16"/>
          <w:szCs w:val="16"/>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80" w:lineRule="exact"/>
        <w:rPr>
          <w:sz w:val="20"/>
          <w:szCs w:val="20"/>
          <w:color w:val="auto"/>
        </w:rPr>
      </w:pPr>
    </w:p>
    <w:p>
      <w:pPr>
        <w:ind w:right="40" w:firstLine="622"/>
        <w:spacing w:after="0" w:line="263" w:lineRule="auto"/>
        <w:rPr>
          <w:sz w:val="20"/>
          <w:szCs w:val="20"/>
          <w:color w:val="auto"/>
        </w:rPr>
      </w:pPr>
      <w:r>
        <w:rPr>
          <w:rFonts w:ascii="Arial" w:cs="Arial" w:eastAsia="Arial" w:hAnsi="Arial"/>
          <w:sz w:val="16"/>
          <w:szCs w:val="16"/>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45" w:lineRule="exact"/>
        <w:rPr>
          <w:sz w:val="20"/>
          <w:szCs w:val="20"/>
          <w:color w:val="auto"/>
        </w:rPr>
      </w:pPr>
    </w:p>
    <w:p>
      <w:pPr>
        <w:ind w:right="40" w:firstLine="622"/>
        <w:spacing w:after="0" w:line="275" w:lineRule="auto"/>
        <w:rPr>
          <w:sz w:val="20"/>
          <w:szCs w:val="20"/>
          <w:color w:val="auto"/>
        </w:rPr>
      </w:pPr>
      <w:r>
        <w:rPr>
          <w:rFonts w:ascii="Arial" w:cs="Arial" w:eastAsia="Arial" w:hAnsi="Arial"/>
          <w:sz w:val="16"/>
          <w:szCs w:val="16"/>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45" w:lineRule="exact"/>
        <w:rPr>
          <w:sz w:val="20"/>
          <w:szCs w:val="20"/>
          <w:color w:val="auto"/>
        </w:rPr>
      </w:pPr>
    </w:p>
    <w:p>
      <w:pPr>
        <w:jc w:val="both"/>
        <w:ind w:right="20" w:firstLine="622"/>
        <w:spacing w:after="0" w:line="321"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51" w:lineRule="exact"/>
        <w:rPr>
          <w:sz w:val="20"/>
          <w:szCs w:val="20"/>
          <w:color w:val="auto"/>
        </w:rPr>
      </w:pPr>
    </w:p>
    <w:p>
      <w:pPr>
        <w:jc w:val="both"/>
        <w:ind w:right="20" w:firstLine="622"/>
        <w:spacing w:after="0" w:line="238" w:lineRule="auto"/>
        <w:rPr>
          <w:sz w:val="20"/>
          <w:szCs w:val="20"/>
          <w:color w:val="auto"/>
        </w:rPr>
      </w:pPr>
      <w:r>
        <w:rPr>
          <w:rFonts w:ascii="Arial" w:cs="Arial" w:eastAsia="Arial" w:hAnsi="Arial"/>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An entity has an unconditional option to bypass this qualitative assessment for any reporting unit in any period and proceed directly to performing the first step of the goodwill impairment test. An entity may resume performing the qualitative assessment in any subsequent period.</w:t>
      </w:r>
    </w:p>
    <w:p>
      <w:pPr>
        <w:spacing w:after="0" w:line="197" w:lineRule="exact"/>
        <w:rPr>
          <w:sz w:val="20"/>
          <w:szCs w:val="20"/>
          <w:color w:val="auto"/>
        </w:rPr>
      </w:pPr>
    </w:p>
    <w:p>
      <w:pPr>
        <w:ind w:right="40" w:firstLine="622"/>
        <w:spacing w:after="0" w:line="245" w:lineRule="auto"/>
        <w:rPr>
          <w:sz w:val="20"/>
          <w:szCs w:val="20"/>
          <w:color w:val="auto"/>
        </w:rPr>
      </w:pPr>
      <w:r>
        <w:rPr>
          <w:rFonts w:ascii="Arial" w:cs="Arial" w:eastAsia="Arial" w:hAnsi="Arial"/>
          <w:sz w:val="17"/>
          <w:szCs w:val="17"/>
          <w:color w:val="auto"/>
        </w:rPr>
        <w:t>We assess goodwill for impairment on an annual basis as of July 1st and on an interim basis when certain events or circumstances exist. In the impairment assessment as of July 1, 2023, we performed a quantitative assessment as described above for each reporting unit and, the estimated fair value of each of the reporting units exceeded its respective carrying value, and therefore, goodwill was not impaired.</w:t>
      </w:r>
    </w:p>
    <w:p>
      <w:pPr>
        <w:spacing w:after="0" w:line="192" w:lineRule="exact"/>
        <w:rPr>
          <w:sz w:val="20"/>
          <w:szCs w:val="20"/>
          <w:color w:val="auto"/>
        </w:rPr>
      </w:pPr>
    </w:p>
    <w:p>
      <w:pPr>
        <w:ind w:right="200" w:firstLine="622"/>
        <w:spacing w:after="0" w:line="238" w:lineRule="auto"/>
        <w:rPr>
          <w:sz w:val="20"/>
          <w:szCs w:val="20"/>
          <w:color w:val="auto"/>
        </w:rPr>
      </w:pPr>
      <w:r>
        <w:rPr>
          <w:rFonts w:ascii="Arial" w:cs="Arial" w:eastAsia="Arial" w:hAnsi="Arial"/>
          <w:sz w:val="17"/>
          <w:szCs w:val="17"/>
          <w:color w:val="auto"/>
        </w:rPr>
        <w:t>The estimated fair value of each reporting unit was based on valuation techniques the firm believes market participants would use to value these reporting units, and allocated the enterprise value to each reporting unit based on an estimate of relative fair value for each reporting unit. The carrying value of each reporting unit reflects an allocation of total shareholders’ equity and represents the estimated amount of total shareholders’ equity required to support the activities of the applicable reporting unit under currently applicable regulatory capital requirements.</w:t>
      </w:r>
    </w:p>
    <w:p>
      <w:pPr>
        <w:spacing w:after="0" w:line="197" w:lineRule="exact"/>
        <w:rPr>
          <w:sz w:val="20"/>
          <w:szCs w:val="20"/>
          <w:color w:val="auto"/>
        </w:rPr>
      </w:pPr>
    </w:p>
    <w:p>
      <w:pPr>
        <w:ind w:right="20" w:firstLine="622"/>
        <w:spacing w:after="0" w:line="263" w:lineRule="auto"/>
        <w:rPr>
          <w:sz w:val="20"/>
          <w:szCs w:val="20"/>
          <w:color w:val="auto"/>
        </w:rPr>
      </w:pPr>
      <w:r>
        <w:rPr>
          <w:rFonts w:ascii="Arial" w:cs="Arial" w:eastAsia="Arial" w:hAnsi="Arial"/>
          <w:sz w:val="16"/>
          <w:szCs w:val="16"/>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years. Had we used a shorter estimated useful life of seven years, the Company would have recorded an additional $5.4 million and $16.3 million of amortization expense for the three and nine months ended September 30, 2023, and 2022, respectively. We test finite-lived intangible assets for impairment when impairment indicators are present, and if impaired, they are written down to fair value.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1" w:lineRule="exact"/>
        <w:rPr>
          <w:sz w:val="20"/>
          <w:szCs w:val="20"/>
          <w:color w:val="auto"/>
        </w:rPr>
      </w:pPr>
    </w:p>
    <w:p>
      <w:pPr>
        <w:ind w:firstLine="622"/>
        <w:spacing w:after="0" w:line="284"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1" w:lineRule="exact"/>
        <w:rPr>
          <w:sz w:val="20"/>
          <w:szCs w:val="20"/>
          <w:color w:val="auto"/>
        </w:rPr>
      </w:pPr>
    </w:p>
    <w:p>
      <w:pPr>
        <w:ind w:right="60" w:firstLine="622"/>
        <w:spacing w:after="0" w:line="284"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86" w:lineRule="exact"/>
        <w:rPr>
          <w:sz w:val="20"/>
          <w:szCs w:val="20"/>
          <w:color w:val="auto"/>
        </w:rPr>
      </w:pPr>
    </w:p>
    <w:p>
      <w:pPr>
        <w:ind w:firstLine="622"/>
        <w:spacing w:after="0" w:line="278" w:lineRule="auto"/>
        <w:rPr>
          <w:sz w:val="20"/>
          <w:szCs w:val="20"/>
          <w:color w:val="auto"/>
        </w:rPr>
      </w:pPr>
      <w:r>
        <w:rPr>
          <w:rFonts w:ascii="Arial" w:cs="Arial" w:eastAsia="Arial" w:hAnsi="Arial"/>
          <w:sz w:val="16"/>
          <w:szCs w:val="16"/>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Depository Receipts (“ADRs”), options, bonds, futures, spot currencies and commodities. Substantially all of the financial instruments we trade are liquid and can be liquidated within a short time frame at low cost.</w:t>
      </w:r>
    </w:p>
    <w:p>
      <w:pPr>
        <w:spacing w:after="0" w:line="194" w:lineRule="exact"/>
        <w:rPr>
          <w:sz w:val="20"/>
          <w:szCs w:val="20"/>
          <w:color w:val="auto"/>
        </w:rPr>
      </w:pPr>
    </w:p>
    <w:p>
      <w:pPr>
        <w:ind w:right="100" w:firstLine="622"/>
        <w:spacing w:after="0" w:line="269" w:lineRule="auto"/>
        <w:rPr>
          <w:sz w:val="20"/>
          <w:szCs w:val="20"/>
          <w:color w:val="auto"/>
        </w:rPr>
      </w:pPr>
      <w:r>
        <w:rPr>
          <w:rFonts w:ascii="Arial" w:cs="Arial" w:eastAsia="Arial" w:hAnsi="Arial"/>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8" w:lineRule="exact"/>
        <w:rPr>
          <w:sz w:val="20"/>
          <w:szCs w:val="20"/>
          <w:color w:val="auto"/>
        </w:rPr>
      </w:pPr>
    </w:p>
    <w:p>
      <w:pPr>
        <w:ind w:right="140" w:firstLine="622"/>
        <w:spacing w:after="0" w:line="269"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8" w:lineRule="exact"/>
        <w:rPr>
          <w:sz w:val="20"/>
          <w:szCs w:val="20"/>
          <w:color w:val="auto"/>
        </w:rPr>
      </w:pPr>
    </w:p>
    <w:p>
      <w:pPr>
        <w:ind w:right="20" w:firstLine="622"/>
        <w:spacing w:after="0" w:line="259" w:lineRule="auto"/>
        <w:rPr>
          <w:sz w:val="20"/>
          <w:szCs w:val="20"/>
          <w:color w:val="auto"/>
        </w:rPr>
      </w:pPr>
      <w:r>
        <w:rPr>
          <w:rFonts w:ascii="Arial" w:cs="Arial" w:eastAsia="Arial" w:hAnsi="Arial"/>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9" w:lineRule="exact"/>
        <w:rPr>
          <w:sz w:val="20"/>
          <w:szCs w:val="20"/>
          <w:color w:val="auto"/>
        </w:rPr>
      </w:pPr>
    </w:p>
    <w:p>
      <w:pPr>
        <w:ind w:firstLine="622"/>
        <w:spacing w:after="0" w:line="262"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September 30, 2023 and December 31, 2022 was $8.3 billion and $4.6 billion, respectively, in long positions and $7.9 billion and $4.2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204" w:lineRule="exact"/>
        <w:rPr>
          <w:sz w:val="20"/>
          <w:szCs w:val="20"/>
          <w:color w:val="auto"/>
        </w:rPr>
      </w:pPr>
    </w:p>
    <w:p>
      <w:pPr>
        <w:ind w:right="20" w:firstLine="622"/>
        <w:spacing w:after="0" w:line="264"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203" w:lineRule="exact"/>
        <w:rPr>
          <w:sz w:val="20"/>
          <w:szCs w:val="20"/>
          <w:color w:val="auto"/>
        </w:rPr>
      </w:pPr>
    </w:p>
    <w:p>
      <w:pPr>
        <w:ind w:right="220" w:firstLine="622"/>
        <w:spacing w:after="0" w:line="262"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67" w:right="37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251" w:lineRule="exact"/>
        <w:rPr>
          <w:sz w:val="20"/>
          <w:szCs w:val="20"/>
          <w:color w:val="auto"/>
        </w:rPr>
      </w:pPr>
    </w:p>
    <w:p>
      <w:pPr>
        <w:ind w:right="140" w:firstLine="622"/>
        <w:spacing w:after="0" w:line="282" w:lineRule="auto"/>
        <w:rPr>
          <w:sz w:val="20"/>
          <w:szCs w:val="20"/>
          <w:color w:val="auto"/>
        </w:rPr>
      </w:pPr>
      <w:r>
        <w:rPr>
          <w:rFonts w:ascii="Arial" w:cs="Arial" w:eastAsia="Arial" w:hAnsi="Arial"/>
          <w:sz w:val="16"/>
          <w:szCs w:val="16"/>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0" w:lineRule="exact"/>
        <w:rPr>
          <w:sz w:val="20"/>
          <w:szCs w:val="20"/>
          <w:color w:val="auto"/>
        </w:rPr>
      </w:pPr>
    </w:p>
    <w:p>
      <w:pPr>
        <w:ind w:right="40" w:firstLine="622"/>
        <w:spacing w:after="0" w:line="275" w:lineRule="auto"/>
        <w:rPr>
          <w:sz w:val="20"/>
          <w:szCs w:val="20"/>
          <w:color w:val="auto"/>
        </w:rPr>
      </w:pPr>
      <w:r>
        <w:rPr>
          <w:rFonts w:ascii="Arial" w:cs="Arial" w:eastAsia="Arial" w:hAnsi="Arial"/>
          <w:sz w:val="16"/>
          <w:szCs w:val="16"/>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0" w:lineRule="exact"/>
        <w:rPr>
          <w:sz w:val="20"/>
          <w:szCs w:val="20"/>
          <w:color w:val="auto"/>
        </w:rPr>
      </w:pPr>
    </w:p>
    <w:p>
      <w:pPr>
        <w:ind w:right="60" w:firstLine="622"/>
        <w:spacing w:after="0" w:line="282"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0" w:lineRule="exact"/>
        <w:rPr>
          <w:sz w:val="20"/>
          <w:szCs w:val="20"/>
          <w:color w:val="auto"/>
        </w:rPr>
      </w:pPr>
    </w:p>
    <w:p>
      <w:pPr>
        <w:ind w:right="380" w:firstLine="622"/>
        <w:spacing w:after="0" w:line="284" w:lineRule="auto"/>
        <w:rPr>
          <w:sz w:val="20"/>
          <w:szCs w:val="20"/>
          <w:color w:val="auto"/>
        </w:rPr>
      </w:pPr>
      <w:r>
        <w:rPr>
          <w:rFonts w:ascii="Arial" w:cs="Arial" w:eastAsia="Arial" w:hAnsi="Arial"/>
          <w:sz w:val="17"/>
          <w:szCs w:val="17"/>
          <w:i w:val="1"/>
          <w:iCs w:val="1"/>
          <w:color w:val="auto"/>
        </w:rPr>
        <w:t>Due from Broker-Dealers and Clearing Organizations</w:t>
      </w:r>
      <w:r>
        <w:rPr>
          <w:rFonts w:ascii="Arial" w:cs="Arial" w:eastAsia="Arial" w:hAnsi="Arial"/>
          <w:sz w:val="17"/>
          <w:szCs w:val="17"/>
          <w:color w:val="auto"/>
        </w:rPr>
        <w:t>. 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51" w:lineRule="exact"/>
        <w:rPr>
          <w:sz w:val="20"/>
          <w:szCs w:val="20"/>
          <w:color w:val="auto"/>
        </w:rPr>
      </w:pPr>
    </w:p>
    <w:p>
      <w:pPr>
        <w:ind w:firstLine="622"/>
        <w:spacing w:after="0" w:line="262" w:lineRule="auto"/>
        <w:rPr>
          <w:sz w:val="20"/>
          <w:szCs w:val="20"/>
          <w:color w:val="auto"/>
        </w:rPr>
      </w:pPr>
      <w:r>
        <w:rPr>
          <w:rFonts w:ascii="Arial" w:cs="Arial" w:eastAsia="Arial" w:hAnsi="Arial"/>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04" w:lineRule="exact"/>
        <w:rPr>
          <w:sz w:val="20"/>
          <w:szCs w:val="20"/>
          <w:color w:val="auto"/>
        </w:rPr>
      </w:pPr>
    </w:p>
    <w:p>
      <w:pPr>
        <w:ind w:right="60" w:firstLine="622"/>
        <w:spacing w:after="0" w:line="294" w:lineRule="auto"/>
        <w:rPr>
          <w:sz w:val="20"/>
          <w:szCs w:val="20"/>
          <w:color w:val="auto"/>
        </w:rPr>
      </w:pPr>
      <w:r>
        <w:rPr>
          <w:rFonts w:ascii="Arial" w:cs="Arial" w:eastAsia="Arial" w:hAnsi="Arial"/>
          <w:sz w:val="16"/>
          <w:szCs w:val="16"/>
          <w:color w:val="auto"/>
        </w:rPr>
        <w:t>Approximately 16.0% and 19.4% of our total revenues for the nine months ended September 30, 2023 and 2022, respectively, were denominated in non-U.S. dollar currencies. We estimate that a hypothetical 10% adverse change in the value of the U.S. dollar relative to our foreign denominated earnings would have resulted in decreases in total revenues of $28.2 million and $36.3 million for the nine months ended September 30, 2023 and 2022, respectively.</w:t>
      </w:r>
    </w:p>
    <w:p>
      <w:pPr>
        <w:spacing w:after="0" w:line="180" w:lineRule="exact"/>
        <w:rPr>
          <w:sz w:val="20"/>
          <w:szCs w:val="20"/>
          <w:color w:val="auto"/>
        </w:rPr>
      </w:pPr>
    </w:p>
    <w:p>
      <w:pPr>
        <w:ind w:right="120" w:firstLine="622"/>
        <w:spacing w:after="0" w:line="262"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51" w:lineRule="exact"/>
        <w:rPr>
          <w:sz w:val="20"/>
          <w:szCs w:val="20"/>
          <w:color w:val="auto"/>
        </w:rPr>
      </w:pPr>
    </w:p>
    <w:p>
      <w:pPr>
        <w:ind w:right="80" w:firstLine="622"/>
        <w:spacing w:after="0" w:line="264"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03" w:lineRule="exact"/>
        <w:rPr>
          <w:sz w:val="20"/>
          <w:szCs w:val="20"/>
          <w:color w:val="auto"/>
        </w:rPr>
      </w:pPr>
    </w:p>
    <w:p>
      <w:pPr>
        <w:ind w:right="100" w:firstLine="622"/>
        <w:spacing w:after="0" w:line="278"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1" w:lineRule="exact"/>
        <w:rPr>
          <w:sz w:val="20"/>
          <w:szCs w:val="20"/>
          <w:color w:val="auto"/>
        </w:rPr>
      </w:pPr>
    </w:p>
    <w:p>
      <w:pPr>
        <w:ind w:firstLine="622"/>
        <w:spacing w:after="0" w:line="259"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2023. Based upon that evaluation, our Chief Executive Officer and Chief Financial Officer concluded that, as of September 30, 2023,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ind w:right="220" w:firstLine="622"/>
        <w:spacing w:after="0" w:line="27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94" w:lineRule="exact"/>
        <w:rPr>
          <w:sz w:val="20"/>
          <w:szCs w:val="20"/>
          <w:color w:val="auto"/>
        </w:rPr>
      </w:pPr>
    </w:p>
    <w:p>
      <w:pPr>
        <w:ind w:right="80" w:firstLine="622"/>
        <w:spacing w:after="0" w:line="264"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51" w:lineRule="exact"/>
        <w:rPr>
          <w:sz w:val="20"/>
          <w:szCs w:val="20"/>
          <w:color w:val="auto"/>
        </w:rPr>
      </w:pPr>
    </w:p>
    <w:p>
      <w:pPr>
        <w:ind w:right="40" w:firstLine="622"/>
        <w:spacing w:after="0" w:line="284"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September 30, 2023 that has or is reasonably likely to materially affect, our internal control over financial reporting.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PART II</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1" w:lineRule="exact"/>
        <w:rPr>
          <w:sz w:val="20"/>
          <w:szCs w:val="20"/>
          <w:color w:val="auto"/>
        </w:rPr>
      </w:pPr>
    </w:p>
    <w:p>
      <w:pPr>
        <w:ind w:right="240" w:firstLine="622"/>
        <w:spacing w:after="0" w:line="317" w:lineRule="auto"/>
        <w:rPr>
          <w:sz w:val="20"/>
          <w:szCs w:val="20"/>
          <w:color w:val="auto"/>
        </w:rPr>
      </w:pPr>
      <w:r>
        <w:rPr>
          <w:rFonts w:ascii="Arial" w:cs="Arial" w:eastAsia="Arial" w:hAnsi="Arial"/>
          <w:sz w:val="16"/>
          <w:szCs w:val="16"/>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have been no material changes to the Risk Factors described in Part I Item 1A. “Risk Factors” in our 2022 Form 10-K.</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1" w:lineRule="exact"/>
        <w:rPr>
          <w:sz w:val="20"/>
          <w:szCs w:val="20"/>
          <w:color w:val="auto"/>
        </w:rPr>
      </w:pPr>
    </w:p>
    <w:p>
      <w:pPr>
        <w:ind w:right="200" w:firstLine="622"/>
        <w:spacing w:after="0" w:line="264"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share repurchases for the three months ended September 30, 2023 were as follows:</w:t>
      </w:r>
    </w:p>
    <w:p>
      <w:pPr>
        <w:sectPr>
          <w:pgSz w:w="11900" w:h="16838" w:orient="portrait"/>
          <w:cols w:equalWidth="0" w:num="1">
            <w:col w:w="11240"/>
          </w:cols>
          <w:pgMar w:left="320" w:top="8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860" w:type="dxa"/>
            <w:vAlign w:val="bottom"/>
          </w:tcPr>
          <w:p>
            <w:pPr>
              <w:jc w:val="center"/>
              <w:ind w:left="2251"/>
              <w:spacing w:after="0"/>
              <w:rPr>
                <w:sz w:val="20"/>
                <w:szCs w:val="20"/>
                <w:color w:val="auto"/>
              </w:rPr>
            </w:pPr>
            <w:r>
              <w:rPr>
                <w:rFonts w:ascii="Arial" w:cs="Arial" w:eastAsia="Arial" w:hAnsi="Arial"/>
                <w:sz w:val="14"/>
                <w:szCs w:val="14"/>
                <w:b w:val="1"/>
                <w:bCs w:val="1"/>
                <w:color w:val="auto"/>
                <w:w w:val="91"/>
              </w:rPr>
              <w:t>Total Number of</w:t>
            </w: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88"/>
              </w:rPr>
              <w:t>Average Price Paid</w:t>
            </w:r>
          </w:p>
        </w:tc>
        <w:tc>
          <w:tcPr>
            <w:tcW w:w="0" w:type="dxa"/>
            <w:vAlign w:val="bottom"/>
          </w:tcPr>
          <w:p>
            <w:pPr>
              <w:spacing w:after="0"/>
              <w:rPr>
                <w:sz w:val="1"/>
                <w:szCs w:val="1"/>
                <w:color w:val="auto"/>
              </w:rPr>
            </w:pPr>
          </w:p>
        </w:tc>
      </w:tr>
      <w:tr>
        <w:trPr>
          <w:trHeight w:val="179"/>
        </w:trPr>
        <w:tc>
          <w:tcPr>
            <w:tcW w:w="2840" w:type="dxa"/>
            <w:vAlign w:val="bottom"/>
            <w:vMerge w:val="continue"/>
          </w:tcPr>
          <w:p>
            <w:pPr>
              <w:spacing w:after="0"/>
              <w:rPr>
                <w:sz w:val="15"/>
                <w:szCs w:val="15"/>
                <w:color w:val="auto"/>
              </w:rPr>
            </w:pPr>
          </w:p>
        </w:tc>
        <w:tc>
          <w:tcPr>
            <w:tcW w:w="3860" w:type="dxa"/>
            <w:vAlign w:val="bottom"/>
          </w:tcPr>
          <w:p>
            <w:pPr>
              <w:jc w:val="center"/>
              <w:ind w:left="2251"/>
              <w:spacing w:after="0"/>
              <w:rPr>
                <w:sz w:val="20"/>
                <w:szCs w:val="20"/>
                <w:color w:val="auto"/>
              </w:rPr>
            </w:pPr>
            <w:r>
              <w:rPr>
                <w:rFonts w:ascii="Arial" w:cs="Arial" w:eastAsia="Arial" w:hAnsi="Arial"/>
                <w:sz w:val="14"/>
                <w:szCs w:val="14"/>
                <w:b w:val="1"/>
                <w:bCs w:val="1"/>
                <w:color w:val="auto"/>
                <w:w w:val="87"/>
              </w:rPr>
              <w:t>Shares Purchased (1)</w:t>
            </w: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88"/>
              </w:rPr>
              <w:t>Total Number of Shares</w:t>
            </w:r>
          </w:p>
        </w:tc>
        <w:tc>
          <w:tcPr>
            <w:tcW w:w="1440" w:type="dxa"/>
            <w:vAlign w:val="bottom"/>
          </w:tcPr>
          <w:p>
            <w:pPr>
              <w:jc w:val="center"/>
              <w:ind w:left="31"/>
              <w:spacing w:after="0"/>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39"/>
        </w:trPr>
        <w:tc>
          <w:tcPr>
            <w:tcW w:w="1500" w:type="dxa"/>
            <w:vAlign w:val="bottom"/>
            <w:vMerge w:val="continue"/>
          </w:tcPr>
          <w:p>
            <w:pPr>
              <w:spacing w:after="0"/>
              <w:rPr>
                <w:sz w:val="12"/>
                <w:szCs w:val="12"/>
                <w:color w:val="auto"/>
              </w:rPr>
            </w:pPr>
          </w:p>
        </w:tc>
        <w:tc>
          <w:tcPr>
            <w:tcW w:w="1440" w:type="dxa"/>
            <w:vAlign w:val="bottom"/>
          </w:tcPr>
          <w:p>
            <w:pPr>
              <w:jc w:val="center"/>
              <w:ind w:left="31"/>
              <w:spacing w:after="0" w:line="139"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30"/>
        </w:trPr>
        <w:tc>
          <w:tcPr>
            <w:tcW w:w="1500" w:type="dxa"/>
            <w:vAlign w:val="bottom"/>
          </w:tcPr>
          <w:p>
            <w:pPr>
              <w:jc w:val="center"/>
              <w:ind w:right="11"/>
              <w:spacing w:after="0" w:line="130" w:lineRule="exact"/>
              <w:rPr>
                <w:sz w:val="20"/>
                <w:szCs w:val="20"/>
                <w:color w:val="auto"/>
              </w:rPr>
            </w:pPr>
            <w:r>
              <w:rPr>
                <w:rFonts w:ascii="Arial" w:cs="Arial" w:eastAsia="Arial" w:hAnsi="Arial"/>
                <w:sz w:val="14"/>
                <w:szCs w:val="14"/>
                <w:b w:val="1"/>
                <w:bCs w:val="1"/>
                <w:color w:val="auto"/>
                <w:w w:val="87"/>
              </w:rPr>
              <w:t>Purchased as Part of</w:t>
            </w:r>
          </w:p>
        </w:tc>
        <w:tc>
          <w:tcPr>
            <w:tcW w:w="1440" w:type="dxa"/>
            <w:vAlign w:val="bottom"/>
          </w:tcPr>
          <w:p>
            <w:pPr>
              <w:jc w:val="center"/>
              <w:ind w:left="31"/>
              <w:spacing w:after="0" w:line="130" w:lineRule="exact"/>
              <w:rPr>
                <w:sz w:val="20"/>
                <w:szCs w:val="20"/>
                <w:color w:val="auto"/>
              </w:rPr>
            </w:pPr>
            <w:r>
              <w:rPr>
                <w:rFonts w:ascii="Arial" w:cs="Arial" w:eastAsia="Arial" w:hAnsi="Arial"/>
                <w:sz w:val="14"/>
                <w:szCs w:val="14"/>
                <w:b w:val="1"/>
                <w:bCs w:val="1"/>
                <w:color w:val="auto"/>
                <w:w w:val="89"/>
              </w:rPr>
              <w:t>May Yet Be Purchased</w:t>
            </w:r>
          </w:p>
        </w:tc>
        <w:tc>
          <w:tcPr>
            <w:tcW w:w="0" w:type="dxa"/>
            <w:vAlign w:val="bottom"/>
          </w:tcPr>
          <w:p>
            <w:pPr>
              <w:spacing w:after="0"/>
              <w:rPr>
                <w:sz w:val="1"/>
                <w:szCs w:val="1"/>
                <w:color w:val="auto"/>
              </w:rPr>
            </w:pPr>
          </w:p>
        </w:tc>
      </w:tr>
      <w:tr>
        <w:trPr>
          <w:trHeight w:val="143"/>
        </w:trPr>
        <w:tc>
          <w:tcPr>
            <w:tcW w:w="15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9"/>
              </w:rPr>
              <w:t>Publicly Announced</w:t>
            </w:r>
          </w:p>
        </w:tc>
        <w:tc>
          <w:tcPr>
            <w:tcW w:w="1440" w:type="dxa"/>
            <w:vAlign w:val="bottom"/>
          </w:tcPr>
          <w:p>
            <w:pPr>
              <w:jc w:val="center"/>
              <w:ind w:left="51"/>
              <w:spacing w:after="0" w:line="143" w:lineRule="exact"/>
              <w:rPr>
                <w:sz w:val="20"/>
                <w:szCs w:val="20"/>
                <w:color w:val="auto"/>
              </w:rPr>
            </w:pPr>
            <w:r>
              <w:rPr>
                <w:rFonts w:ascii="Arial" w:cs="Arial" w:eastAsia="Arial" w:hAnsi="Arial"/>
                <w:sz w:val="14"/>
                <w:szCs w:val="14"/>
                <w:b w:val="1"/>
                <w:bCs w:val="1"/>
                <w:color w:val="auto"/>
                <w:w w:val="89"/>
              </w:rPr>
              <w:t>Under the Plans or</w:t>
            </w:r>
          </w:p>
        </w:tc>
        <w:tc>
          <w:tcPr>
            <w:tcW w:w="0" w:type="dxa"/>
            <w:vAlign w:val="bottom"/>
          </w:tcPr>
          <w:p>
            <w:pPr>
              <w:spacing w:after="0"/>
              <w:rPr>
                <w:sz w:val="1"/>
                <w:szCs w:val="1"/>
                <w:color w:val="auto"/>
              </w:rPr>
            </w:pPr>
          </w:p>
        </w:tc>
      </w:tr>
      <w:tr>
        <w:trPr>
          <w:trHeight w:val="183"/>
        </w:trPr>
        <w:tc>
          <w:tcPr>
            <w:tcW w:w="1500" w:type="dxa"/>
            <w:vAlign w:val="bottom"/>
          </w:tcPr>
          <w:p>
            <w:pPr>
              <w:jc w:val="center"/>
              <w:ind w:right="11"/>
              <w:spacing w:after="0"/>
              <w:rPr>
                <w:sz w:val="20"/>
                <w:szCs w:val="20"/>
                <w:color w:val="auto"/>
              </w:rPr>
            </w:pPr>
            <w:r>
              <w:rPr>
                <w:rFonts w:ascii="Arial" w:cs="Arial" w:eastAsia="Arial" w:hAnsi="Arial"/>
                <w:sz w:val="14"/>
                <w:szCs w:val="14"/>
                <w:b w:val="1"/>
                <w:bCs w:val="1"/>
                <w:color w:val="auto"/>
                <w:w w:val="88"/>
              </w:rPr>
              <w:t>Plans or Programs</w:t>
            </w:r>
          </w:p>
        </w:tc>
        <w:tc>
          <w:tcPr>
            <w:tcW w:w="1440" w:type="dxa"/>
            <w:vAlign w:val="bottom"/>
          </w:tcPr>
          <w:p>
            <w:pPr>
              <w:jc w:val="center"/>
              <w:ind w:left="31"/>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000" w:space="220"/>
            <w:col w:w="3020"/>
          </w:cols>
          <w:pgMar w:left="320" w:top="860" w:right="339" w:bottom="1440" w:gutter="0" w:footer="0" w:header="0"/>
          <w:type w:val="continuous"/>
        </w:sectPr>
      </w:pPr>
    </w:p>
    <w:tbl>
      <w:tblPr>
        <w:tblLayout w:type="fixed"/>
        <w:tblInd w:w="20" w:type="dxa"/>
        <w:tblCellMar>
          <w:top w:w="0" w:type="dxa"/>
          <w:left w:w="0" w:type="dxa"/>
          <w:bottom w:w="0" w:type="dxa"/>
          <w:right w:w="0" w:type="dxa"/>
        </w:tblCellMar>
      </w:tblPr>
      <w:tr>
        <w:trPr>
          <w:trHeight w:val="18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July 1, 2023 - July 31, 2023</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5"/>
        </w:trPr>
        <w:tc>
          <w:tcPr>
            <w:tcW w:w="5280" w:type="dxa"/>
            <w:vAlign w:val="bottom"/>
          </w:tcPr>
          <w:p>
            <w:pPr>
              <w:ind w:left="22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ind w:right="11"/>
              <w:spacing w:after="0"/>
              <w:rPr>
                <w:sz w:val="20"/>
                <w:szCs w:val="20"/>
                <w:color w:val="auto"/>
              </w:rPr>
            </w:pPr>
            <w:r>
              <w:rPr>
                <w:rFonts w:ascii="Arial" w:cs="Arial" w:eastAsia="Arial" w:hAnsi="Arial"/>
                <w:sz w:val="14"/>
                <w:szCs w:val="14"/>
                <w:color w:val="auto"/>
              </w:rPr>
              <w:t>80,081</w:t>
            </w:r>
          </w:p>
        </w:tc>
        <w:tc>
          <w:tcPr>
            <w:tcW w:w="14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80,081</w:t>
            </w:r>
          </w:p>
        </w:tc>
        <w:tc>
          <w:tcPr>
            <w:tcW w:w="10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$201,728,674</w:t>
            </w:r>
          </w:p>
        </w:tc>
      </w:tr>
      <w:tr>
        <w:trPr>
          <w:trHeight w:val="204"/>
        </w:trPr>
        <w:tc>
          <w:tcPr>
            <w:tcW w:w="5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Class C Common Stock/ Virtu Financial Units repurchases</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5,086</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CCEEFF"/>
          </w:tcPr>
          <w:p>
            <w:pPr>
              <w:spacing w:after="0"/>
              <w:rPr>
                <w:sz w:val="17"/>
                <w:szCs w:val="17"/>
                <w:color w:val="auto"/>
              </w:rPr>
            </w:pPr>
          </w:p>
        </w:tc>
      </w:tr>
      <w:tr>
        <w:trPr>
          <w:trHeight w:val="259"/>
        </w:trPr>
        <w:tc>
          <w:tcPr>
            <w:tcW w:w="5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94"/>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 2023 - August 31, 2023</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5"/>
        </w:trPr>
        <w:tc>
          <w:tcPr>
            <w:tcW w:w="5280" w:type="dxa"/>
            <w:vAlign w:val="bottom"/>
          </w:tcPr>
          <w:p>
            <w:pPr>
              <w:ind w:left="22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ind w:right="11"/>
              <w:spacing w:after="0"/>
              <w:rPr>
                <w:sz w:val="20"/>
                <w:szCs w:val="20"/>
                <w:color w:val="auto"/>
              </w:rPr>
            </w:pPr>
            <w:r>
              <w:rPr>
                <w:rFonts w:ascii="Arial" w:cs="Arial" w:eastAsia="Arial" w:hAnsi="Arial"/>
                <w:sz w:val="14"/>
                <w:szCs w:val="14"/>
                <w:color w:val="auto"/>
              </w:rPr>
              <w:t>888,398</w:t>
            </w:r>
          </w:p>
        </w:tc>
        <w:tc>
          <w:tcPr>
            <w:tcW w:w="14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6"/>
              </w:rPr>
              <w:t>858,370</w:t>
            </w:r>
          </w:p>
        </w:tc>
        <w:tc>
          <w:tcPr>
            <w:tcW w:w="10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$185,577,623</w:t>
            </w:r>
          </w:p>
        </w:tc>
      </w:tr>
      <w:tr>
        <w:trPr>
          <w:trHeight w:val="204"/>
        </w:trPr>
        <w:tc>
          <w:tcPr>
            <w:tcW w:w="5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Class C Common Stock/ Virtu Financial Units repurchases</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209,090</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CCEEFF"/>
          </w:tcPr>
          <w:p>
            <w:pPr>
              <w:spacing w:after="0"/>
              <w:rPr>
                <w:sz w:val="17"/>
                <w:szCs w:val="17"/>
                <w:color w:val="auto"/>
              </w:rPr>
            </w:pPr>
          </w:p>
        </w:tc>
      </w:tr>
      <w:tr>
        <w:trPr>
          <w:trHeight w:val="259"/>
        </w:trPr>
        <w:tc>
          <w:tcPr>
            <w:tcW w:w="5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94"/>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1, 2023 - September 30, 2023</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7"/>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1,759,862</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17.77</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1,751,481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$154,444,737</w:t>
            </w:r>
          </w:p>
        </w:tc>
      </w:tr>
      <w:tr>
        <w:trPr>
          <w:trHeight w:val="21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Common Stock / Virtu Financial Unit repurchases</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2,942,517</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18.19</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2,689.932</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$154,444,737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60" w:firstLine="4"/>
        <w:spacing w:after="0" w:line="253" w:lineRule="auto"/>
        <w:tabs>
          <w:tab w:leader="none" w:pos="1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the repurchase of 38,409 shares from employees in order to satisfy statutory tax withholding requirements upon the net settlement of equity awards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82" w:name="page83"/>
    <w:bookmarkEnd w:id="82"/>
    <w:p>
      <w:pPr>
        <w:ind w:firstLine="622"/>
        <w:spacing w:after="0" w:line="274" w:lineRule="auto"/>
        <w:rPr>
          <w:sz w:val="20"/>
          <w:szCs w:val="20"/>
          <w:color w:val="auto"/>
        </w:rPr>
      </w:pPr>
      <w:r>
        <w:rPr>
          <w:rFonts w:ascii="Arial" w:cs="Arial" w:eastAsia="Arial" w:hAnsi="Arial"/>
          <w:sz w:val="16"/>
          <w:szCs w:val="16"/>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2023, the Company repurchased approximately 41.2 million shares of Class A Common Stock and Virtu Financial Units for approximately $1,065.6 million. As of September 30, 2023, the Company has approximately $154.4 million remaining capacity for future purchases of shares of Class A Common Stock and Virtu Financial Units under the program.</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Exhibit Number</w:t>
            </w: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900" w:type="dxa"/>
            <w:vAlign w:val="bottom"/>
            <w:gridSpan w:val="6"/>
          </w:tcPr>
          <w:p>
            <w:pPr>
              <w:ind w:left="2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FEFEFE"/>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FEFEFE"/>
          </w:tcPr>
          <w:p>
            <w:pPr>
              <w:ind w:left="20"/>
              <w:spacing w:after="0" w:line="175" w:lineRule="exact"/>
              <w:rPr>
                <w:sz w:val="20"/>
                <w:szCs w:val="20"/>
                <w:color w:val="auto"/>
              </w:rPr>
            </w:pPr>
            <w:r>
              <w:rPr>
                <w:rFonts w:ascii="Arial" w:cs="Arial" w:eastAsia="Arial" w:hAnsi="Arial"/>
                <w:sz w:val="17"/>
                <w:szCs w:val="17"/>
                <w:color w:val="auto"/>
              </w:rPr>
              <w:t>31.1*</w:t>
            </w:r>
          </w:p>
        </w:tc>
        <w:tc>
          <w:tcPr>
            <w:tcW w:w="560" w:type="dxa"/>
            <w:vAlign w:val="bottom"/>
            <w:tcBorders>
              <w:right w:val="single" w:sz="8" w:color="FEFEFE"/>
            </w:tcBorders>
            <w:shd w:val="clear" w:color="auto" w:fill="FEFEFE"/>
          </w:tcPr>
          <w:p>
            <w:pPr>
              <w:spacing w:after="0"/>
              <w:rPr>
                <w:sz w:val="15"/>
                <w:szCs w:val="15"/>
                <w:color w:val="auto"/>
              </w:rPr>
            </w:pPr>
          </w:p>
        </w:tc>
        <w:tc>
          <w:tcPr>
            <w:tcW w:w="9220" w:type="dxa"/>
            <w:vAlign w:val="bottom"/>
            <w:gridSpan w:val="7"/>
            <w:shd w:val="clear" w:color="auto" w:fill="FEFEFE"/>
          </w:tcPr>
          <w:p>
            <w:pPr>
              <w:spacing w:after="0" w:line="175" w:lineRule="exact"/>
              <w:rPr>
                <w:sz w:val="20"/>
                <w:szCs w:val="20"/>
                <w:color w:val="auto"/>
              </w:rPr>
            </w:pPr>
            <w:r>
              <w:rPr>
                <w:rFonts w:ascii="Arial" w:cs="Arial" w:eastAsia="Arial" w:hAnsi="Arial"/>
                <w:sz w:val="17"/>
                <w:szCs w:val="17"/>
                <w:color w:val="0000FF"/>
                <w:w w:val="99"/>
              </w:rPr>
              <w:t>Certification of Chief Executive Officer required by Rule 13a-14(a)/15d-14(a) under the Securities Exchange Act of 1934, as</w:t>
            </w:r>
          </w:p>
        </w:tc>
        <w:tc>
          <w:tcPr>
            <w:tcW w:w="0" w:type="dxa"/>
            <w:vAlign w:val="bottom"/>
          </w:tcPr>
          <w:p>
            <w:pPr>
              <w:spacing w:after="0"/>
              <w:rPr>
                <w:sz w:val="1"/>
                <w:szCs w:val="1"/>
                <w:color w:val="auto"/>
              </w:rPr>
            </w:pPr>
          </w:p>
        </w:tc>
      </w:tr>
      <w:tr>
        <w:trPr>
          <w:trHeight w:val="149"/>
        </w:trPr>
        <w:tc>
          <w:tcPr>
            <w:tcW w:w="1440" w:type="dxa"/>
            <w:vAlign w:val="bottom"/>
            <w:tcBorders>
              <w:top w:val="single" w:sz="8" w:color="FEFEFE"/>
              <w:bottom w:val="single" w:sz="8" w:color="FEFEFE"/>
            </w:tcBorders>
            <w:shd w:val="clear" w:color="auto" w:fill="FEFEFE"/>
          </w:tcPr>
          <w:p>
            <w:pPr>
              <w:spacing w:after="0"/>
              <w:rPr>
                <w:sz w:val="12"/>
                <w:szCs w:val="12"/>
                <w:color w:val="auto"/>
              </w:rPr>
            </w:pPr>
          </w:p>
        </w:tc>
        <w:tc>
          <w:tcPr>
            <w:tcW w:w="560" w:type="dxa"/>
            <w:vAlign w:val="bottom"/>
            <w:tcBorders>
              <w:top w:val="single" w:sz="8" w:color="FEFEFE"/>
              <w:bottom w:val="single" w:sz="8" w:color="FEFEFE"/>
              <w:right w:val="single" w:sz="8" w:color="FEFEFE"/>
            </w:tcBorders>
            <w:shd w:val="clear" w:color="auto" w:fill="FEFEFE"/>
          </w:tcPr>
          <w:p>
            <w:pPr>
              <w:spacing w:after="0"/>
              <w:rPr>
                <w:sz w:val="12"/>
                <w:szCs w:val="12"/>
                <w:color w:val="auto"/>
              </w:rPr>
            </w:pPr>
          </w:p>
        </w:tc>
        <w:tc>
          <w:tcPr>
            <w:tcW w:w="5620" w:type="dxa"/>
            <w:vAlign w:val="bottom"/>
            <w:tcBorders>
              <w:top w:val="single" w:sz="8" w:color="0000FF"/>
              <w:bottom w:val="single" w:sz="8" w:color="0000FF"/>
            </w:tcBorders>
            <w:gridSpan w:val="2"/>
            <w:shd w:val="clear" w:color="auto" w:fill="FEFEFE"/>
          </w:tcPr>
          <w:p>
            <w:pPr>
              <w:spacing w:after="0" w:line="149" w:lineRule="exact"/>
              <w:rPr>
                <w:sz w:val="20"/>
                <w:szCs w:val="20"/>
                <w:color w:val="auto"/>
              </w:rPr>
            </w:pPr>
            <w:r>
              <w:rPr>
                <w:rFonts w:ascii="Arial" w:cs="Arial" w:eastAsia="Arial" w:hAnsi="Arial"/>
                <w:sz w:val="17"/>
                <w:szCs w:val="17"/>
                <w:color w:val="0000FF"/>
                <w:w w:val="90"/>
              </w:rPr>
              <w:t>amended, as adopted pursuant to Section 302 of the Sarbanes-Oxley Act of 2002.</w:t>
            </w:r>
          </w:p>
        </w:tc>
        <w:tc>
          <w:tcPr>
            <w:tcW w:w="3020" w:type="dxa"/>
            <w:vAlign w:val="bottom"/>
            <w:tcBorders>
              <w:top w:val="single" w:sz="8" w:color="0000FF"/>
              <w:bottom w:val="single" w:sz="8" w:color="FEFEFE"/>
            </w:tcBorders>
            <w:gridSpan w:val="2"/>
            <w:shd w:val="clear" w:color="auto" w:fill="FEFEFE"/>
          </w:tcPr>
          <w:p>
            <w:pPr>
              <w:spacing w:after="0"/>
              <w:rPr>
                <w:sz w:val="12"/>
                <w:szCs w:val="12"/>
                <w:color w:val="auto"/>
              </w:rPr>
            </w:pPr>
          </w:p>
        </w:tc>
        <w:tc>
          <w:tcPr>
            <w:tcW w:w="220" w:type="dxa"/>
            <w:vAlign w:val="bottom"/>
            <w:tcBorders>
              <w:top w:val="single" w:sz="8" w:color="FEFEFE"/>
              <w:bottom w:val="single" w:sz="8" w:color="FEFEFE"/>
            </w:tcBorders>
            <w:shd w:val="clear" w:color="auto" w:fill="FEFEFE"/>
          </w:tcPr>
          <w:p>
            <w:pPr>
              <w:spacing w:after="0"/>
              <w:rPr>
                <w:sz w:val="12"/>
                <w:szCs w:val="12"/>
                <w:color w:val="auto"/>
              </w:rPr>
            </w:pPr>
          </w:p>
        </w:tc>
        <w:tc>
          <w:tcPr>
            <w:tcW w:w="40" w:type="dxa"/>
            <w:vAlign w:val="bottom"/>
            <w:tcBorders>
              <w:top w:val="single" w:sz="8" w:color="FEFEFE"/>
              <w:bottom w:val="single" w:sz="8" w:color="FEFEFE"/>
            </w:tcBorders>
            <w:shd w:val="clear" w:color="auto" w:fill="FEFEFE"/>
          </w:tcPr>
          <w:p>
            <w:pPr>
              <w:spacing w:after="0"/>
              <w:rPr>
                <w:sz w:val="12"/>
                <w:szCs w:val="12"/>
                <w:color w:val="auto"/>
              </w:rPr>
            </w:pPr>
          </w:p>
        </w:tc>
        <w:tc>
          <w:tcPr>
            <w:tcW w:w="320" w:type="dxa"/>
            <w:vAlign w:val="bottom"/>
            <w:tcBorders>
              <w:top w:val="single" w:sz="8" w:color="FEFEFE"/>
              <w:bottom w:val="single" w:sz="8" w:color="FEFEFE"/>
            </w:tcBorders>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31.2*</w:t>
            </w:r>
          </w:p>
        </w:tc>
        <w:tc>
          <w:tcPr>
            <w:tcW w:w="560" w:type="dxa"/>
            <w:vAlign w:val="bottom"/>
            <w:tcBorders>
              <w:right w:val="single" w:sz="8" w:color="FEFEFE"/>
            </w:tcBorders>
            <w:shd w:val="clear" w:color="auto" w:fill="FEFEFE"/>
          </w:tcPr>
          <w:p>
            <w:pPr>
              <w:spacing w:after="0"/>
              <w:rPr>
                <w:sz w:val="18"/>
                <w:szCs w:val="18"/>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0000FF"/>
                <w:w w:val="99"/>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49"/>
        </w:trPr>
        <w:tc>
          <w:tcPr>
            <w:tcW w:w="1440" w:type="dxa"/>
            <w:vAlign w:val="bottom"/>
            <w:tcBorders>
              <w:top w:val="single" w:sz="8" w:color="FEFEFE"/>
              <w:bottom w:val="single" w:sz="8" w:color="FEFEFE"/>
            </w:tcBorders>
            <w:shd w:val="clear" w:color="auto" w:fill="FEFEFE"/>
          </w:tcPr>
          <w:p>
            <w:pPr>
              <w:spacing w:after="0"/>
              <w:rPr>
                <w:sz w:val="12"/>
                <w:szCs w:val="12"/>
                <w:color w:val="auto"/>
              </w:rPr>
            </w:pPr>
          </w:p>
        </w:tc>
        <w:tc>
          <w:tcPr>
            <w:tcW w:w="560" w:type="dxa"/>
            <w:vAlign w:val="bottom"/>
            <w:tcBorders>
              <w:top w:val="single" w:sz="8" w:color="FEFEFE"/>
              <w:bottom w:val="single" w:sz="8" w:color="FEFEFE"/>
              <w:right w:val="single" w:sz="8" w:color="FEFEFE"/>
            </w:tcBorders>
            <w:shd w:val="clear" w:color="auto" w:fill="FEFEFE"/>
          </w:tcPr>
          <w:p>
            <w:pPr>
              <w:spacing w:after="0"/>
              <w:rPr>
                <w:sz w:val="12"/>
                <w:szCs w:val="12"/>
                <w:color w:val="auto"/>
              </w:rPr>
            </w:pPr>
          </w:p>
        </w:tc>
        <w:tc>
          <w:tcPr>
            <w:tcW w:w="5620" w:type="dxa"/>
            <w:vAlign w:val="bottom"/>
            <w:tcBorders>
              <w:top w:val="single" w:sz="8" w:color="0000FF"/>
              <w:bottom w:val="single" w:sz="8" w:color="0000FF"/>
            </w:tcBorders>
            <w:gridSpan w:val="2"/>
            <w:shd w:val="clear" w:color="auto" w:fill="FEFEFE"/>
          </w:tcPr>
          <w:p>
            <w:pPr>
              <w:spacing w:after="0" w:line="149" w:lineRule="exact"/>
              <w:rPr>
                <w:sz w:val="20"/>
                <w:szCs w:val="20"/>
                <w:color w:val="auto"/>
              </w:rPr>
            </w:pPr>
            <w:r>
              <w:rPr>
                <w:rFonts w:ascii="Arial" w:cs="Arial" w:eastAsia="Arial" w:hAnsi="Arial"/>
                <w:sz w:val="17"/>
                <w:szCs w:val="17"/>
                <w:color w:val="0000FF"/>
                <w:w w:val="90"/>
              </w:rPr>
              <w:t>amended, as adopted pursuant to Section 302 of the Sarbanes-Oxley Act of 2002.</w:t>
            </w:r>
          </w:p>
        </w:tc>
        <w:tc>
          <w:tcPr>
            <w:tcW w:w="2980" w:type="dxa"/>
            <w:vAlign w:val="bottom"/>
            <w:tcBorders>
              <w:top w:val="single" w:sz="8" w:color="0000FF"/>
              <w:bottom w:val="single" w:sz="8" w:color="FEFEFE"/>
            </w:tcBorders>
            <w:shd w:val="clear" w:color="auto" w:fill="FEFEFE"/>
          </w:tcPr>
          <w:p>
            <w:pPr>
              <w:spacing w:after="0"/>
              <w:rPr>
                <w:sz w:val="12"/>
                <w:szCs w:val="12"/>
                <w:color w:val="auto"/>
              </w:rPr>
            </w:pPr>
          </w:p>
        </w:tc>
        <w:tc>
          <w:tcPr>
            <w:tcW w:w="260" w:type="dxa"/>
            <w:vAlign w:val="bottom"/>
            <w:tcBorders>
              <w:top w:val="single" w:sz="8" w:color="FEFEFE"/>
              <w:bottom w:val="single" w:sz="8" w:color="FEFEFE"/>
            </w:tcBorders>
            <w:gridSpan w:val="2"/>
            <w:shd w:val="clear" w:color="auto" w:fill="FEFEFE"/>
          </w:tcPr>
          <w:p>
            <w:pPr>
              <w:spacing w:after="0"/>
              <w:rPr>
                <w:sz w:val="12"/>
                <w:szCs w:val="12"/>
                <w:color w:val="auto"/>
              </w:rPr>
            </w:pPr>
          </w:p>
        </w:tc>
        <w:tc>
          <w:tcPr>
            <w:tcW w:w="40" w:type="dxa"/>
            <w:vAlign w:val="bottom"/>
            <w:tcBorders>
              <w:top w:val="single" w:sz="8" w:color="FEFEFE"/>
              <w:bottom w:val="single" w:sz="8" w:color="FEFEFE"/>
            </w:tcBorders>
            <w:shd w:val="clear" w:color="auto" w:fill="FEFEFE"/>
          </w:tcPr>
          <w:p>
            <w:pPr>
              <w:spacing w:after="0"/>
              <w:rPr>
                <w:sz w:val="12"/>
                <w:szCs w:val="12"/>
                <w:color w:val="auto"/>
              </w:rPr>
            </w:pPr>
          </w:p>
        </w:tc>
        <w:tc>
          <w:tcPr>
            <w:tcW w:w="320" w:type="dxa"/>
            <w:vAlign w:val="bottom"/>
            <w:tcBorders>
              <w:top w:val="single" w:sz="8" w:color="FEFEFE"/>
              <w:bottom w:val="single" w:sz="8" w:color="FEFEFE"/>
            </w:tcBorders>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32.1*</w:t>
            </w:r>
          </w:p>
        </w:tc>
        <w:tc>
          <w:tcPr>
            <w:tcW w:w="560" w:type="dxa"/>
            <w:vAlign w:val="bottom"/>
            <w:tcBorders>
              <w:right w:val="single" w:sz="8" w:color="FEFEFE"/>
            </w:tcBorders>
            <w:shd w:val="clear" w:color="auto" w:fill="FEFEFE"/>
          </w:tcPr>
          <w:p>
            <w:pPr>
              <w:spacing w:after="0"/>
              <w:rPr>
                <w:sz w:val="18"/>
                <w:szCs w:val="18"/>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0000FF"/>
                <w:w w:val="95"/>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49"/>
        </w:trPr>
        <w:tc>
          <w:tcPr>
            <w:tcW w:w="1440" w:type="dxa"/>
            <w:vAlign w:val="bottom"/>
            <w:tcBorders>
              <w:top w:val="single" w:sz="8" w:color="FEFEFE"/>
            </w:tcBorders>
            <w:shd w:val="clear" w:color="auto" w:fill="FEFEFE"/>
          </w:tcPr>
          <w:p>
            <w:pPr>
              <w:spacing w:after="0"/>
              <w:rPr>
                <w:sz w:val="12"/>
                <w:szCs w:val="12"/>
                <w:color w:val="auto"/>
              </w:rPr>
            </w:pPr>
          </w:p>
        </w:tc>
        <w:tc>
          <w:tcPr>
            <w:tcW w:w="560" w:type="dxa"/>
            <w:vAlign w:val="bottom"/>
            <w:tcBorders>
              <w:top w:val="single" w:sz="8" w:color="FEFEFE"/>
              <w:right w:val="single" w:sz="8" w:color="FEFEFE"/>
            </w:tcBorders>
            <w:shd w:val="clear" w:color="auto" w:fill="FEFEFE"/>
          </w:tcPr>
          <w:p>
            <w:pPr>
              <w:spacing w:after="0"/>
              <w:rPr>
                <w:sz w:val="12"/>
                <w:szCs w:val="12"/>
                <w:color w:val="auto"/>
              </w:rPr>
            </w:pPr>
          </w:p>
        </w:tc>
        <w:tc>
          <w:tcPr>
            <w:tcW w:w="8900" w:type="dxa"/>
            <w:vAlign w:val="bottom"/>
            <w:tcBorders>
              <w:top w:val="single" w:sz="8" w:color="0000FF"/>
            </w:tcBorders>
            <w:gridSpan w:val="6"/>
            <w:shd w:val="clear" w:color="auto" w:fill="FEFEFE"/>
          </w:tcPr>
          <w:p>
            <w:pPr>
              <w:spacing w:after="0" w:line="149" w:lineRule="exact"/>
              <w:rPr>
                <w:sz w:val="20"/>
                <w:szCs w:val="20"/>
                <w:color w:val="auto"/>
              </w:rPr>
            </w:pPr>
            <w:r>
              <w:rPr>
                <w:rFonts w:ascii="Arial" w:cs="Arial" w:eastAsia="Arial" w:hAnsi="Arial"/>
                <w:sz w:val="17"/>
                <w:szCs w:val="17"/>
                <w:color w:val="0000FF"/>
              </w:rPr>
              <w:t>Oxley Act of 2002.</w:t>
            </w:r>
          </w:p>
        </w:tc>
        <w:tc>
          <w:tcPr>
            <w:tcW w:w="320" w:type="dxa"/>
            <w:vAlign w:val="bottom"/>
            <w:tcBorders>
              <w:top w:val="single" w:sz="8" w:color="FEFEFE"/>
            </w:tcBorders>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60" w:type="dxa"/>
            <w:vAlign w:val="bottom"/>
            <w:tcBorders>
              <w:right w:val="single" w:sz="8" w:color="FEFEFE"/>
            </w:tcBorders>
            <w:shd w:val="clear" w:color="auto" w:fill="FEFEFE"/>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540" w:type="dxa"/>
            <w:vAlign w:val="bottom"/>
            <w:gridSpan w:val="4"/>
            <w:shd w:val="clear" w:color="auto" w:fill="FEFEFE"/>
          </w:tcPr>
          <w:p>
            <w:pPr>
              <w:spacing w:after="0" w:line="20" w:lineRule="exact"/>
              <w:rPr>
                <w:sz w:val="1"/>
                <w:szCs w:val="1"/>
                <w:color w:val="auto"/>
              </w:rPr>
            </w:pPr>
          </w:p>
        </w:tc>
        <w:tc>
          <w:tcPr>
            <w:tcW w:w="36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32.2*</w:t>
            </w:r>
          </w:p>
        </w:tc>
        <w:tc>
          <w:tcPr>
            <w:tcW w:w="560" w:type="dxa"/>
            <w:vAlign w:val="bottom"/>
            <w:tcBorders>
              <w:right w:val="single" w:sz="8" w:color="FEFEFE"/>
            </w:tcBorders>
            <w:shd w:val="clear" w:color="auto" w:fill="FEFEFE"/>
          </w:tcPr>
          <w:p>
            <w:pPr>
              <w:spacing w:after="0"/>
              <w:rPr>
                <w:sz w:val="18"/>
                <w:szCs w:val="18"/>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0000FF"/>
                <w:w w:val="95"/>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49"/>
        </w:trPr>
        <w:tc>
          <w:tcPr>
            <w:tcW w:w="1440" w:type="dxa"/>
            <w:vAlign w:val="bottom"/>
            <w:tcBorders>
              <w:top w:val="single" w:sz="8" w:color="FEFEFE"/>
            </w:tcBorders>
            <w:shd w:val="clear" w:color="auto" w:fill="FEFEFE"/>
          </w:tcPr>
          <w:p>
            <w:pPr>
              <w:spacing w:after="0"/>
              <w:rPr>
                <w:sz w:val="12"/>
                <w:szCs w:val="12"/>
                <w:color w:val="auto"/>
              </w:rPr>
            </w:pPr>
          </w:p>
        </w:tc>
        <w:tc>
          <w:tcPr>
            <w:tcW w:w="560" w:type="dxa"/>
            <w:vAlign w:val="bottom"/>
            <w:tcBorders>
              <w:top w:val="single" w:sz="8" w:color="FEFEFE"/>
              <w:right w:val="single" w:sz="8" w:color="FEFEFE"/>
            </w:tcBorders>
            <w:shd w:val="clear" w:color="auto" w:fill="FEFEFE"/>
          </w:tcPr>
          <w:p>
            <w:pPr>
              <w:spacing w:after="0"/>
              <w:rPr>
                <w:sz w:val="12"/>
                <w:szCs w:val="12"/>
                <w:color w:val="auto"/>
              </w:rPr>
            </w:pPr>
          </w:p>
        </w:tc>
        <w:tc>
          <w:tcPr>
            <w:tcW w:w="8860" w:type="dxa"/>
            <w:vAlign w:val="bottom"/>
            <w:tcBorders>
              <w:top w:val="single" w:sz="8" w:color="0000FF"/>
            </w:tcBorders>
            <w:gridSpan w:val="5"/>
            <w:shd w:val="clear" w:color="auto" w:fill="FEFEFE"/>
          </w:tcPr>
          <w:p>
            <w:pPr>
              <w:spacing w:after="0" w:line="149" w:lineRule="exact"/>
              <w:rPr>
                <w:sz w:val="20"/>
                <w:szCs w:val="20"/>
                <w:color w:val="auto"/>
              </w:rPr>
            </w:pPr>
            <w:r>
              <w:rPr>
                <w:rFonts w:ascii="Arial" w:cs="Arial" w:eastAsia="Arial" w:hAnsi="Arial"/>
                <w:sz w:val="17"/>
                <w:szCs w:val="17"/>
                <w:color w:val="0000FF"/>
              </w:rPr>
              <w:t>Oxley Act of 2002.</w:t>
            </w:r>
          </w:p>
        </w:tc>
        <w:tc>
          <w:tcPr>
            <w:tcW w:w="360" w:type="dxa"/>
            <w:vAlign w:val="bottom"/>
            <w:tcBorders>
              <w:top w:val="single" w:sz="8" w:color="FEFEFE"/>
            </w:tcBorders>
            <w:gridSpan w:val="2"/>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60" w:type="dxa"/>
            <w:vAlign w:val="bottom"/>
            <w:tcBorders>
              <w:right w:val="single" w:sz="8" w:color="FEFEFE"/>
            </w:tcBorders>
            <w:shd w:val="clear" w:color="auto" w:fill="FEFEFE"/>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900" w:type="dxa"/>
            <w:vAlign w:val="bottom"/>
            <w:gridSpan w:val="6"/>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101.INS*</w:t>
            </w:r>
          </w:p>
        </w:tc>
        <w:tc>
          <w:tcPr>
            <w:tcW w:w="560" w:type="dxa"/>
            <w:vAlign w:val="bottom"/>
            <w:tcBorders>
              <w:right w:val="single" w:sz="8" w:color="FEFEFE"/>
            </w:tcBorders>
            <w:shd w:val="clear" w:color="auto" w:fill="FEFEFE"/>
          </w:tcPr>
          <w:p>
            <w:pPr>
              <w:spacing w:after="0"/>
              <w:rPr>
                <w:sz w:val="21"/>
                <w:szCs w:val="21"/>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4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101.SCH*</w:t>
            </w:r>
          </w:p>
        </w:tc>
        <w:tc>
          <w:tcPr>
            <w:tcW w:w="560" w:type="dxa"/>
            <w:vAlign w:val="bottom"/>
            <w:tcBorders>
              <w:right w:val="single" w:sz="8" w:color="FEFEFE"/>
            </w:tcBorders>
            <w:shd w:val="clear" w:color="auto" w:fill="FEFEFE"/>
          </w:tcPr>
          <w:p>
            <w:pPr>
              <w:spacing w:after="0"/>
              <w:rPr>
                <w:sz w:val="21"/>
                <w:szCs w:val="21"/>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24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101.CAL*</w:t>
            </w:r>
          </w:p>
        </w:tc>
        <w:tc>
          <w:tcPr>
            <w:tcW w:w="560" w:type="dxa"/>
            <w:vAlign w:val="bottom"/>
            <w:tcBorders>
              <w:right w:val="single" w:sz="8" w:color="FEFEFE"/>
            </w:tcBorders>
            <w:shd w:val="clear" w:color="auto" w:fill="FEFEFE"/>
          </w:tcPr>
          <w:p>
            <w:pPr>
              <w:spacing w:after="0"/>
              <w:rPr>
                <w:sz w:val="21"/>
                <w:szCs w:val="21"/>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4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101.LAB*</w:t>
            </w:r>
          </w:p>
        </w:tc>
        <w:tc>
          <w:tcPr>
            <w:tcW w:w="560" w:type="dxa"/>
            <w:vAlign w:val="bottom"/>
            <w:tcBorders>
              <w:right w:val="single" w:sz="8" w:color="FEFEFE"/>
            </w:tcBorders>
            <w:shd w:val="clear" w:color="auto" w:fill="FEFEFE"/>
          </w:tcPr>
          <w:p>
            <w:pPr>
              <w:spacing w:after="0"/>
              <w:rPr>
                <w:sz w:val="21"/>
                <w:szCs w:val="21"/>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4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101.PRE*</w:t>
            </w:r>
          </w:p>
        </w:tc>
        <w:tc>
          <w:tcPr>
            <w:tcW w:w="560" w:type="dxa"/>
            <w:vAlign w:val="bottom"/>
            <w:tcBorders>
              <w:right w:val="single" w:sz="8" w:color="FEFEFE"/>
            </w:tcBorders>
            <w:shd w:val="clear" w:color="auto" w:fill="FEFEFE"/>
          </w:tcPr>
          <w:p>
            <w:pPr>
              <w:spacing w:after="0"/>
              <w:rPr>
                <w:sz w:val="21"/>
                <w:szCs w:val="21"/>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4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101.DEF*</w:t>
            </w:r>
          </w:p>
        </w:tc>
        <w:tc>
          <w:tcPr>
            <w:tcW w:w="560" w:type="dxa"/>
            <w:vAlign w:val="bottom"/>
            <w:tcBorders>
              <w:right w:val="single" w:sz="8" w:color="FEFEFE"/>
            </w:tcBorders>
            <w:shd w:val="clear" w:color="auto" w:fill="FEFEFE"/>
          </w:tcPr>
          <w:p>
            <w:pPr>
              <w:spacing w:after="0"/>
              <w:rPr>
                <w:sz w:val="21"/>
                <w:szCs w:val="21"/>
                <w:color w:val="auto"/>
              </w:rPr>
            </w:pPr>
          </w:p>
        </w:tc>
        <w:tc>
          <w:tcPr>
            <w:tcW w:w="922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24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104</w:t>
            </w:r>
          </w:p>
        </w:tc>
        <w:tc>
          <w:tcPr>
            <w:tcW w:w="560" w:type="dxa"/>
            <w:vAlign w:val="bottom"/>
            <w:tcBorders>
              <w:right w:val="single" w:sz="8" w:color="FEFEFE"/>
            </w:tcBorders>
            <w:shd w:val="clear" w:color="auto" w:fill="FEFEFE"/>
          </w:tcPr>
          <w:p>
            <w:pPr>
              <w:spacing w:after="0"/>
              <w:rPr>
                <w:sz w:val="21"/>
                <w:szCs w:val="21"/>
                <w:color w:val="auto"/>
              </w:rPr>
            </w:pPr>
          </w:p>
        </w:tc>
        <w:tc>
          <w:tcPr>
            <w:tcW w:w="9220" w:type="dxa"/>
            <w:vAlign w:val="bottom"/>
            <w:gridSpan w:val="7"/>
            <w:vMerge w:val="restart"/>
            <w:shd w:val="clear" w:color="auto" w:fill="FEFEFE"/>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1"/>
        </w:trPr>
        <w:tc>
          <w:tcPr>
            <w:tcW w:w="1440" w:type="dxa"/>
            <w:vAlign w:val="bottom"/>
            <w:shd w:val="clear" w:color="auto" w:fill="FEFEFE"/>
          </w:tcPr>
          <w:p>
            <w:pPr>
              <w:spacing w:after="0"/>
              <w:rPr>
                <w:sz w:val="7"/>
                <w:szCs w:val="7"/>
                <w:color w:val="auto"/>
              </w:rPr>
            </w:pPr>
          </w:p>
        </w:tc>
        <w:tc>
          <w:tcPr>
            <w:tcW w:w="560" w:type="dxa"/>
            <w:vAlign w:val="bottom"/>
            <w:tcBorders>
              <w:right w:val="single" w:sz="8" w:color="FEFEFE"/>
            </w:tcBorders>
            <w:shd w:val="clear" w:color="auto" w:fill="FEFEFE"/>
          </w:tcPr>
          <w:p>
            <w:pPr>
              <w:spacing w:after="0"/>
              <w:rPr>
                <w:sz w:val="7"/>
                <w:szCs w:val="7"/>
                <w:color w:val="auto"/>
              </w:rPr>
            </w:pPr>
          </w:p>
        </w:tc>
        <w:tc>
          <w:tcPr>
            <w:tcW w:w="9220" w:type="dxa"/>
            <w:vAlign w:val="bottom"/>
            <w:gridSpan w:val="7"/>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40" w:type="dxa"/>
            <w:vAlign w:val="bottom"/>
            <w:shd w:val="clear" w:color="auto" w:fill="FEFEFE"/>
          </w:tcPr>
          <w:p>
            <w:pPr>
              <w:spacing w:after="0"/>
              <w:rPr>
                <w:sz w:val="7"/>
                <w:szCs w:val="7"/>
                <w:color w:val="auto"/>
              </w:rPr>
            </w:pPr>
          </w:p>
        </w:tc>
        <w:tc>
          <w:tcPr>
            <w:tcW w:w="560" w:type="dxa"/>
            <w:vAlign w:val="bottom"/>
            <w:tcBorders>
              <w:right w:val="single" w:sz="8" w:color="FEFEFE"/>
            </w:tcBorders>
            <w:shd w:val="clear" w:color="auto" w:fill="FEFEFE"/>
          </w:tcPr>
          <w:p>
            <w:pPr>
              <w:spacing w:after="0"/>
              <w:rPr>
                <w:sz w:val="7"/>
                <w:szCs w:val="7"/>
                <w:color w:val="auto"/>
              </w:rPr>
            </w:pPr>
          </w:p>
        </w:tc>
        <w:tc>
          <w:tcPr>
            <w:tcW w:w="1320" w:type="dxa"/>
            <w:vAlign w:val="bottom"/>
            <w:shd w:val="clear" w:color="auto" w:fill="FEFEFE"/>
          </w:tcPr>
          <w:p>
            <w:pPr>
              <w:spacing w:after="0"/>
              <w:rPr>
                <w:sz w:val="7"/>
                <w:szCs w:val="7"/>
                <w:color w:val="auto"/>
              </w:rPr>
            </w:pPr>
          </w:p>
        </w:tc>
        <w:tc>
          <w:tcPr>
            <w:tcW w:w="4300" w:type="dxa"/>
            <w:vAlign w:val="bottom"/>
            <w:shd w:val="clear" w:color="auto" w:fill="FEFEFE"/>
          </w:tcPr>
          <w:p>
            <w:pPr>
              <w:spacing w:after="0"/>
              <w:rPr>
                <w:sz w:val="7"/>
                <w:szCs w:val="7"/>
                <w:color w:val="auto"/>
              </w:rPr>
            </w:pPr>
          </w:p>
        </w:tc>
        <w:tc>
          <w:tcPr>
            <w:tcW w:w="2980" w:type="dxa"/>
            <w:vAlign w:val="bottom"/>
            <w:shd w:val="clear" w:color="auto" w:fill="FEFEFE"/>
          </w:tcPr>
          <w:p>
            <w:pPr>
              <w:spacing w:after="0"/>
              <w:rPr>
                <w:sz w:val="7"/>
                <w:szCs w:val="7"/>
                <w:color w:val="auto"/>
              </w:rPr>
            </w:pPr>
          </w:p>
        </w:tc>
        <w:tc>
          <w:tcPr>
            <w:tcW w:w="40" w:type="dxa"/>
            <w:vAlign w:val="bottom"/>
            <w:shd w:val="clear" w:color="auto" w:fill="FEFEFE"/>
          </w:tcPr>
          <w:p>
            <w:pPr>
              <w:spacing w:after="0"/>
              <w:rPr>
                <w:sz w:val="7"/>
                <w:szCs w:val="7"/>
                <w:color w:val="auto"/>
              </w:rPr>
            </w:pPr>
          </w:p>
        </w:tc>
        <w:tc>
          <w:tcPr>
            <w:tcW w:w="220" w:type="dxa"/>
            <w:vAlign w:val="bottom"/>
            <w:shd w:val="clear" w:color="auto" w:fill="FEFEFE"/>
          </w:tcPr>
          <w:p>
            <w:pPr>
              <w:spacing w:after="0"/>
              <w:rPr>
                <w:sz w:val="7"/>
                <w:szCs w:val="7"/>
                <w:color w:val="auto"/>
              </w:rPr>
            </w:pPr>
          </w:p>
        </w:tc>
        <w:tc>
          <w:tcPr>
            <w:tcW w:w="40" w:type="dxa"/>
            <w:vAlign w:val="bottom"/>
            <w:shd w:val="clear" w:color="auto" w:fill="FEFEFE"/>
          </w:tcPr>
          <w:p>
            <w:pPr>
              <w:spacing w:after="0"/>
              <w:rPr>
                <w:sz w:val="7"/>
                <w:szCs w:val="7"/>
                <w:color w:val="auto"/>
              </w:rPr>
            </w:pPr>
          </w:p>
        </w:tc>
        <w:tc>
          <w:tcPr>
            <w:tcW w:w="320" w:type="dxa"/>
            <w:vAlign w:val="bottom"/>
            <w:shd w:val="clear" w:color="auto" w:fill="FEFEFE"/>
          </w:tcPr>
          <w:p>
            <w:pPr>
              <w:spacing w:after="0"/>
              <w:rPr>
                <w:sz w:val="7"/>
                <w:szCs w:val="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3" w:name="page84"/>
    <w:bookmarkEnd w:id="83"/>
    <w:p>
      <w:pPr>
        <w:ind w:left="506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ind w:firstLine="622"/>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460"/>
              <w:spacing w:after="0"/>
              <w:rPr>
                <w:sz w:val="20"/>
                <w:szCs w:val="20"/>
                <w:color w:val="auto"/>
              </w:rPr>
            </w:pPr>
            <w:r>
              <w:rPr>
                <w:rFonts w:ascii="Arial" w:cs="Arial" w:eastAsia="Arial" w:hAnsi="Arial"/>
                <w:sz w:val="17"/>
                <w:szCs w:val="17"/>
                <w:color w:val="auto"/>
              </w:rPr>
              <w:t>Virtu Financial, Inc.</w:t>
            </w:r>
          </w:p>
        </w:tc>
      </w:tr>
      <w:tr>
        <w:trPr>
          <w:trHeight w:val="739"/>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460" w:type="dxa"/>
            <w:vAlign w:val="bottom"/>
          </w:tcPr>
          <w:p>
            <w:pPr>
              <w:ind w:left="700"/>
              <w:spacing w:after="0"/>
              <w:rPr>
                <w:sz w:val="20"/>
                <w:szCs w:val="20"/>
                <w:color w:val="auto"/>
              </w:rPr>
            </w:pPr>
            <w:r>
              <w:rPr>
                <w:rFonts w:ascii="Arial" w:cs="Arial" w:eastAsia="Arial" w:hAnsi="Arial"/>
                <w:sz w:val="17"/>
                <w:szCs w:val="17"/>
                <w:color w:val="auto"/>
              </w:rPr>
              <w:t>November 2, 2023</w:t>
            </w:r>
          </w:p>
        </w:tc>
        <w:tc>
          <w:tcPr>
            <w:tcW w:w="1080" w:type="dxa"/>
            <w:vAlign w:val="bottom"/>
          </w:tcPr>
          <w:p>
            <w:pPr>
              <w:ind w:left="4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Douglas A. Cifu</w:t>
            </w:r>
          </w:p>
        </w:tc>
      </w:tr>
      <w:tr>
        <w:trPr>
          <w:trHeight w:val="214"/>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Douglas A. Cifu</w:t>
            </w:r>
          </w:p>
        </w:tc>
      </w:tr>
      <w:tr>
        <w:trPr>
          <w:trHeight w:val="220"/>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739"/>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460" w:type="dxa"/>
            <w:vAlign w:val="bottom"/>
          </w:tcPr>
          <w:p>
            <w:pPr>
              <w:ind w:left="700"/>
              <w:spacing w:after="0"/>
              <w:rPr>
                <w:sz w:val="20"/>
                <w:szCs w:val="20"/>
                <w:color w:val="auto"/>
              </w:rPr>
            </w:pPr>
            <w:r>
              <w:rPr>
                <w:rFonts w:ascii="Arial" w:cs="Arial" w:eastAsia="Arial" w:hAnsi="Arial"/>
                <w:sz w:val="17"/>
                <w:szCs w:val="17"/>
                <w:color w:val="auto"/>
              </w:rPr>
              <w:t>November 2, 2023</w:t>
            </w:r>
          </w:p>
        </w:tc>
        <w:tc>
          <w:tcPr>
            <w:tcW w:w="1080" w:type="dxa"/>
            <w:vAlign w:val="bottom"/>
          </w:tcPr>
          <w:p>
            <w:pPr>
              <w:ind w:left="4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P. Galvin</w:t>
            </w:r>
          </w:p>
        </w:tc>
      </w:tr>
      <w:tr>
        <w:trPr>
          <w:trHeight w:val="214"/>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Sean P. Galvin</w:t>
            </w:r>
          </w:p>
        </w:tc>
      </w:tr>
      <w:tr>
        <w:trPr>
          <w:trHeight w:val="220"/>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830"/>
        </w:trPr>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7"/>
                <w:szCs w:val="17"/>
                <w:color w:val="auto"/>
              </w:rPr>
              <w:t>83</w:t>
            </w:r>
          </w:p>
        </w:tc>
      </w:tr>
    </w:tbl>
    <w:p>
      <w:pPr>
        <w:sectPr>
          <w:pgSz w:w="11900" w:h="16838" w:orient="portrait"/>
          <w:cols w:equalWidth="0" w:num="1">
            <w:col w:w="10560"/>
          </w:cols>
          <w:pgMar w:left="320" w:top="860" w:right="101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45" w:lineRule="exact"/>
        <w:rPr>
          <w:sz w:val="20"/>
          <w:szCs w:val="20"/>
          <w:color w:val="auto"/>
        </w:rPr>
      </w:pPr>
    </w:p>
    <w:p>
      <w:pPr>
        <w:ind w:left="620" w:right="40" w:hanging="305"/>
        <w:spacing w:after="0" w:line="28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2023 of Virtu Financial, Inc. (the “registrant”) as filed with the Securities and Exchange Commission on the date hereof;</w:t>
      </w:r>
    </w:p>
    <w:p>
      <w:pPr>
        <w:spacing w:after="0" w:line="185" w:lineRule="exact"/>
        <w:rPr>
          <w:rFonts w:ascii="Arial" w:cs="Arial" w:eastAsia="Arial" w:hAnsi="Arial"/>
          <w:sz w:val="17"/>
          <w:szCs w:val="17"/>
          <w:color w:val="auto"/>
        </w:rPr>
      </w:pPr>
    </w:p>
    <w:p>
      <w:pPr>
        <w:ind w:left="620" w:right="80" w:hanging="305"/>
        <w:spacing w:after="0" w:line="354"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5"/>
          <w:szCs w:val="15"/>
          <w:color w:val="auto"/>
        </w:rPr>
      </w:pPr>
    </w:p>
    <w:p>
      <w:pPr>
        <w:ind w:left="620" w:right="520" w:hanging="305"/>
        <w:spacing w:after="0" w:line="317"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620" w:right="20" w:hanging="305"/>
        <w:spacing w:after="0" w:line="269"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ind w:left="1100" w:right="340" w:hanging="474"/>
        <w:spacing w:after="0" w:line="269" w:lineRule="auto"/>
        <w:tabs>
          <w:tab w:leader="none" w:pos="10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1100" w:right="40" w:hanging="474"/>
        <w:spacing w:after="0" w:line="269" w:lineRule="auto"/>
        <w:tabs>
          <w:tab w:leader="none" w:pos="10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100" w:right="800" w:hanging="474"/>
        <w:spacing w:after="0" w:line="354" w:lineRule="auto"/>
        <w:tabs>
          <w:tab w:leader="none" w:pos="1097"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5"/>
          <w:szCs w:val="15"/>
          <w:color w:val="auto"/>
        </w:rPr>
      </w:pPr>
    </w:p>
    <w:p>
      <w:pPr>
        <w:ind w:left="1100" w:right="60" w:hanging="474"/>
        <w:spacing w:after="0" w:line="269" w:lineRule="auto"/>
        <w:tabs>
          <w:tab w:leader="none" w:pos="10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right="460" w:hanging="305"/>
        <w:spacing w:after="0" w:line="317"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1100" w:right="260" w:hanging="474"/>
        <w:spacing w:after="0" w:line="284" w:lineRule="auto"/>
        <w:tabs>
          <w:tab w:leader="none" w:pos="10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100" w:right="220" w:hanging="474"/>
        <w:spacing w:after="0" w:line="278" w:lineRule="auto"/>
        <w:tabs>
          <w:tab w:leader="none" w:pos="10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660" w:type="dxa"/>
            <w:vAlign w:val="bottom"/>
          </w:tcPr>
          <w:p>
            <w:pPr>
              <w:spacing w:after="0"/>
              <w:rPr>
                <w:sz w:val="20"/>
                <w:szCs w:val="20"/>
                <w:color w:val="auto"/>
              </w:rPr>
            </w:pPr>
            <w:r>
              <w:rPr>
                <w:rFonts w:ascii="Arial" w:cs="Arial" w:eastAsia="Arial" w:hAnsi="Arial"/>
                <w:sz w:val="17"/>
                <w:szCs w:val="17"/>
                <w:color w:val="auto"/>
              </w:rPr>
              <w:t>Date: November 2, 2023</w:t>
            </w:r>
          </w:p>
        </w:tc>
        <w:tc>
          <w:tcPr>
            <w:tcW w:w="2540" w:type="dxa"/>
            <w:vAlign w:val="bottom"/>
          </w:tcPr>
          <w:p>
            <w:pPr>
              <w:ind w:left="194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Douglas A. Cifu</w:t>
            </w:r>
          </w:p>
        </w:tc>
      </w:tr>
      <w:tr>
        <w:trPr>
          <w:trHeight w:val="214"/>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Douglas A. Cifu</w:t>
            </w:r>
          </w:p>
        </w:tc>
      </w:tr>
      <w:tr>
        <w:trPr>
          <w:trHeight w:val="220"/>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86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Sean Galvin, certify that:</w:t>
      </w:r>
    </w:p>
    <w:p>
      <w:pPr>
        <w:spacing w:after="0" w:line="219" w:lineRule="exact"/>
        <w:rPr>
          <w:sz w:val="20"/>
          <w:szCs w:val="20"/>
          <w:color w:val="auto"/>
        </w:rPr>
      </w:pPr>
    </w:p>
    <w:p>
      <w:pPr>
        <w:ind w:left="620" w:right="40" w:hanging="305"/>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2023 of Virtu Financial, Inc. (the “registrant”) as filed with the Securities and Exchange Commission on the date hereof;</w:t>
      </w:r>
    </w:p>
    <w:p>
      <w:pPr>
        <w:spacing w:after="0" w:line="185" w:lineRule="exact"/>
        <w:rPr>
          <w:rFonts w:ascii="Arial" w:cs="Arial" w:eastAsia="Arial" w:hAnsi="Arial"/>
          <w:sz w:val="17"/>
          <w:szCs w:val="17"/>
          <w:color w:val="auto"/>
        </w:rPr>
      </w:pPr>
    </w:p>
    <w:p>
      <w:pPr>
        <w:ind w:left="620" w:right="80" w:hanging="305"/>
        <w:spacing w:after="0" w:line="354"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5"/>
          <w:szCs w:val="15"/>
          <w:color w:val="auto"/>
        </w:rPr>
      </w:pPr>
    </w:p>
    <w:p>
      <w:pPr>
        <w:ind w:left="620" w:right="520" w:hanging="305"/>
        <w:spacing w:after="0" w:line="317"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620" w:right="20" w:hanging="305"/>
        <w:spacing w:after="0" w:line="269"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100" w:right="340" w:hanging="474"/>
        <w:spacing w:after="0" w:line="269" w:lineRule="auto"/>
        <w:tabs>
          <w:tab w:leader="none" w:pos="1097"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1100" w:right="40" w:hanging="474"/>
        <w:spacing w:after="0" w:line="269" w:lineRule="auto"/>
        <w:tabs>
          <w:tab w:leader="none" w:pos="10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100" w:right="800" w:hanging="474"/>
        <w:spacing w:after="0" w:line="354" w:lineRule="auto"/>
        <w:tabs>
          <w:tab w:leader="none" w:pos="1097"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5"/>
          <w:szCs w:val="15"/>
          <w:color w:val="auto"/>
        </w:rPr>
      </w:pPr>
    </w:p>
    <w:p>
      <w:pPr>
        <w:ind w:left="1100" w:right="60" w:hanging="474"/>
        <w:spacing w:after="0" w:line="269" w:lineRule="auto"/>
        <w:tabs>
          <w:tab w:leader="none" w:pos="10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right="460" w:hanging="305"/>
        <w:spacing w:after="0" w:line="317"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1100" w:right="260" w:hanging="474"/>
        <w:spacing w:after="0" w:line="284" w:lineRule="auto"/>
        <w:tabs>
          <w:tab w:leader="none" w:pos="109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100" w:right="220" w:hanging="474"/>
        <w:spacing w:after="0" w:line="278" w:lineRule="auto"/>
        <w:tabs>
          <w:tab w:leader="none" w:pos="10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7"/>
                <w:szCs w:val="17"/>
                <w:color w:val="auto"/>
              </w:rPr>
              <w:t>Date: November 2, 2023</w:t>
            </w:r>
          </w:p>
        </w:tc>
        <w:tc>
          <w:tcPr>
            <w:tcW w:w="2540" w:type="dxa"/>
            <w:vAlign w:val="bottom"/>
          </w:tcPr>
          <w:p>
            <w:pPr>
              <w:ind w:left="196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P. Galvin</w:t>
            </w:r>
          </w:p>
        </w:tc>
      </w:tr>
      <w:tr>
        <w:trPr>
          <w:trHeight w:val="214"/>
        </w:trPr>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Sean Galvin</w:t>
            </w:r>
          </w:p>
        </w:tc>
      </w:tr>
      <w:tr>
        <w:trPr>
          <w:trHeight w:val="220"/>
        </w:trPr>
        <w:tc>
          <w:tcPr>
            <w:tcW w:w="36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7"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September 30, 2023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8" w:lineRule="exact"/>
        <w:rPr>
          <w:sz w:val="20"/>
          <w:szCs w:val="20"/>
          <w:color w:val="auto"/>
        </w:rPr>
      </w:pPr>
    </w:p>
    <w:p>
      <w:pPr>
        <w:ind w:left="1260" w:hanging="16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19" w:lineRule="exact"/>
        <w:rPr>
          <w:rFonts w:ascii="Arial" w:cs="Arial" w:eastAsia="Arial" w:hAnsi="Arial"/>
          <w:sz w:val="17"/>
          <w:szCs w:val="17"/>
          <w:color w:val="auto"/>
        </w:rPr>
      </w:pPr>
    </w:p>
    <w:p>
      <w:pPr>
        <w:ind w:left="1100" w:right="700" w:hanging="7"/>
        <w:spacing w:after="0" w:line="284" w:lineRule="auto"/>
        <w:tabs>
          <w:tab w:leader="none" w:pos="12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15240</wp:posOffset>
            </wp:positionV>
            <wp:extent cx="34740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18"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Douglas A. Cifu</w:t>
      </w:r>
    </w:p>
    <w:p>
      <w:pPr>
        <w:spacing w:after="0" w:line="25"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Chief Executive Officer</w:t>
      </w: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Date: November 2, 2023</w:t>
      </w:r>
    </w:p>
    <w:p>
      <w:pPr>
        <w:sectPr>
          <w:pgSz w:w="11900" w:h="16838" w:orient="portrait"/>
          <w:cols w:equalWidth="0" w:num="1">
            <w:col w:w="11240"/>
          </w:cols>
          <w:pgMar w:left="320" w:top="86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7"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September 30, 2023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72" w:lineRule="exact"/>
        <w:rPr>
          <w:sz w:val="20"/>
          <w:szCs w:val="20"/>
          <w:color w:val="auto"/>
        </w:rPr>
      </w:pPr>
    </w:p>
    <w:p>
      <w:pPr>
        <w:ind w:left="1260" w:hanging="16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19" w:lineRule="exact"/>
        <w:rPr>
          <w:rFonts w:ascii="Arial" w:cs="Arial" w:eastAsia="Arial" w:hAnsi="Arial"/>
          <w:sz w:val="17"/>
          <w:szCs w:val="17"/>
          <w:color w:val="auto"/>
        </w:rPr>
      </w:pPr>
    </w:p>
    <w:p>
      <w:pPr>
        <w:ind w:left="1100" w:right="700" w:hanging="7"/>
        <w:spacing w:after="0" w:line="284" w:lineRule="auto"/>
        <w:tabs>
          <w:tab w:leader="none" w:pos="12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wp:posOffset>
            </wp:positionV>
            <wp:extent cx="34905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Sean Galvin</w:t>
      </w:r>
    </w:p>
    <w:p>
      <w:pPr>
        <w:spacing w:after="0" w:line="2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Date: November 2, 2023</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lvl w:ilvl="1">
      <w:lvlJc w:val="left"/>
      <w:lvlText w:val="(%2)"/>
      <w:numFmt w:val="decimal"/>
      <w:start w:val="1"/>
    </w:lvl>
  </w:abstractNum>
  <w:abstractNum w:abstractNumId="10">
    <w:nsid w:val="3F2DBA31"/>
    <w:multiLevelType w:val="hybridMultilevel"/>
    <w:lvl w:ilvl="0">
      <w:lvlJc w:val="left"/>
      <w:lvlText w:val="%1."/>
      <w:numFmt w:val="decimal"/>
      <w:start w:val="18"/>
    </w:lvl>
    <w:lvl w:ilvl="1">
      <w:lvlJc w:val="left"/>
      <w:lvlText w:val="%2"/>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2023-11-02T15:59:54Z</dcterms:created>
  <dcterms:modified xsi:type="dcterms:W3CDTF">2023-11-02T15:59:54Z</dcterms:modified>
</cp:coreProperties>
</file>