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 Ioffe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Virtu Financial,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Liberty Plaza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165 Broadway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160" w:right="4119" w:hanging="4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Form 10-K for the Year Ended December 31, 2018 Filed March 1,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September 30,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8,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001-37352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Ioffe: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Financial Data, page 38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footnote 2 on page 40 that you recognized a gain of $86.6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on the reduction of tax receivable agreement obligation during 2017 as a result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2017 Tax Act, which is included in the "Other, net" line item of your total revenues.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that you included a gain on sale of Bondpoint of $337.6 million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"Other, net" line item of your total revenues during 2018. Please tell us why,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authoritative literature, you believe it is appropriate to reflect each of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gains as components of your total revenues instead of in other financial statement 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1819" w:firstLine="52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(such as a Non-Operating Income line item) on the income statement. Alex Ioffe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Virtu Financial, Inc. November 29, 2019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September 30, 2019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 Months Ended September 30, 2019 Compared to Nine Months Ended September 30, 2018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income, net, page 77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trading income, net decreased $216.8 million, or 24.1%, to $683.6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for the nine months ended September 30, 2019, compared to $900.5 million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nine months ended September 30, 2018 due to low trading volume across major asset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categories. Similarly, we note that your commissions, net and technology services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increased $219.2 million, or 155.9%, to $359.9 million for the nine months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September 30, 2019, compared to $140.7 million for the nine months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2018. In addition, your disclosure on page 64 indicates that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commissions revenues are impacted by transaction volumes and changes in commission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rates, among other factors. In your future filings, please revise to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price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 information such as the volume of trade or transaction activities by asset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category and weighted average fee rates for each component of revenue and period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presented, and include an analysis of any trends or uncertainties.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303(a)(3)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 and Section III.D of SEC Release No. 33-6835.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Cara Lubit at 202-551-5909 or Robert Klein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202-551-3847 if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2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LastNameAlex Ioffe Comapany NameVirtu Financial,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36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29, 2019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Finance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2020-10-08T00:47:43Z</dcterms:created>
  <dcterms:modified xsi:type="dcterms:W3CDTF">2020-10-08T00:47:43Z</dcterms:modified>
</cp:coreProperties>
</file>