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2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58"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7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45720</wp:posOffset>
            </wp:positionV>
            <wp:extent cx="5829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13"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53975</wp:posOffset>
            </wp:positionV>
            <wp:extent cx="5829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88"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1120" w:hanging="358"/>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4419600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158115</wp:posOffset>
            </wp:positionV>
            <wp:extent cx="1885950"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2640"/>
        <w:spacing w:after="0" w:line="256" w:lineRule="auto"/>
        <w:rPr>
          <w:sz w:val="20"/>
          <w:szCs w:val="20"/>
          <w:color w:val="auto"/>
        </w:rPr>
      </w:pPr>
      <w:r>
        <w:rPr>
          <w:rFonts w:ascii="Arial" w:cs="Arial" w:eastAsia="Arial" w:hAnsi="Arial"/>
          <w:sz w:val="54"/>
          <w:szCs w:val="54"/>
          <w:color w:val="002453"/>
        </w:rPr>
        <w:t>Notice of Annual Meeting of Stockholders</w:t>
      </w:r>
    </w:p>
    <w:p>
      <w:pPr>
        <w:spacing w:after="0" w:line="9" w:lineRule="exact"/>
        <w:rPr>
          <w:sz w:val="20"/>
          <w:szCs w:val="20"/>
          <w:color w:val="auto"/>
        </w:rPr>
      </w:pPr>
    </w:p>
    <w:p>
      <w:pPr>
        <w:ind w:left="760"/>
        <w:spacing w:after="0" w:line="245" w:lineRule="auto"/>
        <w:rPr>
          <w:sz w:val="20"/>
          <w:szCs w:val="20"/>
          <w:color w:val="auto"/>
        </w:rPr>
      </w:pPr>
      <w:r>
        <w:rPr>
          <w:rFonts w:ascii="Arial" w:cs="Arial" w:eastAsia="Arial" w:hAnsi="Arial"/>
          <w:sz w:val="18"/>
          <w:szCs w:val="18"/>
          <w:color w:val="auto"/>
        </w:rPr>
        <w:t>Notice is hereby given that the 2025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of Virtu Financial,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Virtu</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will be held on Monday, June 2, 2025, at 9:00 a.m. (Eastern Time). The Annual Meeting will be held in a virtual meeting format only. You can attend the Annual Meeting online, vote your shares electronically and submit your questions during the Annual Meeting, by visiting www.virtualshareholdermeeting.com/VIRT2025. You will need to have your 16-Digit Control Number included on your Notice or your proxy card (if you received a printed copy of the proxy materials) to join the Annual Meeting.</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holding the meeting for the following purposes:</w:t>
      </w:r>
    </w:p>
    <w:p>
      <w:pPr>
        <w:spacing w:after="0" w:line="117" w:lineRule="exact"/>
        <w:rPr>
          <w:sz w:val="20"/>
          <w:szCs w:val="20"/>
          <w:color w:val="auto"/>
        </w:rPr>
      </w:pPr>
    </w:p>
    <w:p>
      <w:pPr>
        <w:ind w:left="1200" w:right="140" w:hanging="222"/>
        <w:spacing w:after="0" w:line="242"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elect three directors to our board of directors, each to serve as a Class I director for a term of three years expiring at the annual meeting of stockholders to be held in 2028 and until such director’s successor has been duly elected and qualified;</w:t>
      </w:r>
    </w:p>
    <w:p>
      <w:pPr>
        <w:spacing w:after="0" w:line="83" w:lineRule="exact"/>
        <w:rPr>
          <w:rFonts w:ascii="Arial" w:cs="Arial" w:eastAsia="Arial" w:hAnsi="Arial"/>
          <w:sz w:val="22"/>
          <w:szCs w:val="22"/>
          <w:b w:val="1"/>
          <w:bCs w:val="1"/>
          <w:color w:val="00C08A"/>
        </w:rPr>
      </w:pPr>
    </w:p>
    <w:p>
      <w:pPr>
        <w:ind w:left="1200" w:right="66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99" w:lineRule="exact"/>
        <w:rPr>
          <w:rFonts w:ascii="Arial" w:cs="Arial" w:eastAsia="Arial" w:hAnsi="Arial"/>
          <w:sz w:val="22"/>
          <w:szCs w:val="22"/>
          <w:b w:val="1"/>
          <w:bCs w:val="1"/>
          <w:color w:val="00C08A"/>
        </w:rPr>
      </w:pPr>
    </w:p>
    <w:p>
      <w:pPr>
        <w:ind w:left="1200" w:right="46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on an advisory basis, the frequency (every one, two or three years) of future advisory votes to approve the compensation of our named executive officers;</w:t>
      </w:r>
    </w:p>
    <w:p>
      <w:pPr>
        <w:spacing w:after="0" w:line="85" w:lineRule="exact"/>
        <w:rPr>
          <w:rFonts w:ascii="Arial" w:cs="Arial" w:eastAsia="Arial" w:hAnsi="Arial"/>
          <w:sz w:val="22"/>
          <w:szCs w:val="22"/>
          <w:b w:val="1"/>
          <w:bCs w:val="1"/>
          <w:color w:val="00C08A"/>
        </w:rPr>
      </w:pPr>
    </w:p>
    <w:p>
      <w:pPr>
        <w:ind w:left="1200" w:right="4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ratify the appointment of PricewaterhouseCoopers LLP as our independent registered public accounting firm for the fiscal year ending December 31, 2025;</w:t>
      </w:r>
    </w:p>
    <w:p>
      <w:pPr>
        <w:spacing w:after="0" w:line="85" w:lineRule="exact"/>
        <w:rPr>
          <w:rFonts w:ascii="Arial" w:cs="Arial" w:eastAsia="Arial" w:hAnsi="Arial"/>
          <w:sz w:val="22"/>
          <w:szCs w:val="22"/>
          <w:b w:val="1"/>
          <w:bCs w:val="1"/>
          <w:color w:val="00C08A"/>
        </w:rPr>
      </w:pPr>
    </w:p>
    <w:p>
      <w:pPr>
        <w:ind w:left="1200" w:right="140" w:hanging="222"/>
        <w:spacing w:after="0" w:line="244"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the Virtu Financial, Inc. Second Amended and Restated 2015 Management Incentive Plan (the “Second Amended Plan”) to increase the number of shares authorized for issuance thereunder, extend the expiration date thereof and remove certain provisions related to Section 162(m) of the Code that are no longer applicable; and</w:t>
      </w:r>
    </w:p>
    <w:p>
      <w:pPr>
        <w:spacing w:after="0" w:line="97" w:lineRule="exact"/>
        <w:rPr>
          <w:rFonts w:ascii="Arial" w:cs="Arial" w:eastAsia="Arial" w:hAnsi="Arial"/>
          <w:sz w:val="22"/>
          <w:szCs w:val="22"/>
          <w:b w:val="1"/>
          <w:bCs w:val="1"/>
          <w:color w:val="00C08A"/>
        </w:rPr>
      </w:pPr>
    </w:p>
    <w:p>
      <w:pPr>
        <w:ind w:left="1200" w:right="64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transact any other business as may properly come before the Annual Meeting or any adjournment or postponement thereof.</w:t>
      </w:r>
    </w:p>
    <w:p>
      <w:pPr>
        <w:spacing w:after="0" w:line="86" w:lineRule="exact"/>
        <w:rPr>
          <w:sz w:val="20"/>
          <w:szCs w:val="20"/>
          <w:color w:val="auto"/>
        </w:rPr>
      </w:pPr>
    </w:p>
    <w:p>
      <w:pPr>
        <w:ind w:left="760" w:right="540"/>
        <w:spacing w:after="0" w:line="271" w:lineRule="auto"/>
        <w:rPr>
          <w:sz w:val="20"/>
          <w:szCs w:val="20"/>
          <w:color w:val="auto"/>
        </w:rPr>
      </w:pPr>
      <w:r>
        <w:rPr>
          <w:rFonts w:ascii="Arial" w:cs="Arial" w:eastAsia="Arial" w:hAnsi="Arial"/>
          <w:sz w:val="18"/>
          <w:szCs w:val="18"/>
          <w:color w:val="auto"/>
        </w:rPr>
        <w:t>Only stockholders of record as of the close of business on April 11, 2025 (the “</w:t>
      </w:r>
      <w:r>
        <w:rPr>
          <w:rFonts w:ascii="Arial" w:cs="Arial" w:eastAsia="Arial" w:hAnsi="Arial"/>
          <w:sz w:val="18"/>
          <w:szCs w:val="18"/>
          <w:b w:val="1"/>
          <w:bCs w:val="1"/>
          <w:color w:val="auto"/>
        </w:rPr>
        <w:t>Record Date</w:t>
      </w:r>
      <w:r>
        <w:rPr>
          <w:rFonts w:ascii="Arial" w:cs="Arial" w:eastAsia="Arial" w:hAnsi="Arial"/>
          <w:sz w:val="18"/>
          <w:szCs w:val="18"/>
          <w:color w:val="auto"/>
        </w:rPr>
        <w:t>”) will be entitled to attend or vote at the Annual Meeting or any adjournment or postponement thereof.</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make it easy to vote, Internet and telephone voting are available. The instructions for voting are on the proxy card.</w:t>
      </w:r>
    </w:p>
    <w:p>
      <w:pPr>
        <w:spacing w:after="0" w:line="129" w:lineRule="exact"/>
        <w:rPr>
          <w:sz w:val="20"/>
          <w:szCs w:val="20"/>
          <w:color w:val="auto"/>
        </w:rPr>
      </w:pPr>
    </w:p>
    <w:p>
      <w:pPr>
        <w:ind w:left="760" w:right="400"/>
        <w:spacing w:after="0" w:line="271" w:lineRule="auto"/>
        <w:rPr>
          <w:sz w:val="20"/>
          <w:szCs w:val="20"/>
          <w:color w:val="auto"/>
        </w:rPr>
      </w:pPr>
      <w:r>
        <w:rPr>
          <w:rFonts w:ascii="Arial" w:cs="Arial" w:eastAsia="Arial" w:hAnsi="Arial"/>
          <w:sz w:val="18"/>
          <w:szCs w:val="18"/>
          <w:color w:val="auto"/>
        </w:rPr>
        <w:t>If you hold your shares through a bank, broker or other holder of record, please follow the voting instructions you received from the holder of record.</w:t>
      </w:r>
    </w:p>
    <w:p>
      <w:pPr>
        <w:spacing w:after="0" w:line="46" w:lineRule="exact"/>
        <w:rPr>
          <w:sz w:val="20"/>
          <w:szCs w:val="20"/>
          <w:color w:val="auto"/>
        </w:rPr>
      </w:pPr>
    </w:p>
    <w:p>
      <w:pPr>
        <w:ind w:left="760" w:right="160"/>
        <w:spacing w:after="0" w:line="275" w:lineRule="auto"/>
        <w:rPr>
          <w:sz w:val="20"/>
          <w:szCs w:val="20"/>
          <w:color w:val="auto"/>
        </w:rPr>
      </w:pPr>
      <w:r>
        <w:rPr>
          <w:rFonts w:ascii="Arial" w:cs="Arial" w:eastAsia="Arial" w:hAnsi="Arial"/>
          <w:sz w:val="17"/>
          <w:szCs w:val="17"/>
          <w:b w:val="1"/>
          <w:bCs w:val="1"/>
          <w:color w:val="auto"/>
        </w:rPr>
        <w:t>Your vote is important. Whether or not you plan to attend the Annual Meeting, we hope you will vote your shares as soon as possible. Please mark, sign, date and return the accompanying proxy card or voting instruction form in the postage paid envelope or instruct us by telephone or via the Internet as to how you would like your shares voted. Instructions are included on the proxy card and voting instruction form.</w:t>
      </w:r>
    </w:p>
    <w:p>
      <w:pPr>
        <w:spacing w:after="0" w:line="4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43180</wp:posOffset>
            </wp:positionV>
            <wp:extent cx="2914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Michael T. Viola</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Chairman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23, 2025</w:t>
      </w:r>
    </w:p>
    <w:p>
      <w:pPr>
        <w:spacing w:after="0" w:line="302" w:lineRule="exact"/>
        <w:rPr>
          <w:sz w:val="20"/>
          <w:szCs w:val="20"/>
          <w:color w:val="auto"/>
        </w:rPr>
      </w:pPr>
    </w:p>
    <w:p>
      <w:pPr>
        <w:jc w:val="both"/>
        <w:ind w:left="760" w:right="100"/>
        <w:spacing w:after="0" w:line="26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JUNE 2, 2025: Virtu’s Proxy Statement and Annual Report on Form 10-K for the fiscal year ended December 31, 2024 are also available at https://materials.proxyvote.com/.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78105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31"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b w:val="1"/>
          <w:bCs w:val="1"/>
          <w:color w:val="auto"/>
        </w:rPr>
        <w:t>CAUTIONARY NOTICE REGARDING FORWARD-LOOKING STATEMENTS: This Proxy Statement may contain “forward-looking statements” made pursuant to the safe harbor provisions of the Private Securities Litigation Reform Act of 1995, which may relate to the Company’s future prospects or performance, governance, risk management practices, and executive compensation practices, among other topics. Statements regarding Virtu’s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are subject to risks and uncertainties, some or all of which are not predictable or within Virtu’s control, that could cause actual performance or results to differ materially from those expressed in the statements. For a discussion of the risks and uncertainties which could cause actual results to differ from those contained in forward-looking statements, please see Virtu’s Securities and Exchange Commission (“SEC”) filings, including but not limited to the information contained under the heading “Risk Factors” in Virtu’s Annual Report on Form 10-K, Virtu’s Quarterly Reports on Form 10-Q and Virtu’s Current Reports on Form 8-K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5793740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Table of Contents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8560" w:type="dxa"/>
            <w:vAlign w:val="bottom"/>
            <w:tcBorders>
              <w:top w:val="single" w:sz="8" w:color="00C08A"/>
            </w:tcBorders>
            <w:gridSpan w:val="12"/>
            <w:shd w:val="clear" w:color="auto" w:fill="CCEEFF"/>
          </w:tcPr>
          <w:p>
            <w:pPr>
              <w:spacing w:after="0"/>
              <w:rPr>
                <w:sz w:val="20"/>
                <w:szCs w:val="20"/>
                <w:color w:val="auto"/>
              </w:rPr>
            </w:pPr>
            <w:r>
              <w:rPr>
                <w:rFonts w:ascii="Arial" w:cs="Arial" w:eastAsia="Arial" w:hAnsi="Arial"/>
                <w:sz w:val="18"/>
                <w:szCs w:val="18"/>
                <w:color w:val="0000EE"/>
              </w:rPr>
              <w:t>PROXY STATEMENT SUMMARY</w:t>
            </w:r>
          </w:p>
        </w:tc>
        <w:tc>
          <w:tcPr>
            <w:tcW w:w="360" w:type="dxa"/>
            <w:vAlign w:val="bottom"/>
            <w:tcBorders>
              <w:top w:val="single" w:sz="8" w:color="00C08A"/>
            </w:tcBorders>
            <w:shd w:val="clear" w:color="auto" w:fill="CCEEFF"/>
          </w:tcPr>
          <w:p>
            <w:pPr>
              <w:spacing w:after="0"/>
              <w:rPr>
                <w:sz w:val="21"/>
                <w:szCs w:val="21"/>
                <w:color w:val="auto"/>
              </w:rPr>
            </w:pPr>
          </w:p>
        </w:tc>
        <w:tc>
          <w:tcPr>
            <w:tcW w:w="6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PROPOSAL 1: ELECTION OF DIRECTORS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CORPORATE GOVERNANCE</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PROPOSAL 2: ADVISORY VOTE TO APPROVE COMPENSATION OF NAMED EXECUTIVE OFFICERS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22</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1"/>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PROPOSAL 3: ADVISORY VOTE ON THE FREQUENCY OF FUTURE ADVISORY VOTES ON</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20" w:type="dxa"/>
            <w:vAlign w:val="bottom"/>
            <w:tcBorders>
              <w:top w:val="single" w:sz="8" w:color="0000EE"/>
              <w:bottom w:val="single" w:sz="8" w:color="0000EE"/>
            </w:tcBorders>
            <w:gridSpan w:val="7"/>
            <w:shd w:val="clear" w:color="auto" w:fill="CCEEFF"/>
          </w:tcPr>
          <w:p>
            <w:pPr>
              <w:spacing w:after="0" w:line="182" w:lineRule="exact"/>
              <w:rPr>
                <w:sz w:val="20"/>
                <w:szCs w:val="20"/>
                <w:color w:val="auto"/>
              </w:rPr>
            </w:pPr>
            <w:r>
              <w:rPr>
                <w:rFonts w:ascii="Arial" w:cs="Arial" w:eastAsia="Arial" w:hAnsi="Arial"/>
                <w:sz w:val="18"/>
                <w:szCs w:val="18"/>
                <w:color w:val="0000EE"/>
                <w:w w:val="97"/>
              </w:rPr>
              <w:t>COMPENSATION OF NAMED EXECUTIVE OFFICERS</w:t>
            </w:r>
          </w:p>
        </w:tc>
        <w:tc>
          <w:tcPr>
            <w:tcW w:w="2960" w:type="dxa"/>
            <w:vAlign w:val="bottom"/>
            <w:tcBorders>
              <w:top w:val="single" w:sz="8" w:color="0000EE"/>
              <w:bottom w:val="single" w:sz="8" w:color="0000EE"/>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CCEEFF"/>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23</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gridSpan w:val="2"/>
            <w:shd w:val="clear" w:color="auto" w:fill="00C08A"/>
          </w:tcPr>
          <w:p>
            <w:pPr>
              <w:spacing w:after="0" w:line="20" w:lineRule="exact"/>
              <w:rPr>
                <w:sz w:val="1"/>
                <w:szCs w:val="1"/>
                <w:color w:val="auto"/>
              </w:rPr>
            </w:pPr>
          </w:p>
        </w:tc>
        <w:tc>
          <w:tcPr>
            <w:tcW w:w="860" w:type="dxa"/>
            <w:vAlign w:val="bottom"/>
            <w:tcBorders>
              <w:top w:val="single" w:sz="8" w:color="CCEEFF"/>
            </w:tcBorders>
            <w:shd w:val="clear" w:color="auto" w:fill="00C08A"/>
          </w:tcPr>
          <w:p>
            <w:pPr>
              <w:spacing w:after="0" w:line="20" w:lineRule="exact"/>
              <w:rPr>
                <w:sz w:val="1"/>
                <w:szCs w:val="1"/>
                <w:color w:val="auto"/>
              </w:rPr>
            </w:pPr>
          </w:p>
        </w:tc>
        <w:tc>
          <w:tcPr>
            <w:tcW w:w="240" w:type="dxa"/>
            <w:vAlign w:val="bottom"/>
            <w:tcBorders>
              <w:top w:val="single" w:sz="8" w:color="CCEEFF"/>
            </w:tcBorders>
            <w:shd w:val="clear" w:color="auto" w:fill="00C08A"/>
          </w:tcPr>
          <w:p>
            <w:pPr>
              <w:spacing w:after="0" w:line="20" w:lineRule="exact"/>
              <w:rPr>
                <w:sz w:val="1"/>
                <w:szCs w:val="1"/>
                <w:color w:val="auto"/>
              </w:rPr>
            </w:pPr>
          </w:p>
        </w:tc>
        <w:tc>
          <w:tcPr>
            <w:tcW w:w="40" w:type="dxa"/>
            <w:vAlign w:val="bottom"/>
            <w:tcBorders>
              <w:top w:val="single" w:sz="8" w:color="CCEEFF"/>
            </w:tcBorders>
            <w:shd w:val="clear" w:color="auto" w:fill="00C08A"/>
          </w:tcPr>
          <w:p>
            <w:pPr>
              <w:spacing w:after="0" w:line="20" w:lineRule="exact"/>
              <w:rPr>
                <w:sz w:val="1"/>
                <w:szCs w:val="1"/>
                <w:color w:val="auto"/>
              </w:rPr>
            </w:pPr>
          </w:p>
        </w:tc>
        <w:tc>
          <w:tcPr>
            <w:tcW w:w="520" w:type="dxa"/>
            <w:vAlign w:val="bottom"/>
            <w:tcBorders>
              <w:top w:val="single" w:sz="8" w:color="CCEEFF"/>
            </w:tcBorders>
            <w:shd w:val="clear" w:color="auto" w:fill="00C08A"/>
          </w:tcPr>
          <w:p>
            <w:pPr>
              <w:spacing w:after="0" w:line="20" w:lineRule="exact"/>
              <w:rPr>
                <w:sz w:val="1"/>
                <w:szCs w:val="1"/>
                <w:color w:val="auto"/>
              </w:rPr>
            </w:pPr>
          </w:p>
        </w:tc>
        <w:tc>
          <w:tcPr>
            <w:tcW w:w="580" w:type="dxa"/>
            <w:vAlign w:val="bottom"/>
            <w:tcBorders>
              <w:top w:val="single" w:sz="8" w:color="CCEEFF"/>
            </w:tcBorders>
            <w:shd w:val="clear" w:color="auto" w:fill="00C08A"/>
          </w:tcPr>
          <w:p>
            <w:pPr>
              <w:spacing w:after="0" w:line="20" w:lineRule="exact"/>
              <w:rPr>
                <w:sz w:val="1"/>
                <w:szCs w:val="1"/>
                <w:color w:val="auto"/>
              </w:rPr>
            </w:pPr>
          </w:p>
        </w:tc>
        <w:tc>
          <w:tcPr>
            <w:tcW w:w="500" w:type="dxa"/>
            <w:vAlign w:val="bottom"/>
            <w:tcBorders>
              <w:top w:val="single" w:sz="8" w:color="CCEEFF"/>
            </w:tcBorders>
            <w:shd w:val="clear" w:color="auto" w:fill="00C08A"/>
          </w:tcPr>
          <w:p>
            <w:pPr>
              <w:spacing w:after="0" w:line="20" w:lineRule="exact"/>
              <w:rPr>
                <w:sz w:val="1"/>
                <w:szCs w:val="1"/>
                <w:color w:val="auto"/>
              </w:rPr>
            </w:pPr>
          </w:p>
        </w:tc>
        <w:tc>
          <w:tcPr>
            <w:tcW w:w="2960" w:type="dxa"/>
            <w:vAlign w:val="bottom"/>
            <w:tcBorders>
              <w:top w:val="single" w:sz="8" w:color="CCEEFF"/>
            </w:tcBorders>
            <w:shd w:val="clear" w:color="auto" w:fill="00C08A"/>
          </w:tcPr>
          <w:p>
            <w:pPr>
              <w:spacing w:after="0" w:line="20" w:lineRule="exact"/>
              <w:rPr>
                <w:sz w:val="1"/>
                <w:szCs w:val="1"/>
                <w:color w:val="auto"/>
              </w:rPr>
            </w:pPr>
          </w:p>
        </w:tc>
        <w:tc>
          <w:tcPr>
            <w:tcW w:w="20" w:type="dxa"/>
            <w:vAlign w:val="bottom"/>
            <w:tcBorders>
              <w:top w:val="single" w:sz="8" w:color="CCEEFF"/>
            </w:tcBorders>
            <w:shd w:val="clear" w:color="auto" w:fill="00C08A"/>
          </w:tcPr>
          <w:p>
            <w:pPr>
              <w:spacing w:after="0" w:line="20" w:lineRule="exact"/>
              <w:rPr>
                <w:sz w:val="1"/>
                <w:szCs w:val="1"/>
                <w:color w:val="auto"/>
              </w:rPr>
            </w:pPr>
          </w:p>
        </w:tc>
        <w:tc>
          <w:tcPr>
            <w:tcW w:w="480" w:type="dxa"/>
            <w:vAlign w:val="bottom"/>
            <w:tcBorders>
              <w:top w:val="single" w:sz="8" w:color="CCEEFF"/>
            </w:tcBorders>
            <w:shd w:val="clear" w:color="auto" w:fill="00C08A"/>
          </w:tcPr>
          <w:p>
            <w:pPr>
              <w:spacing w:after="0" w:line="20" w:lineRule="exact"/>
              <w:rPr>
                <w:sz w:val="1"/>
                <w:szCs w:val="1"/>
                <w:color w:val="auto"/>
              </w:rPr>
            </w:pPr>
          </w:p>
        </w:tc>
        <w:tc>
          <w:tcPr>
            <w:tcW w:w="500" w:type="dxa"/>
            <w:vAlign w:val="bottom"/>
            <w:tcBorders>
              <w:top w:val="single" w:sz="8" w:color="CCEEFF"/>
            </w:tcBorders>
            <w:shd w:val="clear" w:color="auto" w:fill="00C08A"/>
          </w:tcPr>
          <w:p>
            <w:pPr>
              <w:spacing w:after="0" w:line="20" w:lineRule="exact"/>
              <w:rPr>
                <w:sz w:val="1"/>
                <w:szCs w:val="1"/>
                <w:color w:val="auto"/>
              </w:rPr>
            </w:pPr>
          </w:p>
        </w:tc>
        <w:tc>
          <w:tcPr>
            <w:tcW w:w="360" w:type="dxa"/>
            <w:vAlign w:val="bottom"/>
            <w:tcBorders>
              <w:top w:val="single" w:sz="8" w:color="CCEEFF"/>
            </w:tcBorders>
            <w:shd w:val="clear" w:color="auto" w:fill="00C08A"/>
          </w:tcPr>
          <w:p>
            <w:pPr>
              <w:spacing w:after="0" w:line="20" w:lineRule="exact"/>
              <w:rPr>
                <w:sz w:val="1"/>
                <w:szCs w:val="1"/>
                <w:color w:val="auto"/>
              </w:rPr>
            </w:pPr>
          </w:p>
        </w:tc>
        <w:tc>
          <w:tcPr>
            <w:tcW w:w="60" w:type="dxa"/>
            <w:vAlign w:val="bottom"/>
            <w:tcBorders>
              <w:top w:val="single" w:sz="8" w:color="CCEEFF"/>
            </w:tcBorders>
            <w:shd w:val="clear" w:color="auto" w:fill="00C08A"/>
          </w:tcPr>
          <w:p>
            <w:pPr>
              <w:spacing w:after="0" w:line="20" w:lineRule="exact"/>
              <w:rPr>
                <w:sz w:val="1"/>
                <w:szCs w:val="1"/>
                <w:color w:val="auto"/>
              </w:rPr>
            </w:pPr>
          </w:p>
        </w:tc>
        <w:tc>
          <w:tcPr>
            <w:tcW w:w="100" w:type="dxa"/>
            <w:vAlign w:val="bottom"/>
            <w:tcBorders>
              <w:top w:val="single" w:sz="8" w:color="CCEEFF"/>
            </w:tcBorders>
            <w:shd w:val="clear" w:color="auto" w:fill="00C08A"/>
          </w:tcPr>
          <w:p>
            <w:pPr>
              <w:spacing w:after="0" w:line="20" w:lineRule="exact"/>
              <w:rPr>
                <w:sz w:val="1"/>
                <w:szCs w:val="1"/>
                <w:color w:val="auto"/>
              </w:rPr>
            </w:pPr>
          </w:p>
        </w:tc>
        <w:tc>
          <w:tcPr>
            <w:tcW w:w="100" w:type="dxa"/>
            <w:vAlign w:val="bottom"/>
            <w:tcBorders>
              <w:top w:val="single" w:sz="8" w:color="CCEEFF"/>
            </w:tcBorders>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EXECUTIVE COMPENSATION</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24</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340" w:type="dxa"/>
            <w:vAlign w:val="bottom"/>
            <w:tcBorders>
              <w:bottom w:val="single" w:sz="8" w:color="0000EE"/>
            </w:tcBorders>
            <w:gridSpan w:val="5"/>
            <w:shd w:val="clear" w:color="auto" w:fill="CCEEFF"/>
          </w:tcPr>
          <w:p>
            <w:pPr>
              <w:spacing w:after="0" w:line="196" w:lineRule="exact"/>
              <w:rPr>
                <w:sz w:val="20"/>
                <w:szCs w:val="20"/>
                <w:color w:val="auto"/>
              </w:rPr>
            </w:pPr>
            <w:r>
              <w:rPr>
                <w:rFonts w:ascii="Arial" w:cs="Arial" w:eastAsia="Arial" w:hAnsi="Arial"/>
                <w:sz w:val="18"/>
                <w:szCs w:val="18"/>
                <w:color w:val="0000EE"/>
                <w:w w:val="97"/>
              </w:rPr>
              <w:t>COMPENSATION COMMITTEE REPORT</w:t>
            </w: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00C08A"/>
              <w:bottom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3920" w:type="dxa"/>
            <w:vAlign w:val="bottom"/>
            <w:tcBorders>
              <w:top w:val="single" w:sz="8" w:color="00C08A"/>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7"/>
              </w:rPr>
              <w:t>COMPENSATION DISCUSSION AND ANALYSIS</w:t>
            </w:r>
          </w:p>
        </w:tc>
        <w:tc>
          <w:tcPr>
            <w:tcW w:w="500" w:type="dxa"/>
            <w:vAlign w:val="bottom"/>
            <w:tcBorders>
              <w:top w:val="single" w:sz="8" w:color="00C08A"/>
              <w:bottom w:val="single" w:sz="8" w:color="00C08A"/>
            </w:tcBorders>
            <w:vMerge w:val="restart"/>
          </w:tcPr>
          <w:p>
            <w:pPr>
              <w:spacing w:after="0"/>
              <w:rPr>
                <w:sz w:val="18"/>
                <w:szCs w:val="18"/>
                <w:color w:val="auto"/>
              </w:rPr>
            </w:pPr>
          </w:p>
        </w:tc>
        <w:tc>
          <w:tcPr>
            <w:tcW w:w="2980" w:type="dxa"/>
            <w:vAlign w:val="bottom"/>
            <w:tcBorders>
              <w:top w:val="single" w:sz="8" w:color="00C08A"/>
              <w:bottom w:val="single" w:sz="8" w:color="00C08A"/>
            </w:tcBorders>
            <w:gridSpan w:val="2"/>
            <w:vMerge w:val="restart"/>
          </w:tcPr>
          <w:p>
            <w:pPr>
              <w:spacing w:after="0"/>
              <w:rPr>
                <w:sz w:val="18"/>
                <w:szCs w:val="18"/>
                <w:color w:val="auto"/>
              </w:rPr>
            </w:pPr>
          </w:p>
        </w:tc>
        <w:tc>
          <w:tcPr>
            <w:tcW w:w="480" w:type="dxa"/>
            <w:vAlign w:val="bottom"/>
            <w:tcBorders>
              <w:top w:val="single" w:sz="8" w:color="00C08A"/>
              <w:bottom w:val="single" w:sz="8" w:color="00C08A"/>
            </w:tcBorders>
            <w:vMerge w:val="restart"/>
          </w:tcPr>
          <w:p>
            <w:pPr>
              <w:spacing w:after="0"/>
              <w:rPr>
                <w:sz w:val="18"/>
                <w:szCs w:val="18"/>
                <w:color w:val="auto"/>
              </w:rPr>
            </w:pPr>
          </w:p>
        </w:tc>
        <w:tc>
          <w:tcPr>
            <w:tcW w:w="500" w:type="dxa"/>
            <w:vAlign w:val="bottom"/>
            <w:tcBorders>
              <w:top w:val="single" w:sz="8" w:color="00C08A"/>
              <w:bottom w:val="single" w:sz="8" w:color="00C08A"/>
            </w:tcBorders>
            <w:vMerge w:val="restart"/>
          </w:tcPr>
          <w:p>
            <w:pPr>
              <w:spacing w:after="0"/>
              <w:rPr>
                <w:sz w:val="18"/>
                <w:szCs w:val="18"/>
                <w:color w:val="auto"/>
              </w:rPr>
            </w:pPr>
          </w:p>
        </w:tc>
        <w:tc>
          <w:tcPr>
            <w:tcW w:w="420" w:type="dxa"/>
            <w:vAlign w:val="bottom"/>
            <w:tcBorders>
              <w:top w:val="single" w:sz="8" w:color="00C08A"/>
              <w:bottom w:val="single" w:sz="8" w:color="00C08A"/>
            </w:tcBorders>
            <w:gridSpan w:val="2"/>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00C08A"/>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24</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08A"/>
            </w:tcBorders>
            <w:vMerge w:val="continue"/>
          </w:tcPr>
          <w:p>
            <w:pPr>
              <w:spacing w:after="0"/>
              <w:rPr>
                <w:sz w:val="2"/>
                <w:szCs w:val="2"/>
                <w:color w:val="auto"/>
              </w:rPr>
            </w:pPr>
          </w:p>
        </w:tc>
        <w:tc>
          <w:tcPr>
            <w:tcW w:w="1680" w:type="dxa"/>
            <w:vAlign w:val="bottom"/>
            <w:tcBorders>
              <w:bottom w:val="single" w:sz="8" w:color="00C08A"/>
            </w:tcBorders>
          </w:tcPr>
          <w:p>
            <w:pPr>
              <w:spacing w:after="0"/>
              <w:rPr>
                <w:sz w:val="2"/>
                <w:szCs w:val="2"/>
                <w:color w:val="auto"/>
              </w:rPr>
            </w:pPr>
          </w:p>
        </w:tc>
        <w:tc>
          <w:tcPr>
            <w:tcW w:w="860" w:type="dxa"/>
            <w:vAlign w:val="bottom"/>
            <w:tcBorders>
              <w:bottom w:val="single" w:sz="8" w:color="00C08A"/>
            </w:tcBorders>
          </w:tcPr>
          <w:p>
            <w:pPr>
              <w:spacing w:after="0"/>
              <w:rPr>
                <w:sz w:val="2"/>
                <w:szCs w:val="2"/>
                <w:color w:val="auto"/>
              </w:rPr>
            </w:pPr>
          </w:p>
        </w:tc>
        <w:tc>
          <w:tcPr>
            <w:tcW w:w="240" w:type="dxa"/>
            <w:vAlign w:val="bottom"/>
            <w:tcBorders>
              <w:bottom w:val="single" w:sz="8" w:color="00C08A"/>
            </w:tcBorders>
          </w:tcPr>
          <w:p>
            <w:pPr>
              <w:spacing w:after="0"/>
              <w:rPr>
                <w:sz w:val="2"/>
                <w:szCs w:val="2"/>
                <w:color w:val="auto"/>
              </w:rPr>
            </w:pPr>
          </w:p>
        </w:tc>
        <w:tc>
          <w:tcPr>
            <w:tcW w:w="40" w:type="dxa"/>
            <w:vAlign w:val="bottom"/>
            <w:tcBorders>
              <w:bottom w:val="single" w:sz="8" w:color="00C08A"/>
            </w:tcBorders>
          </w:tcPr>
          <w:p>
            <w:pPr>
              <w:spacing w:after="0"/>
              <w:rPr>
                <w:sz w:val="2"/>
                <w:szCs w:val="2"/>
                <w:color w:val="auto"/>
              </w:rPr>
            </w:pPr>
          </w:p>
        </w:tc>
        <w:tc>
          <w:tcPr>
            <w:tcW w:w="1100" w:type="dxa"/>
            <w:vAlign w:val="bottom"/>
            <w:tcBorders>
              <w:bottom w:val="single" w:sz="8" w:color="00C08A"/>
            </w:tcBorders>
            <w:gridSpan w:val="2"/>
          </w:tcPr>
          <w:p>
            <w:pPr>
              <w:spacing w:after="0"/>
              <w:rPr>
                <w:sz w:val="2"/>
                <w:szCs w:val="2"/>
                <w:color w:val="auto"/>
              </w:rPr>
            </w:pPr>
          </w:p>
        </w:tc>
        <w:tc>
          <w:tcPr>
            <w:tcW w:w="500" w:type="dxa"/>
            <w:vAlign w:val="bottom"/>
            <w:tcBorders>
              <w:bottom w:val="single" w:sz="8" w:color="00C08A"/>
            </w:tcBorders>
            <w:vMerge w:val="continue"/>
          </w:tcPr>
          <w:p>
            <w:pPr>
              <w:spacing w:after="0"/>
              <w:rPr>
                <w:sz w:val="2"/>
                <w:szCs w:val="2"/>
                <w:color w:val="auto"/>
              </w:rPr>
            </w:pPr>
          </w:p>
        </w:tc>
        <w:tc>
          <w:tcPr>
            <w:tcW w:w="2980" w:type="dxa"/>
            <w:vAlign w:val="bottom"/>
            <w:tcBorders>
              <w:bottom w:val="single" w:sz="8" w:color="00C08A"/>
            </w:tcBorders>
            <w:gridSpan w:val="2"/>
            <w:vMerge w:val="continue"/>
          </w:tcPr>
          <w:p>
            <w:pPr>
              <w:spacing w:after="0"/>
              <w:rPr>
                <w:sz w:val="2"/>
                <w:szCs w:val="2"/>
                <w:color w:val="auto"/>
              </w:rPr>
            </w:pPr>
          </w:p>
        </w:tc>
        <w:tc>
          <w:tcPr>
            <w:tcW w:w="480" w:type="dxa"/>
            <w:vAlign w:val="bottom"/>
            <w:tcBorders>
              <w:bottom w:val="single" w:sz="8" w:color="00C08A"/>
            </w:tcBorders>
            <w:vMerge w:val="continue"/>
          </w:tcPr>
          <w:p>
            <w:pPr>
              <w:spacing w:after="0"/>
              <w:rPr>
                <w:sz w:val="2"/>
                <w:szCs w:val="2"/>
                <w:color w:val="auto"/>
              </w:rPr>
            </w:pPr>
          </w:p>
        </w:tc>
        <w:tc>
          <w:tcPr>
            <w:tcW w:w="500" w:type="dxa"/>
            <w:vAlign w:val="bottom"/>
            <w:tcBorders>
              <w:bottom w:val="single" w:sz="8" w:color="00C08A"/>
            </w:tcBorders>
            <w:vMerge w:val="continue"/>
          </w:tcPr>
          <w:p>
            <w:pPr>
              <w:spacing w:after="0"/>
              <w:rPr>
                <w:sz w:val="2"/>
                <w:szCs w:val="2"/>
                <w:color w:val="auto"/>
              </w:rPr>
            </w:pPr>
          </w:p>
        </w:tc>
        <w:tc>
          <w:tcPr>
            <w:tcW w:w="420" w:type="dxa"/>
            <w:vAlign w:val="bottom"/>
            <w:tcBorders>
              <w:bottom w:val="single" w:sz="8" w:color="00C08A"/>
            </w:tcBorders>
            <w:gridSpan w:val="2"/>
            <w:vMerge w:val="continue"/>
          </w:tcPr>
          <w:p>
            <w:pPr>
              <w:spacing w:after="0"/>
              <w:rPr>
                <w:sz w:val="2"/>
                <w:szCs w:val="2"/>
                <w:color w:val="auto"/>
              </w:rPr>
            </w:pPr>
          </w:p>
        </w:tc>
        <w:tc>
          <w:tcPr>
            <w:tcW w:w="200" w:type="dxa"/>
            <w:vAlign w:val="bottom"/>
            <w:tcBorders>
              <w:bottom w:val="single" w:sz="8" w:color="00C08A"/>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6"/>
              </w:rPr>
              <w:t>CEO PAY RATIO DISCLOSURE</w:t>
            </w:r>
          </w:p>
        </w:tc>
        <w:tc>
          <w:tcPr>
            <w:tcW w:w="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3"/>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48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0" w:type="dxa"/>
            <w:vAlign w:val="bottom"/>
            <w:tcBorders>
              <w:top w:val="single" w:sz="8" w:color="00C08A"/>
              <w:bottom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2820" w:type="dxa"/>
            <w:vAlign w:val="bottom"/>
            <w:tcBorders>
              <w:top w:val="single" w:sz="8" w:color="00C08A"/>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COMPENSATION OF DIRECTORS</w:t>
            </w:r>
          </w:p>
        </w:tc>
        <w:tc>
          <w:tcPr>
            <w:tcW w:w="1600" w:type="dxa"/>
            <w:vAlign w:val="bottom"/>
            <w:tcBorders>
              <w:top w:val="single" w:sz="8" w:color="00C08A"/>
              <w:bottom w:val="single" w:sz="8" w:color="00C08A"/>
            </w:tcBorders>
            <w:gridSpan w:val="3"/>
            <w:vMerge w:val="restart"/>
          </w:tcPr>
          <w:p>
            <w:pPr>
              <w:spacing w:after="0"/>
              <w:rPr>
                <w:sz w:val="18"/>
                <w:szCs w:val="18"/>
                <w:color w:val="auto"/>
              </w:rPr>
            </w:pPr>
          </w:p>
        </w:tc>
        <w:tc>
          <w:tcPr>
            <w:tcW w:w="2980" w:type="dxa"/>
            <w:vAlign w:val="bottom"/>
            <w:tcBorders>
              <w:top w:val="single" w:sz="8" w:color="00C08A"/>
              <w:bottom w:val="single" w:sz="8" w:color="00C08A"/>
            </w:tcBorders>
            <w:gridSpan w:val="2"/>
            <w:vMerge w:val="restart"/>
          </w:tcPr>
          <w:p>
            <w:pPr>
              <w:spacing w:after="0"/>
              <w:rPr>
                <w:sz w:val="18"/>
                <w:szCs w:val="18"/>
                <w:color w:val="auto"/>
              </w:rPr>
            </w:pPr>
          </w:p>
        </w:tc>
        <w:tc>
          <w:tcPr>
            <w:tcW w:w="480" w:type="dxa"/>
            <w:vAlign w:val="bottom"/>
            <w:tcBorders>
              <w:top w:val="single" w:sz="8" w:color="00C08A"/>
              <w:bottom w:val="single" w:sz="8" w:color="00C08A"/>
            </w:tcBorders>
            <w:vMerge w:val="restart"/>
          </w:tcPr>
          <w:p>
            <w:pPr>
              <w:spacing w:after="0"/>
              <w:rPr>
                <w:sz w:val="18"/>
                <w:szCs w:val="18"/>
                <w:color w:val="auto"/>
              </w:rPr>
            </w:pPr>
          </w:p>
        </w:tc>
        <w:tc>
          <w:tcPr>
            <w:tcW w:w="500" w:type="dxa"/>
            <w:vAlign w:val="bottom"/>
            <w:tcBorders>
              <w:top w:val="single" w:sz="8" w:color="00C08A"/>
              <w:bottom w:val="single" w:sz="8" w:color="00C08A"/>
            </w:tcBorders>
            <w:vMerge w:val="restart"/>
          </w:tcPr>
          <w:p>
            <w:pPr>
              <w:spacing w:after="0"/>
              <w:rPr>
                <w:sz w:val="18"/>
                <w:szCs w:val="18"/>
                <w:color w:val="auto"/>
              </w:rPr>
            </w:pPr>
          </w:p>
        </w:tc>
        <w:tc>
          <w:tcPr>
            <w:tcW w:w="420" w:type="dxa"/>
            <w:vAlign w:val="bottom"/>
            <w:tcBorders>
              <w:top w:val="single" w:sz="8" w:color="00C08A"/>
              <w:bottom w:val="single" w:sz="8" w:color="00C08A"/>
            </w:tcBorders>
            <w:gridSpan w:val="2"/>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00C08A"/>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49</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08A"/>
            </w:tcBorders>
            <w:vMerge w:val="continue"/>
          </w:tcPr>
          <w:p>
            <w:pPr>
              <w:spacing w:after="0"/>
              <w:rPr>
                <w:sz w:val="2"/>
                <w:szCs w:val="2"/>
                <w:color w:val="auto"/>
              </w:rPr>
            </w:pPr>
          </w:p>
        </w:tc>
        <w:tc>
          <w:tcPr>
            <w:tcW w:w="1680" w:type="dxa"/>
            <w:vAlign w:val="bottom"/>
            <w:tcBorders>
              <w:bottom w:val="single" w:sz="8" w:color="00C08A"/>
            </w:tcBorders>
          </w:tcPr>
          <w:p>
            <w:pPr>
              <w:spacing w:after="0"/>
              <w:rPr>
                <w:sz w:val="2"/>
                <w:szCs w:val="2"/>
                <w:color w:val="auto"/>
              </w:rPr>
            </w:pPr>
          </w:p>
        </w:tc>
        <w:tc>
          <w:tcPr>
            <w:tcW w:w="1100" w:type="dxa"/>
            <w:vAlign w:val="bottom"/>
            <w:tcBorders>
              <w:bottom w:val="single" w:sz="8" w:color="00C08A"/>
            </w:tcBorders>
            <w:gridSpan w:val="2"/>
          </w:tcPr>
          <w:p>
            <w:pPr>
              <w:spacing w:after="0"/>
              <w:rPr>
                <w:sz w:val="2"/>
                <w:szCs w:val="2"/>
                <w:color w:val="auto"/>
              </w:rPr>
            </w:pPr>
          </w:p>
        </w:tc>
        <w:tc>
          <w:tcPr>
            <w:tcW w:w="40" w:type="dxa"/>
            <w:vAlign w:val="bottom"/>
            <w:tcBorders>
              <w:bottom w:val="single" w:sz="8" w:color="00C08A"/>
            </w:tcBorders>
          </w:tcPr>
          <w:p>
            <w:pPr>
              <w:spacing w:after="0"/>
              <w:rPr>
                <w:sz w:val="2"/>
                <w:szCs w:val="2"/>
                <w:color w:val="auto"/>
              </w:rPr>
            </w:pPr>
          </w:p>
        </w:tc>
        <w:tc>
          <w:tcPr>
            <w:tcW w:w="1600" w:type="dxa"/>
            <w:vAlign w:val="bottom"/>
            <w:tcBorders>
              <w:bottom w:val="single" w:sz="8" w:color="00C08A"/>
            </w:tcBorders>
            <w:gridSpan w:val="3"/>
            <w:vMerge w:val="continue"/>
          </w:tcPr>
          <w:p>
            <w:pPr>
              <w:spacing w:after="0"/>
              <w:rPr>
                <w:sz w:val="2"/>
                <w:szCs w:val="2"/>
                <w:color w:val="auto"/>
              </w:rPr>
            </w:pPr>
          </w:p>
        </w:tc>
        <w:tc>
          <w:tcPr>
            <w:tcW w:w="2980" w:type="dxa"/>
            <w:vAlign w:val="bottom"/>
            <w:tcBorders>
              <w:bottom w:val="single" w:sz="8" w:color="00C08A"/>
            </w:tcBorders>
            <w:gridSpan w:val="2"/>
            <w:vMerge w:val="continue"/>
          </w:tcPr>
          <w:p>
            <w:pPr>
              <w:spacing w:after="0"/>
              <w:rPr>
                <w:sz w:val="2"/>
                <w:szCs w:val="2"/>
                <w:color w:val="auto"/>
              </w:rPr>
            </w:pPr>
          </w:p>
        </w:tc>
        <w:tc>
          <w:tcPr>
            <w:tcW w:w="480" w:type="dxa"/>
            <w:vAlign w:val="bottom"/>
            <w:tcBorders>
              <w:bottom w:val="single" w:sz="8" w:color="00C08A"/>
            </w:tcBorders>
            <w:vMerge w:val="continue"/>
          </w:tcPr>
          <w:p>
            <w:pPr>
              <w:spacing w:after="0"/>
              <w:rPr>
                <w:sz w:val="2"/>
                <w:szCs w:val="2"/>
                <w:color w:val="auto"/>
              </w:rPr>
            </w:pPr>
          </w:p>
        </w:tc>
        <w:tc>
          <w:tcPr>
            <w:tcW w:w="500" w:type="dxa"/>
            <w:vAlign w:val="bottom"/>
            <w:tcBorders>
              <w:bottom w:val="single" w:sz="8" w:color="00C08A"/>
            </w:tcBorders>
            <w:vMerge w:val="continue"/>
          </w:tcPr>
          <w:p>
            <w:pPr>
              <w:spacing w:after="0"/>
              <w:rPr>
                <w:sz w:val="2"/>
                <w:szCs w:val="2"/>
                <w:color w:val="auto"/>
              </w:rPr>
            </w:pPr>
          </w:p>
        </w:tc>
        <w:tc>
          <w:tcPr>
            <w:tcW w:w="420" w:type="dxa"/>
            <w:vAlign w:val="bottom"/>
            <w:tcBorders>
              <w:bottom w:val="single" w:sz="8" w:color="00C08A"/>
            </w:tcBorders>
            <w:gridSpan w:val="2"/>
            <w:vMerge w:val="continue"/>
          </w:tcPr>
          <w:p>
            <w:pPr>
              <w:spacing w:after="0"/>
              <w:rPr>
                <w:sz w:val="2"/>
                <w:szCs w:val="2"/>
                <w:color w:val="auto"/>
              </w:rPr>
            </w:pPr>
          </w:p>
        </w:tc>
        <w:tc>
          <w:tcPr>
            <w:tcW w:w="200" w:type="dxa"/>
            <w:vAlign w:val="bottom"/>
            <w:tcBorders>
              <w:bottom w:val="single" w:sz="8" w:color="00C08A"/>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0000EE"/>
            </w:tcBorders>
            <w:gridSpan w:val="10"/>
            <w:shd w:val="clear" w:color="auto" w:fill="CCEEFF"/>
          </w:tcPr>
          <w:p>
            <w:pPr>
              <w:spacing w:after="0" w:line="196" w:lineRule="exact"/>
              <w:rPr>
                <w:sz w:val="20"/>
                <w:szCs w:val="20"/>
                <w:color w:val="auto"/>
              </w:rPr>
            </w:pPr>
            <w:r>
              <w:rPr>
                <w:rFonts w:ascii="Arial" w:cs="Arial" w:eastAsia="Arial" w:hAnsi="Arial"/>
                <w:sz w:val="18"/>
                <w:szCs w:val="18"/>
                <w:color w:val="0000EE"/>
                <w:w w:val="98"/>
              </w:rPr>
              <w:t>PROPOSAL 4: RATIFICATION OF APPOINTMENT OF INDEPENDENT REGISTERED PUBLIC</w:t>
            </w:r>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0000EE"/>
            </w:tcBorders>
            <w:shd w:val="clear" w:color="auto" w:fill="CCEEFF"/>
          </w:tcPr>
          <w:p>
            <w:pPr>
              <w:spacing w:after="0" w:line="182" w:lineRule="exact"/>
              <w:rPr>
                <w:sz w:val="20"/>
                <w:szCs w:val="20"/>
                <w:color w:val="auto"/>
              </w:rPr>
            </w:pPr>
            <w:r>
              <w:rPr>
                <w:rFonts w:ascii="Arial" w:cs="Arial" w:eastAsia="Arial" w:hAnsi="Arial"/>
                <w:sz w:val="18"/>
                <w:szCs w:val="18"/>
                <w:color w:val="0000EE"/>
                <w:w w:val="97"/>
              </w:rPr>
              <w:t>ACCOUNTING FIRM</w:t>
            </w:r>
          </w:p>
        </w:tc>
        <w:tc>
          <w:tcPr>
            <w:tcW w:w="110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spacing w:after="0"/>
              <w:rPr>
                <w:sz w:val="21"/>
                <w:szCs w:val="21"/>
                <w:color w:val="auto"/>
              </w:rPr>
            </w:pPr>
          </w:p>
        </w:tc>
        <w:tc>
          <w:tcPr>
            <w:tcW w:w="3460" w:type="dxa"/>
            <w:vAlign w:val="bottom"/>
            <w:tcBorders>
              <w:bottom w:val="single" w:sz="8" w:color="CCEEFF"/>
            </w:tcBorders>
            <w:gridSpan w:val="3"/>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50</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gridSpan w:val="2"/>
            <w:shd w:val="clear" w:color="auto" w:fill="00C08A"/>
          </w:tcPr>
          <w:p>
            <w:pPr>
              <w:spacing w:after="0" w:line="20" w:lineRule="exact"/>
              <w:rPr>
                <w:sz w:val="1"/>
                <w:szCs w:val="1"/>
                <w:color w:val="auto"/>
              </w:rPr>
            </w:pPr>
          </w:p>
        </w:tc>
        <w:tc>
          <w:tcPr>
            <w:tcW w:w="860" w:type="dxa"/>
            <w:vAlign w:val="bottom"/>
            <w:tcBorders>
              <w:top w:val="single" w:sz="8" w:color="CCEEFF"/>
            </w:tcBorders>
            <w:shd w:val="clear" w:color="auto" w:fill="00C08A"/>
          </w:tcPr>
          <w:p>
            <w:pPr>
              <w:spacing w:after="0" w:line="20" w:lineRule="exact"/>
              <w:rPr>
                <w:sz w:val="1"/>
                <w:szCs w:val="1"/>
                <w:color w:val="auto"/>
              </w:rPr>
            </w:pPr>
          </w:p>
        </w:tc>
        <w:tc>
          <w:tcPr>
            <w:tcW w:w="240" w:type="dxa"/>
            <w:vAlign w:val="bottom"/>
            <w:tcBorders>
              <w:top w:val="single" w:sz="8" w:color="CCEEFF"/>
            </w:tcBorders>
            <w:shd w:val="clear" w:color="auto" w:fill="00C08A"/>
          </w:tcPr>
          <w:p>
            <w:pPr>
              <w:spacing w:after="0" w:line="20" w:lineRule="exact"/>
              <w:rPr>
                <w:sz w:val="1"/>
                <w:szCs w:val="1"/>
                <w:color w:val="auto"/>
              </w:rPr>
            </w:pPr>
          </w:p>
        </w:tc>
        <w:tc>
          <w:tcPr>
            <w:tcW w:w="40" w:type="dxa"/>
            <w:vAlign w:val="bottom"/>
            <w:tcBorders>
              <w:top w:val="single" w:sz="8" w:color="CCEEFF"/>
            </w:tcBorders>
            <w:shd w:val="clear" w:color="auto" w:fill="00C08A"/>
          </w:tcPr>
          <w:p>
            <w:pPr>
              <w:spacing w:after="0" w:line="20" w:lineRule="exact"/>
              <w:rPr>
                <w:sz w:val="1"/>
                <w:szCs w:val="1"/>
                <w:color w:val="auto"/>
              </w:rPr>
            </w:pPr>
          </w:p>
        </w:tc>
        <w:tc>
          <w:tcPr>
            <w:tcW w:w="520" w:type="dxa"/>
            <w:vAlign w:val="bottom"/>
            <w:tcBorders>
              <w:top w:val="single" w:sz="8" w:color="CCEEFF"/>
            </w:tcBorders>
            <w:shd w:val="clear" w:color="auto" w:fill="00C08A"/>
          </w:tcPr>
          <w:p>
            <w:pPr>
              <w:spacing w:after="0" w:line="20" w:lineRule="exact"/>
              <w:rPr>
                <w:sz w:val="1"/>
                <w:szCs w:val="1"/>
                <w:color w:val="auto"/>
              </w:rPr>
            </w:pPr>
          </w:p>
        </w:tc>
        <w:tc>
          <w:tcPr>
            <w:tcW w:w="580" w:type="dxa"/>
            <w:vAlign w:val="bottom"/>
            <w:tcBorders>
              <w:top w:val="single" w:sz="8" w:color="CCEEFF"/>
            </w:tcBorders>
            <w:shd w:val="clear" w:color="auto" w:fill="00C08A"/>
          </w:tcPr>
          <w:p>
            <w:pPr>
              <w:spacing w:after="0" w:line="20" w:lineRule="exact"/>
              <w:rPr>
                <w:sz w:val="1"/>
                <w:szCs w:val="1"/>
                <w:color w:val="auto"/>
              </w:rPr>
            </w:pPr>
          </w:p>
        </w:tc>
        <w:tc>
          <w:tcPr>
            <w:tcW w:w="500" w:type="dxa"/>
            <w:vAlign w:val="bottom"/>
            <w:tcBorders>
              <w:top w:val="single" w:sz="8" w:color="CCEEFF"/>
            </w:tcBorders>
            <w:shd w:val="clear" w:color="auto" w:fill="00C08A"/>
          </w:tcPr>
          <w:p>
            <w:pPr>
              <w:spacing w:after="0" w:line="20" w:lineRule="exact"/>
              <w:rPr>
                <w:sz w:val="1"/>
                <w:szCs w:val="1"/>
                <w:color w:val="auto"/>
              </w:rPr>
            </w:pPr>
          </w:p>
        </w:tc>
        <w:tc>
          <w:tcPr>
            <w:tcW w:w="2960" w:type="dxa"/>
            <w:vAlign w:val="bottom"/>
            <w:tcBorders>
              <w:top w:val="single" w:sz="8" w:color="CCEEFF"/>
            </w:tcBorders>
            <w:shd w:val="clear" w:color="auto" w:fill="00C08A"/>
          </w:tcPr>
          <w:p>
            <w:pPr>
              <w:spacing w:after="0" w:line="20" w:lineRule="exact"/>
              <w:rPr>
                <w:sz w:val="1"/>
                <w:szCs w:val="1"/>
                <w:color w:val="auto"/>
              </w:rPr>
            </w:pPr>
          </w:p>
        </w:tc>
        <w:tc>
          <w:tcPr>
            <w:tcW w:w="20" w:type="dxa"/>
            <w:vAlign w:val="bottom"/>
            <w:tcBorders>
              <w:top w:val="single" w:sz="8" w:color="CCEEFF"/>
            </w:tcBorders>
            <w:shd w:val="clear" w:color="auto" w:fill="00C08A"/>
          </w:tcPr>
          <w:p>
            <w:pPr>
              <w:spacing w:after="0" w:line="20" w:lineRule="exact"/>
              <w:rPr>
                <w:sz w:val="1"/>
                <w:szCs w:val="1"/>
                <w:color w:val="auto"/>
              </w:rPr>
            </w:pPr>
          </w:p>
        </w:tc>
        <w:tc>
          <w:tcPr>
            <w:tcW w:w="480" w:type="dxa"/>
            <w:vAlign w:val="bottom"/>
            <w:tcBorders>
              <w:top w:val="single" w:sz="8" w:color="CCEEFF"/>
            </w:tcBorders>
            <w:shd w:val="clear" w:color="auto" w:fill="00C08A"/>
          </w:tcPr>
          <w:p>
            <w:pPr>
              <w:spacing w:after="0" w:line="20" w:lineRule="exact"/>
              <w:rPr>
                <w:sz w:val="1"/>
                <w:szCs w:val="1"/>
                <w:color w:val="auto"/>
              </w:rPr>
            </w:pPr>
          </w:p>
        </w:tc>
        <w:tc>
          <w:tcPr>
            <w:tcW w:w="500" w:type="dxa"/>
            <w:vAlign w:val="bottom"/>
            <w:tcBorders>
              <w:top w:val="single" w:sz="8" w:color="CCEEFF"/>
            </w:tcBorders>
            <w:shd w:val="clear" w:color="auto" w:fill="00C08A"/>
          </w:tcPr>
          <w:p>
            <w:pPr>
              <w:spacing w:after="0" w:line="20" w:lineRule="exact"/>
              <w:rPr>
                <w:sz w:val="1"/>
                <w:szCs w:val="1"/>
                <w:color w:val="auto"/>
              </w:rPr>
            </w:pPr>
          </w:p>
        </w:tc>
        <w:tc>
          <w:tcPr>
            <w:tcW w:w="360" w:type="dxa"/>
            <w:vAlign w:val="bottom"/>
            <w:tcBorders>
              <w:top w:val="single" w:sz="8" w:color="CCEEFF"/>
            </w:tcBorders>
            <w:shd w:val="clear" w:color="auto" w:fill="00C08A"/>
          </w:tcPr>
          <w:p>
            <w:pPr>
              <w:spacing w:after="0" w:line="20" w:lineRule="exact"/>
              <w:rPr>
                <w:sz w:val="1"/>
                <w:szCs w:val="1"/>
                <w:color w:val="auto"/>
              </w:rPr>
            </w:pPr>
          </w:p>
        </w:tc>
        <w:tc>
          <w:tcPr>
            <w:tcW w:w="60" w:type="dxa"/>
            <w:vAlign w:val="bottom"/>
            <w:tcBorders>
              <w:top w:val="single" w:sz="8" w:color="CCEEFF"/>
            </w:tcBorders>
            <w:shd w:val="clear" w:color="auto" w:fill="00C08A"/>
          </w:tcPr>
          <w:p>
            <w:pPr>
              <w:spacing w:after="0" w:line="20" w:lineRule="exact"/>
              <w:rPr>
                <w:sz w:val="1"/>
                <w:szCs w:val="1"/>
                <w:color w:val="auto"/>
              </w:rPr>
            </w:pPr>
          </w:p>
        </w:tc>
        <w:tc>
          <w:tcPr>
            <w:tcW w:w="100" w:type="dxa"/>
            <w:vAlign w:val="bottom"/>
            <w:tcBorders>
              <w:top w:val="single" w:sz="8" w:color="CCEEFF"/>
            </w:tcBorders>
            <w:shd w:val="clear" w:color="auto" w:fill="00C08A"/>
          </w:tcPr>
          <w:p>
            <w:pPr>
              <w:spacing w:after="0" w:line="20" w:lineRule="exact"/>
              <w:rPr>
                <w:sz w:val="1"/>
                <w:szCs w:val="1"/>
                <w:color w:val="auto"/>
              </w:rPr>
            </w:pPr>
          </w:p>
        </w:tc>
        <w:tc>
          <w:tcPr>
            <w:tcW w:w="100" w:type="dxa"/>
            <w:vAlign w:val="bottom"/>
            <w:tcBorders>
              <w:top w:val="single" w:sz="8" w:color="CCEEFF"/>
            </w:tcBorders>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INFORMATION REGARDING INDEPENDENT REGISTERED PUBLIC ACCOUNTING FIRM</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51</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AUDIT COMMITTEE REPORT</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29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8560" w:type="dxa"/>
            <w:vAlign w:val="bottom"/>
            <w:tcBorders>
              <w:top w:val="single" w:sz="8" w:color="00C08A"/>
            </w:tcBorders>
            <w:gridSpan w:val="12"/>
          </w:tcPr>
          <w:p>
            <w:pPr>
              <w:spacing w:after="0" w:line="196" w:lineRule="exact"/>
              <w:rPr>
                <w:sz w:val="20"/>
                <w:szCs w:val="20"/>
                <w:color w:val="auto"/>
              </w:rPr>
            </w:pPr>
            <w:r>
              <w:rPr>
                <w:rFonts w:ascii="Arial" w:cs="Arial" w:eastAsia="Arial" w:hAnsi="Arial"/>
                <w:sz w:val="18"/>
                <w:szCs w:val="18"/>
                <w:color w:val="0000EE"/>
              </w:rPr>
              <w:t>PROPOSAL 5: APPROVAL OF VIRTU FINANCIAL, INC. SECOND AMENDED AND RESTATED 2015</w:t>
            </w:r>
          </w:p>
        </w:tc>
        <w:tc>
          <w:tcPr>
            <w:tcW w:w="360" w:type="dxa"/>
            <w:vAlign w:val="bottom"/>
            <w:tcBorders>
              <w:top w:val="single" w:sz="8" w:color="00C08A"/>
            </w:tcBorders>
          </w:tcPr>
          <w:p>
            <w:pPr>
              <w:spacing w:after="0"/>
              <w:rPr>
                <w:sz w:val="17"/>
                <w:szCs w:val="17"/>
                <w:color w:val="auto"/>
              </w:rPr>
            </w:pPr>
          </w:p>
        </w:tc>
        <w:tc>
          <w:tcPr>
            <w:tcW w:w="60" w:type="dxa"/>
            <w:vAlign w:val="bottom"/>
            <w:tcBorders>
              <w:top w:val="single" w:sz="8" w:color="00C08A"/>
            </w:tcBorders>
          </w:tcPr>
          <w:p>
            <w:pPr>
              <w:spacing w:after="0"/>
              <w:rPr>
                <w:sz w:val="17"/>
                <w:szCs w:val="17"/>
                <w:color w:val="auto"/>
              </w:rPr>
            </w:pPr>
          </w:p>
        </w:tc>
        <w:tc>
          <w:tcPr>
            <w:tcW w:w="100" w:type="dxa"/>
            <w:vAlign w:val="bottom"/>
            <w:tcBorders>
              <w:top w:val="single" w:sz="8" w:color="00C08A"/>
            </w:tcBorders>
          </w:tcPr>
          <w:p>
            <w:pPr>
              <w:spacing w:after="0"/>
              <w:rPr>
                <w:sz w:val="17"/>
                <w:szCs w:val="17"/>
                <w:color w:val="auto"/>
              </w:rPr>
            </w:pPr>
          </w:p>
        </w:tc>
        <w:tc>
          <w:tcPr>
            <w:tcW w:w="100" w:type="dxa"/>
            <w:vAlign w:val="bottom"/>
            <w:tcBorders>
              <w:top w:val="single" w:sz="8" w:color="00C08A"/>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auto"/>
              </w:rPr>
              <w:t>​</w:t>
            </w:r>
          </w:p>
        </w:tc>
        <w:tc>
          <w:tcPr>
            <w:tcW w:w="27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MANAGEMENT INCENTIVE PLAN</w:t>
            </w:r>
          </w:p>
        </w:tc>
        <w:tc>
          <w:tcPr>
            <w:tcW w:w="40" w:type="dxa"/>
            <w:vAlign w:val="bottom"/>
            <w:tcBorders>
              <w:top w:val="single" w:sz="8" w:color="0000EE"/>
              <w:bottom w:val="single" w:sz="8" w:color="0000EE"/>
            </w:tcBorders>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54</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860" w:type="dxa"/>
            <w:vAlign w:val="bottom"/>
            <w:tcBorders>
              <w:bottom w:val="single" w:sz="8" w:color="00C08A"/>
            </w:tcBorders>
            <w:gridSpan w:val="2"/>
          </w:tcPr>
          <w:p>
            <w:pPr>
              <w:spacing w:after="0"/>
              <w:rPr>
                <w:sz w:val="4"/>
                <w:szCs w:val="4"/>
                <w:color w:val="auto"/>
              </w:rPr>
            </w:pPr>
          </w:p>
        </w:tc>
        <w:tc>
          <w:tcPr>
            <w:tcW w:w="860" w:type="dxa"/>
            <w:vAlign w:val="bottom"/>
            <w:tcBorders>
              <w:bottom w:val="single" w:sz="8" w:color="00C08A"/>
            </w:tcBorders>
          </w:tcPr>
          <w:p>
            <w:pPr>
              <w:spacing w:after="0"/>
              <w:rPr>
                <w:sz w:val="4"/>
                <w:szCs w:val="4"/>
                <w:color w:val="auto"/>
              </w:rPr>
            </w:pPr>
          </w:p>
        </w:tc>
        <w:tc>
          <w:tcPr>
            <w:tcW w:w="240" w:type="dxa"/>
            <w:vAlign w:val="bottom"/>
            <w:tcBorders>
              <w:bottom w:val="single" w:sz="8" w:color="00C08A"/>
            </w:tcBorders>
          </w:tcPr>
          <w:p>
            <w:pPr>
              <w:spacing w:after="0"/>
              <w:rPr>
                <w:sz w:val="4"/>
                <w:szCs w:val="4"/>
                <w:color w:val="auto"/>
              </w:rPr>
            </w:pPr>
          </w:p>
        </w:tc>
        <w:tc>
          <w:tcPr>
            <w:tcW w:w="40" w:type="dxa"/>
            <w:vAlign w:val="bottom"/>
            <w:tcBorders>
              <w:bottom w:val="single" w:sz="8" w:color="00C08A"/>
            </w:tcBorders>
          </w:tcPr>
          <w:p>
            <w:pPr>
              <w:spacing w:after="0"/>
              <w:rPr>
                <w:sz w:val="4"/>
                <w:szCs w:val="4"/>
                <w:color w:val="auto"/>
              </w:rPr>
            </w:pPr>
          </w:p>
        </w:tc>
        <w:tc>
          <w:tcPr>
            <w:tcW w:w="520" w:type="dxa"/>
            <w:vAlign w:val="bottom"/>
            <w:tcBorders>
              <w:bottom w:val="single" w:sz="8" w:color="00C08A"/>
            </w:tcBorders>
          </w:tcPr>
          <w:p>
            <w:pPr>
              <w:spacing w:after="0"/>
              <w:rPr>
                <w:sz w:val="4"/>
                <w:szCs w:val="4"/>
                <w:color w:val="auto"/>
              </w:rPr>
            </w:pPr>
          </w:p>
        </w:tc>
        <w:tc>
          <w:tcPr>
            <w:tcW w:w="580" w:type="dxa"/>
            <w:vAlign w:val="bottom"/>
            <w:tcBorders>
              <w:bottom w:val="single" w:sz="8" w:color="00C08A"/>
            </w:tcBorders>
          </w:tcPr>
          <w:p>
            <w:pPr>
              <w:spacing w:after="0"/>
              <w:rPr>
                <w:sz w:val="4"/>
                <w:szCs w:val="4"/>
                <w:color w:val="auto"/>
              </w:rPr>
            </w:pPr>
          </w:p>
        </w:tc>
        <w:tc>
          <w:tcPr>
            <w:tcW w:w="500" w:type="dxa"/>
            <w:vAlign w:val="bottom"/>
            <w:tcBorders>
              <w:bottom w:val="single" w:sz="8" w:color="00C08A"/>
            </w:tcBorders>
          </w:tcPr>
          <w:p>
            <w:pPr>
              <w:spacing w:after="0"/>
              <w:rPr>
                <w:sz w:val="4"/>
                <w:szCs w:val="4"/>
                <w:color w:val="auto"/>
              </w:rPr>
            </w:pPr>
          </w:p>
        </w:tc>
        <w:tc>
          <w:tcPr>
            <w:tcW w:w="2960" w:type="dxa"/>
            <w:vAlign w:val="bottom"/>
            <w:tcBorders>
              <w:bottom w:val="single" w:sz="8" w:color="00C08A"/>
            </w:tcBorders>
          </w:tcPr>
          <w:p>
            <w:pPr>
              <w:spacing w:after="0"/>
              <w:rPr>
                <w:sz w:val="4"/>
                <w:szCs w:val="4"/>
                <w:color w:val="auto"/>
              </w:rPr>
            </w:pPr>
          </w:p>
        </w:tc>
        <w:tc>
          <w:tcPr>
            <w:tcW w:w="20" w:type="dxa"/>
            <w:vAlign w:val="bottom"/>
            <w:tcBorders>
              <w:bottom w:val="single" w:sz="8" w:color="00C08A"/>
            </w:tcBorders>
          </w:tcPr>
          <w:p>
            <w:pPr>
              <w:spacing w:after="0"/>
              <w:rPr>
                <w:sz w:val="4"/>
                <w:szCs w:val="4"/>
                <w:color w:val="auto"/>
              </w:rPr>
            </w:pPr>
          </w:p>
        </w:tc>
        <w:tc>
          <w:tcPr>
            <w:tcW w:w="480" w:type="dxa"/>
            <w:vAlign w:val="bottom"/>
            <w:tcBorders>
              <w:bottom w:val="single" w:sz="8" w:color="00C08A"/>
            </w:tcBorders>
          </w:tcPr>
          <w:p>
            <w:pPr>
              <w:spacing w:after="0"/>
              <w:rPr>
                <w:sz w:val="4"/>
                <w:szCs w:val="4"/>
                <w:color w:val="auto"/>
              </w:rPr>
            </w:pPr>
          </w:p>
        </w:tc>
        <w:tc>
          <w:tcPr>
            <w:tcW w:w="500" w:type="dxa"/>
            <w:vAlign w:val="bottom"/>
            <w:tcBorders>
              <w:bottom w:val="single" w:sz="8" w:color="00C08A"/>
            </w:tcBorders>
          </w:tcPr>
          <w:p>
            <w:pPr>
              <w:spacing w:after="0"/>
              <w:rPr>
                <w:sz w:val="4"/>
                <w:szCs w:val="4"/>
                <w:color w:val="auto"/>
              </w:rPr>
            </w:pPr>
          </w:p>
        </w:tc>
        <w:tc>
          <w:tcPr>
            <w:tcW w:w="360" w:type="dxa"/>
            <w:vAlign w:val="bottom"/>
            <w:tcBorders>
              <w:bottom w:val="single" w:sz="8" w:color="00C08A"/>
            </w:tcBorders>
          </w:tcPr>
          <w:p>
            <w:pPr>
              <w:spacing w:after="0"/>
              <w:rPr>
                <w:sz w:val="4"/>
                <w:szCs w:val="4"/>
                <w:color w:val="auto"/>
              </w:rPr>
            </w:pPr>
          </w:p>
        </w:tc>
        <w:tc>
          <w:tcPr>
            <w:tcW w:w="60" w:type="dxa"/>
            <w:vAlign w:val="bottom"/>
            <w:tcBorders>
              <w:bottom w:val="single" w:sz="8" w:color="00C08A"/>
            </w:tcBorders>
          </w:tcPr>
          <w:p>
            <w:pPr>
              <w:spacing w:after="0"/>
              <w:rPr>
                <w:sz w:val="4"/>
                <w:szCs w:val="4"/>
                <w:color w:val="auto"/>
              </w:rPr>
            </w:pPr>
          </w:p>
        </w:tc>
        <w:tc>
          <w:tcPr>
            <w:tcW w:w="100" w:type="dxa"/>
            <w:vAlign w:val="bottom"/>
            <w:tcBorders>
              <w:bottom w:val="single" w:sz="8" w:color="00C08A"/>
            </w:tcBorders>
          </w:tcPr>
          <w:p>
            <w:pPr>
              <w:spacing w:after="0"/>
              <w:rPr>
                <w:sz w:val="4"/>
                <w:szCs w:val="4"/>
                <w:color w:val="auto"/>
              </w:rPr>
            </w:pPr>
          </w:p>
        </w:tc>
        <w:tc>
          <w:tcPr>
            <w:tcW w:w="100" w:type="dxa"/>
            <w:vAlign w:val="bottom"/>
            <w:tcBorders>
              <w:bottom w:val="single" w:sz="8" w:color="00C08A"/>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STOCK OWNERSHIP OF CERTAIN BENEFICIAL OWNERS AND MANAGEMENT</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CERTAIN RELATIONSHIPS AND RELATED PARTY TRANSACTIONS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66</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DELINQUENT SECTION 16(A) REPORTS</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ADDITIONAL INFORMATION</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72</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GENERAL INFORMATION</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C08A"/>
          </w:tcPr>
          <w:p>
            <w:pPr>
              <w:spacing w:after="0" w:line="20" w:lineRule="exact"/>
              <w:rPr>
                <w:sz w:val="1"/>
                <w:szCs w:val="1"/>
                <w:color w:val="auto"/>
              </w:rPr>
            </w:pPr>
          </w:p>
        </w:tc>
        <w:tc>
          <w:tcPr>
            <w:tcW w:w="1680" w:type="dxa"/>
            <w:vAlign w:val="bottom"/>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-3693795</wp:posOffset>
            </wp:positionV>
            <wp:extent cx="1700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053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-3514090</wp:posOffset>
            </wp:positionV>
            <wp:extent cx="2223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313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-3333750</wp:posOffset>
            </wp:positionV>
            <wp:extent cx="15424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241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-3154045</wp:posOffset>
            </wp:positionV>
            <wp:extent cx="5298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844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-2656840</wp:posOffset>
            </wp:positionV>
            <wp:extent cx="1578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861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-1439545</wp:posOffset>
            </wp:positionV>
            <wp:extent cx="4638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804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-1259205</wp:posOffset>
            </wp:positionV>
            <wp:extent cx="1546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68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-762635</wp:posOffset>
            </wp:positionV>
            <wp:extent cx="4157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5798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-582295</wp:posOffset>
            </wp:positionV>
            <wp:extent cx="3536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36315"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-402590</wp:posOffset>
            </wp:positionV>
            <wp:extent cx="21418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1855"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-222250</wp:posOffset>
            </wp:positionV>
            <wp:extent cx="1489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8971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-42545</wp:posOffset>
            </wp:positionV>
            <wp:extent cx="1352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Proxy Statement Summary</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New York, New York 10019</w:t>
      </w:r>
    </w:p>
    <w:p>
      <w:pPr>
        <w:spacing w:after="0" w:line="101" w:lineRule="exact"/>
        <w:rPr>
          <w:sz w:val="20"/>
          <w:szCs w:val="20"/>
          <w:color w:val="auto"/>
        </w:rPr>
      </w:pPr>
    </w:p>
    <w:p>
      <w:pPr>
        <w:ind w:left="760" w:right="200"/>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2024 fiscal year performance, please review the Company’s 2024 Annual Report on Form 10-K (the “</w:t>
      </w:r>
      <w:r>
        <w:rPr>
          <w:rFonts w:ascii="Arial" w:cs="Arial" w:eastAsia="Arial" w:hAnsi="Arial"/>
          <w:sz w:val="18"/>
          <w:szCs w:val="18"/>
          <w:b w:val="1"/>
          <w:bCs w:val="1"/>
          <w:i w:val="1"/>
          <w:iCs w:val="1"/>
          <w:color w:val="auto"/>
        </w:rPr>
        <w:t>2024 Annual Report</w:t>
      </w:r>
      <w:r>
        <w:rPr>
          <w:rFonts w:ascii="Arial" w:cs="Arial" w:eastAsia="Arial" w:hAnsi="Arial"/>
          <w:sz w:val="18"/>
          <w:szCs w:val="18"/>
          <w:i w:val="1"/>
          <w:iCs w:val="1"/>
          <w:color w:val="auto"/>
        </w:rPr>
        <w:t>”). This proxy statement also includes several website addresses and references to additional materials found on those websites. These websites and materials are not incorporated by reference herein.</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00C08A"/>
              </w:rPr>
              <w:t>​</w:t>
            </w:r>
          </w:p>
        </w:tc>
        <w:tc>
          <w:tcPr>
            <w:tcW w:w="120" w:type="dxa"/>
            <w:vAlign w:val="bottom"/>
          </w:tcPr>
          <w:p>
            <w:pPr>
              <w:spacing w:after="0"/>
              <w:rPr>
                <w:sz w:val="20"/>
                <w:szCs w:val="20"/>
                <w:color w:val="auto"/>
              </w:rPr>
            </w:pPr>
            <w:r>
              <w:rPr>
                <w:rFonts w:ascii="Arial" w:cs="Arial" w:eastAsia="Arial" w:hAnsi="Arial"/>
                <w:sz w:val="20"/>
                <w:szCs w:val="20"/>
                <w:color w:val="00C08A"/>
              </w:rPr>
              <w:t>​</w:t>
            </w:r>
          </w:p>
        </w:tc>
        <w:tc>
          <w:tcPr>
            <w:tcW w:w="180" w:type="dxa"/>
            <w:vAlign w:val="bottom"/>
          </w:tcPr>
          <w:p>
            <w:pPr>
              <w:ind w:left="60"/>
              <w:spacing w:after="0"/>
              <w:rPr>
                <w:sz w:val="20"/>
                <w:szCs w:val="20"/>
                <w:color w:val="auto"/>
              </w:rPr>
            </w:pPr>
            <w:r>
              <w:rPr>
                <w:rFonts w:ascii="Arial" w:cs="Arial" w:eastAsia="Arial" w:hAnsi="Arial"/>
                <w:sz w:val="20"/>
                <w:szCs w:val="20"/>
                <w:color w:val="00C08A"/>
              </w:rPr>
              <w:t>​</w:t>
            </w:r>
          </w:p>
        </w:tc>
        <w:tc>
          <w:tcPr>
            <w:tcW w:w="2080" w:type="dxa"/>
            <w:vAlign w:val="bottom"/>
            <w:vMerge w:val="restart"/>
          </w:tcPr>
          <w:p>
            <w:pPr>
              <w:ind w:left="80"/>
              <w:spacing w:after="0"/>
              <w:rPr>
                <w:sz w:val="20"/>
                <w:szCs w:val="20"/>
                <w:color w:val="auto"/>
              </w:rPr>
            </w:pPr>
            <w:r>
              <w:rPr>
                <w:rFonts w:ascii="Arial" w:cs="Arial" w:eastAsia="Arial" w:hAnsi="Arial"/>
                <w:sz w:val="20"/>
                <w:szCs w:val="20"/>
                <w:color w:val="002453"/>
              </w:rPr>
              <w:t>Monday, June 2, 2025</w:t>
            </w:r>
          </w:p>
        </w:tc>
        <w:tc>
          <w:tcPr>
            <w:tcW w:w="420" w:type="dxa"/>
            <w:vAlign w:val="bottom"/>
          </w:tcPr>
          <w:p>
            <w:pPr>
              <w:ind w:left="100"/>
              <w:spacing w:after="0"/>
              <w:rPr>
                <w:sz w:val="20"/>
                <w:szCs w:val="20"/>
                <w:color w:val="auto"/>
              </w:rPr>
            </w:pPr>
            <w:r>
              <w:rPr>
                <w:rFonts w:ascii="Arial" w:cs="Arial" w:eastAsia="Arial" w:hAnsi="Arial"/>
                <w:sz w:val="20"/>
                <w:szCs w:val="20"/>
                <w:color w:val="00C08A"/>
              </w:rPr>
              <w:t>​  ​</w:t>
            </w:r>
          </w:p>
        </w:tc>
        <w:tc>
          <w:tcPr>
            <w:tcW w:w="1240" w:type="dxa"/>
            <w:vAlign w:val="bottom"/>
            <w:vMerge w:val="restart"/>
          </w:tcPr>
          <w:p>
            <w:pPr>
              <w:ind w:left="60"/>
              <w:spacing w:after="0"/>
              <w:rPr>
                <w:sz w:val="20"/>
                <w:szCs w:val="20"/>
                <w:color w:val="auto"/>
              </w:rPr>
            </w:pPr>
            <w:r>
              <w:rPr>
                <w:rFonts w:ascii="Arial" w:cs="Arial" w:eastAsia="Arial" w:hAnsi="Arial"/>
                <w:sz w:val="20"/>
                <w:szCs w:val="20"/>
                <w:b w:val="1"/>
                <w:bCs w:val="1"/>
                <w:color w:val="00C08A"/>
              </w:rPr>
              <w:t>LOCATION</w:t>
            </w:r>
          </w:p>
        </w:tc>
        <w:tc>
          <w:tcPr>
            <w:tcW w:w="340" w:type="dxa"/>
            <w:vAlign w:val="bottom"/>
          </w:tcPr>
          <w:p>
            <w:pPr>
              <w:ind w:left="20"/>
              <w:spacing w:after="0"/>
              <w:rPr>
                <w:sz w:val="20"/>
                <w:szCs w:val="20"/>
                <w:color w:val="auto"/>
              </w:rPr>
            </w:pPr>
            <w:r>
              <w:rPr>
                <w:rFonts w:ascii="Arial" w:cs="Arial" w:eastAsia="Arial" w:hAnsi="Arial"/>
                <w:sz w:val="20"/>
                <w:szCs w:val="20"/>
                <w:color w:val="00C08A"/>
              </w:rPr>
              <w:t>​  ​</w:t>
            </w:r>
          </w:p>
        </w:tc>
        <w:tc>
          <w:tcPr>
            <w:tcW w:w="4140" w:type="dxa"/>
            <w:vAlign w:val="bottom"/>
            <w:vMerge w:val="restart"/>
          </w:tcPr>
          <w:p>
            <w:pPr>
              <w:ind w:left="60"/>
              <w:spacing w:after="0"/>
              <w:rPr>
                <w:sz w:val="20"/>
                <w:szCs w:val="20"/>
                <w:color w:val="auto"/>
              </w:rPr>
            </w:pPr>
            <w:r>
              <w:rPr>
                <w:rFonts w:ascii="Arial" w:cs="Arial" w:eastAsia="Arial" w:hAnsi="Arial"/>
                <w:sz w:val="20"/>
                <w:szCs w:val="20"/>
                <w:color w:val="002453"/>
              </w:rPr>
              <w:t>Virtual Annual Meeting accessible at</w:t>
            </w:r>
          </w:p>
        </w:tc>
        <w:tc>
          <w:tcPr>
            <w:tcW w:w="100" w:type="dxa"/>
            <w:vAlign w:val="bottom"/>
          </w:tcPr>
          <w:p>
            <w:pPr>
              <w:ind w:left="40"/>
              <w:spacing w:after="0"/>
              <w:rPr>
                <w:sz w:val="20"/>
                <w:szCs w:val="20"/>
                <w:color w:val="auto"/>
              </w:rPr>
            </w:pPr>
            <w:r>
              <w:rPr>
                <w:rFonts w:ascii="Arial" w:cs="Arial" w:eastAsia="Arial" w:hAnsi="Arial"/>
                <w:sz w:val="20"/>
                <w:szCs w:val="20"/>
                <w:color w:val="00C08A"/>
              </w:rPr>
              <w:t>​</w:t>
            </w:r>
          </w:p>
        </w:tc>
        <w:tc>
          <w:tcPr>
            <w:tcW w:w="0" w:type="dxa"/>
            <w:vAlign w:val="bottom"/>
          </w:tcPr>
          <w:p>
            <w:pPr>
              <w:spacing w:after="0"/>
              <w:rPr>
                <w:sz w:val="1"/>
                <w:szCs w:val="1"/>
                <w:color w:val="auto"/>
              </w:rPr>
            </w:pPr>
          </w:p>
        </w:tc>
      </w:tr>
      <w:tr>
        <w:trPr>
          <w:trHeight w:val="57"/>
        </w:trPr>
        <w:tc>
          <w:tcPr>
            <w:tcW w:w="600" w:type="dxa"/>
            <w:vAlign w:val="bottom"/>
          </w:tcPr>
          <w:p>
            <w:pPr>
              <w:ind w:left="20"/>
              <w:spacing w:after="0"/>
              <w:rPr>
                <w:sz w:val="20"/>
                <w:szCs w:val="20"/>
                <w:color w:val="auto"/>
              </w:rPr>
            </w:pPr>
            <w:r>
              <w:rPr>
                <w:rFonts w:ascii="Arial" w:cs="Arial" w:eastAsia="Arial" w:hAnsi="Arial"/>
                <w:sz w:val="5"/>
                <w:szCs w:val="5"/>
                <w:b w:val="1"/>
                <w:bCs w:val="1"/>
                <w:color w:val="00C08A"/>
              </w:rPr>
              <w:t>DATE:</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20" w:type="dxa"/>
            <w:vAlign w:val="bottom"/>
            <w:gridSpan w:val="2"/>
          </w:tcPr>
          <w:p>
            <w:pPr>
              <w:spacing w:after="0"/>
              <w:rPr>
                <w:sz w:val="20"/>
                <w:szCs w:val="20"/>
                <w:color w:val="auto"/>
              </w:rPr>
            </w:pPr>
            <w:r>
              <w:rPr>
                <w:rFonts w:ascii="Arial" w:cs="Arial" w:eastAsia="Arial" w:hAnsi="Arial"/>
                <w:sz w:val="20"/>
                <w:szCs w:val="20"/>
                <w:b w:val="1"/>
                <w:bCs w:val="1"/>
                <w:color w:val="002453"/>
              </w:rPr>
              <w:t>​</w:t>
            </w:r>
            <w:r>
              <w:rPr>
                <w:rFonts w:ascii="Arial" w:cs="Arial" w:eastAsia="Arial" w:hAnsi="Arial"/>
                <w:sz w:val="20"/>
                <w:szCs w:val="20"/>
                <w:b w:val="1"/>
                <w:bCs w:val="1"/>
                <w:color w:val="00C08A"/>
              </w:rPr>
              <w:t>TIME:</w:t>
            </w:r>
            <w:r>
              <w:rPr>
                <w:rFonts w:ascii="Arial" w:cs="Arial" w:eastAsia="Arial" w:hAnsi="Arial"/>
                <w:sz w:val="20"/>
                <w:szCs w:val="20"/>
                <w:b w:val="1"/>
                <w:bCs w:val="1"/>
                <w:color w:val="002453"/>
              </w:rPr>
              <w:t xml:space="preserve"> ​</w:t>
            </w:r>
          </w:p>
        </w:tc>
        <w:tc>
          <w:tcPr>
            <w:tcW w:w="180" w:type="dxa"/>
            <w:vAlign w:val="bottom"/>
          </w:tcPr>
          <w:p>
            <w:pPr>
              <w:ind w:left="60"/>
              <w:spacing w:after="0"/>
              <w:rPr>
                <w:sz w:val="20"/>
                <w:szCs w:val="20"/>
                <w:color w:val="auto"/>
              </w:rPr>
            </w:pPr>
            <w:r>
              <w:rPr>
                <w:rFonts w:ascii="Arial" w:cs="Arial" w:eastAsia="Arial" w:hAnsi="Arial"/>
                <w:sz w:val="20"/>
                <w:szCs w:val="20"/>
                <w:b w:val="1"/>
                <w:bCs w:val="1"/>
                <w:color w:val="002453"/>
              </w:rPr>
              <w:t>​</w:t>
            </w:r>
          </w:p>
        </w:tc>
        <w:tc>
          <w:tcPr>
            <w:tcW w:w="2500" w:type="dxa"/>
            <w:vAlign w:val="bottom"/>
            <w:gridSpan w:val="2"/>
          </w:tcPr>
          <w:p>
            <w:pPr>
              <w:ind w:left="80"/>
              <w:spacing w:after="0"/>
              <w:rPr>
                <w:sz w:val="20"/>
                <w:szCs w:val="20"/>
                <w:color w:val="auto"/>
              </w:rPr>
            </w:pPr>
            <w:r>
              <w:rPr>
                <w:rFonts w:ascii="Arial" w:cs="Arial" w:eastAsia="Arial" w:hAnsi="Arial"/>
                <w:sz w:val="20"/>
                <w:szCs w:val="20"/>
                <w:color w:val="002453"/>
              </w:rPr>
              <w:t xml:space="preserve">9:00 AM (Eastern Time) </w:t>
            </w:r>
            <w:r>
              <w:rPr>
                <w:rFonts w:ascii="Arial" w:cs="Arial" w:eastAsia="Arial" w:hAnsi="Arial"/>
                <w:sz w:val="20"/>
                <w:szCs w:val="20"/>
                <w:b w:val="1"/>
                <w:bCs w:val="1"/>
                <w:color w:val="002453"/>
              </w:rPr>
              <w:t>​</w:t>
            </w:r>
          </w:p>
        </w:tc>
        <w:tc>
          <w:tcPr>
            <w:tcW w:w="1240" w:type="dxa"/>
            <w:vAlign w:val="bottom"/>
          </w:tcPr>
          <w:p>
            <w:pPr>
              <w:ind w:left="60"/>
              <w:spacing w:after="0"/>
              <w:rPr>
                <w:sz w:val="20"/>
                <w:szCs w:val="20"/>
                <w:color w:val="auto"/>
              </w:rPr>
            </w:pPr>
            <w:r>
              <w:rPr>
                <w:rFonts w:ascii="Arial" w:cs="Arial" w:eastAsia="Arial" w:hAnsi="Arial"/>
                <w:sz w:val="20"/>
                <w:szCs w:val="20"/>
                <w:b w:val="1"/>
                <w:bCs w:val="1"/>
                <w:color w:val="00C08A"/>
                <w:w w:val="98"/>
              </w:rPr>
              <w:t>OF ANNUAL</w:t>
            </w:r>
          </w:p>
        </w:tc>
        <w:tc>
          <w:tcPr>
            <w:tcW w:w="340" w:type="dxa"/>
            <w:vAlign w:val="bottom"/>
          </w:tcPr>
          <w:p>
            <w:pPr>
              <w:spacing w:after="0"/>
              <w:rPr>
                <w:sz w:val="19"/>
                <w:szCs w:val="19"/>
                <w:color w:val="auto"/>
              </w:rPr>
            </w:pPr>
          </w:p>
        </w:tc>
        <w:tc>
          <w:tcPr>
            <w:tcW w:w="4140" w:type="dxa"/>
            <w:vAlign w:val="bottom"/>
          </w:tcPr>
          <w:p>
            <w:pPr>
              <w:ind w:left="60"/>
              <w:spacing w:after="0"/>
              <w:rPr>
                <w:sz w:val="20"/>
                <w:szCs w:val="20"/>
                <w:color w:val="auto"/>
              </w:rPr>
            </w:pPr>
            <w:r>
              <w:rPr>
                <w:rFonts w:ascii="Arial" w:cs="Arial" w:eastAsia="Arial" w:hAnsi="Arial"/>
                <w:sz w:val="20"/>
                <w:szCs w:val="20"/>
                <w:color w:val="002453"/>
                <w:w w:val="97"/>
              </w:rPr>
              <w:t>www.virtualshareholdermeeting.com/VIRT2025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ind w:left="60"/>
              <w:spacing w:after="0"/>
              <w:rPr>
                <w:sz w:val="20"/>
                <w:szCs w:val="20"/>
                <w:color w:val="auto"/>
              </w:rPr>
            </w:pPr>
            <w:r>
              <w:rPr>
                <w:rFonts w:ascii="Arial" w:cs="Arial" w:eastAsia="Arial" w:hAnsi="Arial"/>
                <w:sz w:val="20"/>
                <w:szCs w:val="20"/>
                <w:b w:val="1"/>
                <w:bCs w:val="1"/>
                <w:color w:val="00C08A"/>
              </w:rPr>
              <w:t>MEETING:</w:t>
            </w:r>
          </w:p>
        </w:tc>
        <w:tc>
          <w:tcPr>
            <w:tcW w:w="3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Voting Matters</w:t>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002453"/>
              </w:rPr>
              <w:t>Board</w:t>
            </w:r>
          </w:p>
        </w:tc>
      </w:tr>
      <w:tr>
        <w:trPr>
          <w:trHeight w:val="257"/>
        </w:trPr>
        <w:tc>
          <w:tcPr>
            <w:tcW w:w="7400" w:type="dxa"/>
            <w:vAlign w:val="bottom"/>
            <w:gridSpan w:val="2"/>
          </w:tcPr>
          <w:p>
            <w:pPr>
              <w:spacing w:after="0"/>
              <w:rPr>
                <w:sz w:val="20"/>
                <w:szCs w:val="20"/>
                <w:color w:val="auto"/>
              </w:rPr>
            </w:pPr>
            <w:r>
              <w:rPr>
                <w:rFonts w:ascii="Arial" w:cs="Arial" w:eastAsia="Arial" w:hAnsi="Arial"/>
                <w:sz w:val="18"/>
                <w:szCs w:val="18"/>
                <w:b w:val="1"/>
                <w:bCs w:val="1"/>
                <w:color w:val="002453"/>
              </w:rPr>
              <w:t>Items of Business</w:t>
            </w:r>
          </w:p>
        </w:tc>
        <w:tc>
          <w:tcPr>
            <w:tcW w:w="1840" w:type="dxa"/>
            <w:vAlign w:val="bottom"/>
            <w:gridSpan w:val="3"/>
          </w:tcPr>
          <w:p>
            <w:pPr>
              <w:ind w:left="60"/>
              <w:spacing w:after="0" w:line="256" w:lineRule="exact"/>
              <w:rPr>
                <w:sz w:val="20"/>
                <w:szCs w:val="20"/>
                <w:color w:val="auto"/>
              </w:rPr>
            </w:pPr>
            <w:r>
              <w:rPr>
                <w:rFonts w:ascii="Arial" w:cs="Arial" w:eastAsia="Arial" w:hAnsi="Arial"/>
                <w:sz w:val="29"/>
                <w:szCs w:val="29"/>
                <w:b w:val="1"/>
                <w:bCs w:val="1"/>
                <w:color w:val="002453"/>
                <w:vertAlign w:val="subscript"/>
              </w:rPr>
              <w:t>​ ​</w:t>
            </w:r>
            <w:r>
              <w:rPr>
                <w:rFonts w:ascii="Arial" w:cs="Arial" w:eastAsia="Arial" w:hAnsi="Arial"/>
                <w:sz w:val="16"/>
                <w:szCs w:val="16"/>
                <w:b w:val="1"/>
                <w:bCs w:val="1"/>
                <w:color w:val="002453"/>
              </w:rPr>
              <w:t xml:space="preserve"> Recommendation</w:t>
            </w:r>
            <w:r>
              <w:rPr>
                <w:rFonts w:ascii="Arial" w:cs="Arial" w:eastAsia="Arial" w:hAnsi="Arial"/>
                <w:sz w:val="29"/>
                <w:szCs w:val="29"/>
                <w:b w:val="1"/>
                <w:bCs w:val="1"/>
                <w:color w:val="002453"/>
                <w:vertAlign w:val="subscript"/>
              </w:rPr>
              <w:t>​</w:t>
            </w:r>
          </w:p>
        </w:tc>
      </w:tr>
      <w:tr>
        <w:trPr>
          <w:trHeight w:val="304"/>
        </w:trPr>
        <w:tc>
          <w:tcPr>
            <w:tcW w:w="7400" w:type="dxa"/>
            <w:vAlign w:val="bottom"/>
            <w:tcBorders>
              <w:top w:val="single" w:sz="8" w:color="00C08A"/>
            </w:tcBorders>
            <w:gridSpan w:val="2"/>
          </w:tcPr>
          <w:p>
            <w:pPr>
              <w:ind w:left="200"/>
              <w:spacing w:after="0" w:line="30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To elect three directors to our board of directors, each to serve as a Class I director for a</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line="228" w:lineRule="exact"/>
              <w:rPr>
                <w:sz w:val="20"/>
                <w:szCs w:val="20"/>
                <w:color w:val="auto"/>
              </w:rPr>
            </w:pPr>
            <w:r>
              <w:rPr>
                <w:rFonts w:ascii="Arial" w:cs="Arial" w:eastAsia="Arial" w:hAnsi="Arial"/>
                <w:sz w:val="26"/>
                <w:szCs w:val="26"/>
                <w:b w:val="1"/>
                <w:bCs w:val="1"/>
                <w:color w:val="00C08A"/>
              </w:rPr>
              <w:t>1</w:t>
            </w:r>
            <w:r>
              <w:rPr>
                <w:rFonts w:ascii="Arial" w:cs="Arial" w:eastAsia="Arial" w:hAnsi="Arial"/>
                <w:sz w:val="14"/>
                <w:szCs w:val="14"/>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w w:val="98"/>
              </w:rPr>
              <w:t>term of three years expiring at the annual meeting of stockholders to be held in 2028 and</w:t>
            </w:r>
          </w:p>
        </w:tc>
        <w:tc>
          <w:tcPr>
            <w:tcW w:w="340" w:type="dxa"/>
            <w:vAlign w:val="bottom"/>
          </w:tcPr>
          <w:p>
            <w:pPr>
              <w:spacing w:after="0"/>
              <w:rPr>
                <w:sz w:val="19"/>
                <w:szCs w:val="19"/>
                <w:color w:val="auto"/>
              </w:rPr>
            </w:pPr>
          </w:p>
        </w:tc>
        <w:tc>
          <w:tcPr>
            <w:tcW w:w="1500" w:type="dxa"/>
            <w:vAlign w:val="bottom"/>
            <w:gridSpan w:val="2"/>
          </w:tcPr>
          <w:p>
            <w:pPr>
              <w:ind w:left="640"/>
              <w:spacing w:after="0" w:line="228" w:lineRule="exact"/>
              <w:rPr>
                <w:sz w:val="20"/>
                <w:szCs w:val="20"/>
                <w:color w:val="auto"/>
              </w:rPr>
            </w:pPr>
            <w:r>
              <w:rPr>
                <w:rFonts w:ascii="Arial" w:cs="Arial" w:eastAsia="Arial" w:hAnsi="Arial"/>
                <w:sz w:val="22"/>
                <w:szCs w:val="22"/>
                <w:b w:val="1"/>
                <w:bCs w:val="1"/>
                <w:color w:val="002453"/>
              </w:rPr>
              <w:t>FOR</w:t>
            </w:r>
          </w:p>
        </w:tc>
      </w:tr>
      <w:tr>
        <w:trPr>
          <w:trHeight w:val="257"/>
        </w:trPr>
        <w:tc>
          <w:tcPr>
            <w:tcW w:w="340" w:type="dxa"/>
            <w:vAlign w:val="bottom"/>
          </w:tcPr>
          <w:p>
            <w:pPr>
              <w:spacing w:after="0"/>
              <w:rPr>
                <w:sz w:val="22"/>
                <w:szCs w:val="22"/>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until such director’s successor has been duly elected and qualified.</w:t>
            </w:r>
          </w:p>
        </w:tc>
        <w:tc>
          <w:tcPr>
            <w:tcW w:w="34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each Nominee</w:t>
            </w:r>
          </w:p>
        </w:tc>
      </w:tr>
      <w:tr>
        <w:trPr>
          <w:trHeight w:val="290"/>
        </w:trPr>
        <w:tc>
          <w:tcPr>
            <w:tcW w:w="740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on an advisory basis, the compensation of our named executive officers as</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45"/>
        </w:trPr>
        <w:tc>
          <w:tcPr>
            <w:tcW w:w="340" w:type="dxa"/>
            <w:vAlign w:val="bottom"/>
          </w:tcPr>
          <w:p>
            <w:pPr>
              <w:spacing w:after="0"/>
              <w:rPr>
                <w:sz w:val="20"/>
                <w:szCs w:val="20"/>
                <w:color w:val="auto"/>
              </w:rPr>
            </w:pPr>
            <w:r>
              <w:rPr>
                <w:rFonts w:ascii="Arial" w:cs="Arial" w:eastAsia="Arial" w:hAnsi="Arial"/>
                <w:sz w:val="36"/>
                <w:szCs w:val="36"/>
                <w:b w:val="1"/>
                <w:bCs w:val="1"/>
                <w:color w:val="00C08A"/>
              </w:rPr>
              <w:t>2</w:t>
            </w:r>
            <w:r>
              <w:rPr>
                <w:rFonts w:ascii="Arial" w:cs="Arial" w:eastAsia="Arial" w:hAnsi="Arial"/>
                <w:sz w:val="17"/>
                <w:szCs w:val="17"/>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rPr>
              <w:t>disclosed in the accompanying proxy statement.</w:t>
            </w:r>
          </w:p>
        </w:tc>
        <w:tc>
          <w:tcPr>
            <w:tcW w:w="340" w:type="dxa"/>
            <w:vAlign w:val="bottom"/>
          </w:tcPr>
          <w:p>
            <w:pPr>
              <w:spacing w:after="0"/>
              <w:rPr>
                <w:sz w:val="24"/>
                <w:szCs w:val="24"/>
                <w:color w:val="auto"/>
              </w:rPr>
            </w:pPr>
          </w:p>
        </w:tc>
        <w:tc>
          <w:tcPr>
            <w:tcW w:w="1500" w:type="dxa"/>
            <w:vAlign w:val="bottom"/>
            <w:gridSpan w:val="2"/>
          </w:tcPr>
          <w:p>
            <w:pPr>
              <w:ind w:left="640"/>
              <w:spacing w:after="0"/>
              <w:rPr>
                <w:sz w:val="20"/>
                <w:szCs w:val="20"/>
                <w:color w:val="auto"/>
              </w:rPr>
            </w:pPr>
            <w:r>
              <w:rPr>
                <w:rFonts w:ascii="Arial" w:cs="Arial" w:eastAsia="Arial" w:hAnsi="Arial"/>
                <w:sz w:val="22"/>
                <w:szCs w:val="22"/>
                <w:b w:val="1"/>
                <w:bCs w:val="1"/>
                <w:color w:val="002453"/>
              </w:rPr>
              <w:t>FOR</w:t>
            </w:r>
            <w:r>
              <w:rPr>
                <w:rFonts w:ascii="Arial" w:cs="Arial" w:eastAsia="Arial" w:hAnsi="Arial"/>
                <w:sz w:val="17"/>
                <w:szCs w:val="17"/>
                <w:color w:val="000000"/>
              </w:rPr>
              <w:t>​</w:t>
            </w:r>
          </w:p>
        </w:tc>
      </w:tr>
      <w:tr>
        <w:trPr>
          <w:trHeight w:val="290"/>
        </w:trPr>
        <w:tc>
          <w:tcPr>
            <w:tcW w:w="740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on an advisory basis, the frequency (every one, two or three years) of future</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46"/>
        </w:trPr>
        <w:tc>
          <w:tcPr>
            <w:tcW w:w="340" w:type="dxa"/>
            <w:vAlign w:val="bottom"/>
          </w:tcPr>
          <w:p>
            <w:pPr>
              <w:spacing w:after="0"/>
              <w:rPr>
                <w:sz w:val="20"/>
                <w:szCs w:val="20"/>
                <w:color w:val="auto"/>
              </w:rPr>
            </w:pPr>
            <w:r>
              <w:rPr>
                <w:rFonts w:ascii="Arial" w:cs="Arial" w:eastAsia="Arial" w:hAnsi="Arial"/>
                <w:sz w:val="36"/>
                <w:szCs w:val="36"/>
                <w:b w:val="1"/>
                <w:bCs w:val="1"/>
                <w:color w:val="00C08A"/>
              </w:rPr>
              <w:t>3</w:t>
            </w:r>
            <w:r>
              <w:rPr>
                <w:rFonts w:ascii="Arial" w:cs="Arial" w:eastAsia="Arial" w:hAnsi="Arial"/>
                <w:sz w:val="17"/>
                <w:szCs w:val="17"/>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rPr>
              <w:t>advisory votes to approve the compensation of our named executive officers.</w:t>
            </w:r>
          </w:p>
        </w:tc>
        <w:tc>
          <w:tcPr>
            <w:tcW w:w="340" w:type="dxa"/>
            <w:vAlign w:val="bottom"/>
          </w:tcPr>
          <w:p>
            <w:pPr>
              <w:spacing w:after="0"/>
              <w:rPr>
                <w:sz w:val="24"/>
                <w:szCs w:val="24"/>
                <w:color w:val="auto"/>
              </w:rPr>
            </w:pPr>
          </w:p>
        </w:tc>
        <w:tc>
          <w:tcPr>
            <w:tcW w:w="1500" w:type="dxa"/>
            <w:vAlign w:val="bottom"/>
            <w:gridSpan w:val="2"/>
          </w:tcPr>
          <w:p>
            <w:pPr>
              <w:ind w:left="640"/>
              <w:spacing w:after="0"/>
              <w:rPr>
                <w:sz w:val="20"/>
                <w:szCs w:val="20"/>
                <w:color w:val="auto"/>
              </w:rPr>
            </w:pPr>
            <w:r>
              <w:rPr>
                <w:rFonts w:ascii="Arial" w:cs="Arial" w:eastAsia="Arial" w:hAnsi="Arial"/>
                <w:sz w:val="22"/>
                <w:szCs w:val="22"/>
                <w:b w:val="1"/>
                <w:bCs w:val="1"/>
                <w:color w:val="002453"/>
              </w:rPr>
              <w:t>FOR</w:t>
            </w:r>
            <w:r>
              <w:rPr>
                <w:rFonts w:ascii="Arial" w:cs="Arial" w:eastAsia="Arial" w:hAnsi="Arial"/>
                <w:sz w:val="17"/>
                <w:szCs w:val="17"/>
                <w:color w:val="000000"/>
              </w:rPr>
              <w:t>​</w:t>
            </w:r>
          </w:p>
        </w:tc>
      </w:tr>
      <w:tr>
        <w:trPr>
          <w:trHeight w:val="290"/>
        </w:trPr>
        <w:tc>
          <w:tcPr>
            <w:tcW w:w="740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ratify the appointment of PricewaterhouseCoopers LLP as our independent registered</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45"/>
        </w:trPr>
        <w:tc>
          <w:tcPr>
            <w:tcW w:w="340" w:type="dxa"/>
            <w:vAlign w:val="bottom"/>
          </w:tcPr>
          <w:p>
            <w:pPr>
              <w:spacing w:after="0"/>
              <w:rPr>
                <w:sz w:val="20"/>
                <w:szCs w:val="20"/>
                <w:color w:val="auto"/>
              </w:rPr>
            </w:pPr>
            <w:r>
              <w:rPr>
                <w:rFonts w:ascii="Arial" w:cs="Arial" w:eastAsia="Arial" w:hAnsi="Arial"/>
                <w:sz w:val="36"/>
                <w:szCs w:val="36"/>
                <w:b w:val="1"/>
                <w:bCs w:val="1"/>
                <w:color w:val="00C08A"/>
              </w:rPr>
              <w:t>4</w:t>
            </w:r>
            <w:r>
              <w:rPr>
                <w:rFonts w:ascii="Arial" w:cs="Arial" w:eastAsia="Arial" w:hAnsi="Arial"/>
                <w:sz w:val="17"/>
                <w:szCs w:val="17"/>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rPr>
              <w:t>public accounting firm for the fiscal year ending December 31, 2025.</w:t>
            </w:r>
          </w:p>
        </w:tc>
        <w:tc>
          <w:tcPr>
            <w:tcW w:w="340" w:type="dxa"/>
            <w:vAlign w:val="bottom"/>
          </w:tcPr>
          <w:p>
            <w:pPr>
              <w:spacing w:after="0"/>
              <w:rPr>
                <w:sz w:val="24"/>
                <w:szCs w:val="24"/>
                <w:color w:val="auto"/>
              </w:rPr>
            </w:pPr>
          </w:p>
        </w:tc>
        <w:tc>
          <w:tcPr>
            <w:tcW w:w="1500" w:type="dxa"/>
            <w:vAlign w:val="bottom"/>
            <w:gridSpan w:val="2"/>
          </w:tcPr>
          <w:p>
            <w:pPr>
              <w:ind w:left="640"/>
              <w:spacing w:after="0"/>
              <w:rPr>
                <w:sz w:val="20"/>
                <w:szCs w:val="20"/>
                <w:color w:val="auto"/>
              </w:rPr>
            </w:pPr>
            <w:r>
              <w:rPr>
                <w:rFonts w:ascii="Arial" w:cs="Arial" w:eastAsia="Arial" w:hAnsi="Arial"/>
                <w:sz w:val="22"/>
                <w:szCs w:val="22"/>
                <w:b w:val="1"/>
                <w:bCs w:val="1"/>
                <w:color w:val="002453"/>
              </w:rPr>
              <w:t>FOR</w:t>
            </w:r>
            <w:r>
              <w:rPr>
                <w:rFonts w:ascii="Arial" w:cs="Arial" w:eastAsia="Arial" w:hAnsi="Arial"/>
                <w:sz w:val="17"/>
                <w:szCs w:val="17"/>
                <w:color w:val="000000"/>
              </w:rPr>
              <w:t>​</w:t>
            </w:r>
          </w:p>
        </w:tc>
      </w:tr>
      <w:tr>
        <w:trPr>
          <w:trHeight w:val="290"/>
        </w:trPr>
        <w:tc>
          <w:tcPr>
            <w:tcW w:w="740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the Second Amended Plan to increase the number of shares authorized for</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69"/>
        </w:trPr>
        <w:tc>
          <w:tcPr>
            <w:tcW w:w="340" w:type="dxa"/>
            <w:vAlign w:val="bottom"/>
          </w:tcPr>
          <w:p>
            <w:pPr>
              <w:spacing w:after="0" w:line="269" w:lineRule="exact"/>
              <w:rPr>
                <w:sz w:val="20"/>
                <w:szCs w:val="20"/>
                <w:color w:val="auto"/>
              </w:rPr>
            </w:pPr>
            <w:r>
              <w:rPr>
                <w:rFonts w:ascii="Arial" w:cs="Arial" w:eastAsia="Arial" w:hAnsi="Arial"/>
                <w:sz w:val="31"/>
                <w:szCs w:val="31"/>
                <w:b w:val="1"/>
                <w:bCs w:val="1"/>
                <w:color w:val="00C08A"/>
              </w:rPr>
              <w:t>5</w:t>
            </w:r>
            <w:r>
              <w:rPr>
                <w:rFonts w:ascii="Arial" w:cs="Arial" w:eastAsia="Arial" w:hAnsi="Arial"/>
                <w:sz w:val="15"/>
                <w:szCs w:val="15"/>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rPr>
              <w:t>issuance thereunder, extend the expiration date thereof and remove certain provisions</w:t>
            </w:r>
          </w:p>
        </w:tc>
        <w:tc>
          <w:tcPr>
            <w:tcW w:w="340" w:type="dxa"/>
            <w:vAlign w:val="bottom"/>
          </w:tcPr>
          <w:p>
            <w:pPr>
              <w:spacing w:after="0"/>
              <w:rPr>
                <w:sz w:val="23"/>
                <w:szCs w:val="23"/>
                <w:color w:val="auto"/>
              </w:rPr>
            </w:pPr>
          </w:p>
        </w:tc>
        <w:tc>
          <w:tcPr>
            <w:tcW w:w="1500" w:type="dxa"/>
            <w:vAlign w:val="bottom"/>
            <w:gridSpan w:val="2"/>
          </w:tcPr>
          <w:p>
            <w:pPr>
              <w:ind w:left="640"/>
              <w:spacing w:after="0"/>
              <w:rPr>
                <w:sz w:val="20"/>
                <w:szCs w:val="20"/>
                <w:color w:val="auto"/>
              </w:rPr>
            </w:pPr>
            <w:r>
              <w:rPr>
                <w:rFonts w:ascii="Arial" w:cs="Arial" w:eastAsia="Arial" w:hAnsi="Arial"/>
                <w:sz w:val="22"/>
                <w:szCs w:val="22"/>
                <w:b w:val="1"/>
                <w:bCs w:val="1"/>
                <w:color w:val="002453"/>
              </w:rPr>
              <w:t>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5574665</wp:posOffset>
            </wp:positionH>
            <wp:positionV relativeFrom="paragraph">
              <wp:posOffset>-2202180</wp:posOffset>
            </wp:positionV>
            <wp:extent cx="188595"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19748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-1696085</wp:posOffset>
            </wp:positionV>
            <wp:extent cx="188595"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-1216025</wp:posOffset>
            </wp:positionV>
            <wp:extent cx="188595"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-735965</wp:posOffset>
            </wp:positionV>
            <wp:extent cx="188595"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-255905</wp:posOffset>
            </wp:positionV>
            <wp:extent cx="188595"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 cy="19685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related to Section 162(m) of the Code that are no longer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40640</wp:posOffset>
            </wp:positionV>
            <wp:extent cx="5829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How to Vote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154940</wp:posOffset>
            </wp:positionV>
            <wp:extent cx="29972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720" cy="24892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137795</wp:posOffset>
            </wp:positionV>
            <wp:extent cx="179705"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705" cy="26606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120650</wp:posOffset>
            </wp:positionV>
            <wp:extent cx="282575"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137795</wp:posOffset>
            </wp:positionV>
            <wp:extent cx="282575"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152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4"/>
                <w:szCs w:val="14"/>
                <w:color w:val="auto"/>
              </w:rPr>
            </w:pPr>
          </w:p>
        </w:tc>
        <w:tc>
          <w:tcPr>
            <w:tcW w:w="2660" w:type="dxa"/>
            <w:vAlign w:val="bottom"/>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r>
      <w:tr>
        <w:trPr>
          <w:trHeight w:val="261"/>
        </w:trPr>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ind w:left="360"/>
              <w:spacing w:after="0"/>
              <w:rPr>
                <w:sz w:val="20"/>
                <w:szCs w:val="20"/>
                <w:color w:val="auto"/>
              </w:rPr>
            </w:pPr>
            <w:r>
              <w:rPr>
                <w:rFonts w:ascii="Arial" w:cs="Arial" w:eastAsia="Arial" w:hAnsi="Arial"/>
                <w:sz w:val="16"/>
                <w:szCs w:val="16"/>
                <w:b w:val="1"/>
                <w:bCs w:val="1"/>
                <w:color w:val="auto"/>
              </w:rPr>
              <w:t>INTERNET</w:t>
            </w:r>
          </w:p>
        </w:tc>
        <w:tc>
          <w:tcPr>
            <w:tcW w:w="52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8"/>
              </w:rPr>
              <w:t>TELEPHONE</w:t>
            </w:r>
          </w:p>
        </w:tc>
        <w:tc>
          <w:tcPr>
            <w:tcW w:w="5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7"/>
              </w:rPr>
              <w:t>MAIL</w:t>
            </w:r>
          </w:p>
        </w:tc>
        <w:tc>
          <w:tcPr>
            <w:tcW w:w="2740" w:type="dxa"/>
            <w:vAlign w:val="bottom"/>
            <w:gridSpan w:val="2"/>
          </w:tcPr>
          <w:p>
            <w:pPr>
              <w:jc w:val="center"/>
              <w:ind w:left="327"/>
              <w:spacing w:after="0" w:line="261"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VIRTUAL ANNUAL MEETING </w:t>
            </w:r>
            <w:r>
              <w:rPr>
                <w:rFonts w:ascii="Arial" w:cs="Arial" w:eastAsia="Arial" w:hAnsi="Arial"/>
                <w:sz w:val="30"/>
                <w:szCs w:val="30"/>
                <w:b w:val="1"/>
                <w:bCs w:val="1"/>
                <w:color w:val="auto"/>
                <w:vertAlign w:val="superscript"/>
              </w:rPr>
              <w:t>​</w:t>
            </w:r>
          </w:p>
        </w:tc>
      </w:tr>
      <w:tr>
        <w:trPr>
          <w:trHeight w:val="216"/>
        </w:trPr>
        <w:tc>
          <w:tcPr>
            <w:tcW w:w="9140" w:type="dxa"/>
            <w:vAlign w:val="bottom"/>
            <w:gridSpan w:val="7"/>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Visit www.proxyvote.com to vote via </w:t>
            </w:r>
            <w:r>
              <w:rPr>
                <w:rFonts w:ascii="Arial" w:cs="Arial" w:eastAsia="Arial" w:hAnsi="Arial"/>
                <w:sz w:val="25"/>
                <w:szCs w:val="25"/>
                <w:color w:val="auto"/>
                <w:vertAlign w:val="superscript"/>
              </w:rPr>
              <w:t>​​</w:t>
            </w:r>
            <w:r>
              <w:rPr>
                <w:rFonts w:ascii="Arial" w:cs="Arial" w:eastAsia="Arial" w:hAnsi="Arial"/>
                <w:sz w:val="13"/>
                <w:szCs w:val="13"/>
                <w:color w:val="auto"/>
              </w:rPr>
              <w:t xml:space="preserve">Call toll-free 1-800-690-6903 in the </w:t>
            </w:r>
            <w:r>
              <w:rPr>
                <w:rFonts w:ascii="Arial" w:cs="Arial" w:eastAsia="Arial" w:hAnsi="Arial"/>
                <w:sz w:val="25"/>
                <w:szCs w:val="25"/>
                <w:color w:val="auto"/>
                <w:vertAlign w:val="superscript"/>
              </w:rPr>
              <w:t>​​</w:t>
            </w:r>
            <w:r>
              <w:rPr>
                <w:rFonts w:ascii="Arial" w:cs="Arial" w:eastAsia="Arial" w:hAnsi="Arial"/>
                <w:sz w:val="13"/>
                <w:szCs w:val="13"/>
                <w:color w:val="auto"/>
              </w:rPr>
              <w:t xml:space="preserve">Follow the instructions in your proxy </w:t>
            </w:r>
            <w:r>
              <w:rPr>
                <w:rFonts w:ascii="Arial" w:cs="Arial" w:eastAsia="Arial" w:hAnsi="Arial"/>
                <w:sz w:val="25"/>
                <w:szCs w:val="25"/>
                <w:color w:val="auto"/>
                <w:vertAlign w:val="superscript"/>
              </w:rPr>
              <w:t>​​</w:t>
            </w:r>
            <w:r>
              <w:rPr>
                <w:rFonts w:ascii="Arial" w:cs="Arial" w:eastAsia="Arial" w:hAnsi="Arial"/>
                <w:sz w:val="13"/>
                <w:szCs w:val="13"/>
                <w:color w:val="auto"/>
              </w:rPr>
              <w:t xml:space="preserve"> All stockholders as of the close of</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r>
      <w:tr>
        <w:trPr>
          <w:trHeight w:val="175"/>
        </w:trPr>
        <w:tc>
          <w:tcPr>
            <w:tcW w:w="38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Arial" w:cs="Arial" w:eastAsia="Arial" w:hAnsi="Arial"/>
                <w:sz w:val="14"/>
                <w:szCs w:val="14"/>
                <w:color w:val="auto"/>
              </w:rPr>
              <w:t>the Internet.</w:t>
            </w:r>
          </w:p>
        </w:tc>
        <w:tc>
          <w:tcPr>
            <w:tcW w:w="5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United States or from foreign</w:t>
            </w:r>
          </w:p>
        </w:tc>
        <w:tc>
          <w:tcPr>
            <w:tcW w:w="5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materials.</w:t>
            </w: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business on the Record Date can</w:t>
            </w:r>
          </w:p>
        </w:tc>
        <w:tc>
          <w:tcPr>
            <w:tcW w:w="80" w:type="dxa"/>
            <w:vAlign w:val="bottom"/>
          </w:tcPr>
          <w:p>
            <w:pPr>
              <w:spacing w:after="0"/>
              <w:rPr>
                <w:sz w:val="15"/>
                <w:szCs w:val="15"/>
                <w:color w:val="auto"/>
              </w:rPr>
            </w:pPr>
          </w:p>
        </w:tc>
      </w:tr>
      <w:tr>
        <w:trPr>
          <w:trHeight w:val="162"/>
        </w:trPr>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countries from any touch-tone</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vote electronically at the virtual</w:t>
            </w:r>
          </w:p>
        </w:tc>
        <w:tc>
          <w:tcPr>
            <w:tcW w:w="80" w:type="dxa"/>
            <w:vAlign w:val="bottom"/>
          </w:tcPr>
          <w:p>
            <w:pPr>
              <w:spacing w:after="0"/>
              <w:rPr>
                <w:sz w:val="14"/>
                <w:szCs w:val="14"/>
                <w:color w:val="auto"/>
              </w:rPr>
            </w:pPr>
          </w:p>
        </w:tc>
      </w:tr>
      <w:tr>
        <w:trPr>
          <w:trHeight w:val="175"/>
        </w:trPr>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telephone and follow the</w:t>
            </w: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Annual Meeting.</w:t>
            </w:r>
          </w:p>
        </w:tc>
        <w:tc>
          <w:tcPr>
            <w:tcW w:w="80" w:type="dxa"/>
            <w:vAlign w:val="bottom"/>
          </w:tcPr>
          <w:p>
            <w:pPr>
              <w:spacing w:after="0"/>
              <w:rPr>
                <w:sz w:val="15"/>
                <w:szCs w:val="15"/>
                <w:color w:val="auto"/>
              </w:rPr>
            </w:pPr>
          </w:p>
        </w:tc>
      </w:tr>
      <w:tr>
        <w:trPr>
          <w:trHeight w:val="190"/>
        </w:trPr>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instructions.</w:t>
            </w:r>
          </w:p>
        </w:tc>
        <w:tc>
          <w:tcPr>
            <w:tcW w:w="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459105</wp:posOffset>
            </wp:positionV>
            <wp:extent cx="75438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287" w:lineRule="auto"/>
        <w:rPr>
          <w:sz w:val="20"/>
          <w:szCs w:val="20"/>
          <w:color w:val="auto"/>
        </w:rPr>
      </w:pPr>
      <w:r>
        <w:rPr>
          <w:rFonts w:ascii="Arial" w:cs="Arial" w:eastAsia="Arial" w:hAnsi="Arial"/>
          <w:sz w:val="18"/>
          <w:szCs w:val="18"/>
          <w:color w:val="auto"/>
        </w:rPr>
        <w:t>The following table sets forth certain information about our directors and executive officers as of the date of this proxy statement.</w:t>
      </w:r>
    </w:p>
    <w:p>
      <w:pPr>
        <w:spacing w:after="0" w:line="6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453"/>
              </w:rPr>
              <w:t>Director or</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002453"/>
              </w:rPr>
              <w:t>​</w:t>
            </w:r>
          </w:p>
        </w:tc>
        <w:tc>
          <w:tcPr>
            <w:tcW w:w="240" w:type="dxa"/>
            <w:vAlign w:val="bottom"/>
          </w:tcPr>
          <w:p>
            <w:pPr>
              <w:spacing w:after="0"/>
              <w:rPr>
                <w:sz w:val="14"/>
                <w:szCs w:val="14"/>
                <w:color w:val="auto"/>
              </w:rPr>
            </w:pPr>
          </w:p>
        </w:tc>
        <w:tc>
          <w:tcPr>
            <w:tcW w:w="2100" w:type="dxa"/>
            <w:vAlign w:val="bottom"/>
            <w:gridSpan w:val="5"/>
          </w:tcPr>
          <w:p>
            <w:pPr>
              <w:ind w:left="240"/>
              <w:spacing w:after="0"/>
              <w:rPr>
                <w:sz w:val="20"/>
                <w:szCs w:val="20"/>
                <w:color w:val="auto"/>
              </w:rPr>
            </w:pPr>
            <w:r>
              <w:rPr>
                <w:rFonts w:ascii="Arial" w:cs="Arial" w:eastAsia="Arial" w:hAnsi="Arial"/>
                <w:sz w:val="14"/>
                <w:szCs w:val="14"/>
                <w:b w:val="1"/>
                <w:bCs w:val="1"/>
                <w:color w:val="002453"/>
              </w:rPr>
              <w:t>Committee Membership</w:t>
            </w:r>
          </w:p>
        </w:tc>
        <w:tc>
          <w:tcPr>
            <w:tcW w:w="32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77"/>
        </w:trPr>
        <w:tc>
          <w:tcPr>
            <w:tcW w:w="1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002453"/>
              </w:rPr>
              <w:t>Officer</w:t>
            </w: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Borders>
              <w:bottom w:val="single" w:sz="8" w:color="00C08A"/>
            </w:tcBorders>
            <w:vMerge w:val="continue"/>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600" w:type="dxa"/>
            <w:vAlign w:val="bottom"/>
            <w:gridSpan w:val="13"/>
            <w:vMerge w:val="restart"/>
          </w:tcPr>
          <w:p>
            <w:pPr>
              <w:ind w:left="40"/>
              <w:spacing w:after="0" w:line="263" w:lineRule="exact"/>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Age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Independent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Audit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Risk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Compensation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N&amp;CG</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4"/>
                <w:szCs w:val="14"/>
                <w:b w:val="1"/>
                <w:bCs w:val="1"/>
                <w:color w:val="002453"/>
              </w:rPr>
              <w:t>Name and Primary Occupation</w:t>
            </w:r>
          </w:p>
        </w:tc>
        <w:tc>
          <w:tcPr>
            <w:tcW w:w="560" w:type="dxa"/>
            <w:vAlign w:val="bottom"/>
          </w:tcPr>
          <w:p>
            <w:pPr>
              <w:ind w:left="380"/>
              <w:spacing w:after="0"/>
              <w:rPr>
                <w:sz w:val="20"/>
                <w:szCs w:val="20"/>
                <w:color w:val="auto"/>
              </w:rPr>
            </w:pPr>
            <w:r>
              <w:rPr>
                <w:rFonts w:ascii="Arial" w:cs="Arial" w:eastAsia="Arial" w:hAnsi="Arial"/>
                <w:sz w:val="14"/>
                <w:szCs w:val="14"/>
                <w:b w:val="1"/>
                <w:bCs w:val="1"/>
                <w:color w:val="002453"/>
              </w:rPr>
              <w:t>​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453"/>
              </w:rPr>
              <w:t>Since</w:t>
            </w:r>
          </w:p>
        </w:tc>
        <w:tc>
          <w:tcPr>
            <w:tcW w:w="4600" w:type="dxa"/>
            <w:vAlign w:val="bottom"/>
            <w:gridSpan w:val="1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360" w:type="dxa"/>
            <w:vAlign w:val="bottom"/>
            <w:tcBorders>
              <w:top w:val="single" w:sz="8" w:color="00C08A"/>
            </w:tcBorders>
          </w:tcPr>
          <w:p>
            <w:pPr>
              <w:spacing w:after="0"/>
              <w:rPr>
                <w:sz w:val="20"/>
                <w:szCs w:val="20"/>
                <w:color w:val="auto"/>
              </w:rPr>
            </w:pPr>
            <w:r>
              <w:rPr>
                <w:rFonts w:ascii="Arial" w:cs="Arial" w:eastAsia="Arial" w:hAnsi="Arial"/>
                <w:sz w:val="18"/>
                <w:szCs w:val="18"/>
                <w:b w:val="1"/>
                <w:bCs w:val="1"/>
                <w:color w:val="auto"/>
              </w:rPr>
              <w:t>Vincent Viola</w:t>
            </w:r>
          </w:p>
        </w:tc>
        <w:tc>
          <w:tcPr>
            <w:tcW w:w="1940" w:type="dxa"/>
            <w:vAlign w:val="bottom"/>
            <w:tcBorders>
              <w:top w:val="single" w:sz="8" w:color="00C08A"/>
            </w:tcBorders>
          </w:tcPr>
          <w:p>
            <w:pPr>
              <w:spacing w:after="0"/>
              <w:rPr>
                <w:sz w:val="24"/>
                <w:szCs w:val="24"/>
                <w:color w:val="auto"/>
              </w:rPr>
            </w:pPr>
          </w:p>
        </w:tc>
        <w:tc>
          <w:tcPr>
            <w:tcW w:w="560" w:type="dxa"/>
            <w:vAlign w:val="bottom"/>
            <w:tcBorders>
              <w:top w:val="single" w:sz="8" w:color="00C08A"/>
            </w:tcBorders>
          </w:tcPr>
          <w:p>
            <w:pPr>
              <w:ind w:left="380"/>
              <w:spacing w:after="0"/>
              <w:rPr>
                <w:sz w:val="20"/>
                <w:szCs w:val="20"/>
                <w:color w:val="auto"/>
              </w:rPr>
            </w:pPr>
            <w:r>
              <w:rPr>
                <w:rFonts w:ascii="Arial" w:cs="Arial" w:eastAsia="Arial" w:hAnsi="Arial"/>
                <w:sz w:val="18"/>
                <w:szCs w:val="18"/>
                <w:color w:val="auto"/>
              </w:rPr>
              <w:t>​ ​</w:t>
            </w:r>
          </w:p>
        </w:tc>
        <w:tc>
          <w:tcPr>
            <w:tcW w:w="780" w:type="dxa"/>
            <w:vAlign w:val="bottom"/>
            <w:tcBorders>
              <w:top w:val="single" w:sz="8" w:color="00C08A"/>
            </w:tcBorders>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Borders>
              <w:top w:val="single" w:sz="8" w:color="00C08A"/>
            </w:tcBorders>
          </w:tcPr>
          <w:p>
            <w:pPr>
              <w:ind w:left="40"/>
              <w:spacing w:after="0" w:line="312"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bscript"/>
              </w:rPr>
              <w:t>69</w:t>
            </w:r>
          </w:p>
        </w:tc>
        <w:tc>
          <w:tcPr>
            <w:tcW w:w="420" w:type="dxa"/>
            <w:vAlign w:val="bottom"/>
            <w:tcBorders>
              <w:top w:val="single" w:sz="8" w:color="00C08A"/>
            </w:tcBorders>
          </w:tcPr>
          <w:p>
            <w:pPr>
              <w:ind w:left="40"/>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00C08A"/>
            </w:tcBorders>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00C08A"/>
            </w:tcBorders>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tcBorders>
          </w:tcPr>
          <w:p>
            <w:pPr>
              <w:ind w:left="100"/>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00C08A"/>
            </w:tcBorders>
          </w:tcPr>
          <w:p>
            <w:pPr>
              <w:ind w:left="80"/>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00C08A"/>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00C08A"/>
            </w:tcBorders>
          </w:tcPr>
          <w:p>
            <w:pPr>
              <w:ind w:left="260"/>
              <w:spacing w:after="0"/>
              <w:rPr>
                <w:sz w:val="20"/>
                <w:szCs w:val="20"/>
                <w:color w:val="auto"/>
              </w:rPr>
            </w:pPr>
            <w:r>
              <w:rPr>
                <w:rFonts w:ascii="Arial" w:cs="Arial" w:eastAsia="Arial" w:hAnsi="Arial"/>
                <w:sz w:val="18"/>
                <w:szCs w:val="18"/>
                <w:color w:val="auto"/>
              </w:rPr>
              <w:t>​ ​</w:t>
            </w:r>
          </w:p>
        </w:tc>
        <w:tc>
          <w:tcPr>
            <w:tcW w:w="320" w:type="dxa"/>
            <w:vAlign w:val="bottom"/>
            <w:tcBorders>
              <w:top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300" w:type="dxa"/>
            <w:vAlign w:val="bottom"/>
            <w:gridSpan w:val="2"/>
          </w:tcPr>
          <w:p>
            <w:pPr>
              <w:spacing w:after="0"/>
              <w:rPr>
                <w:sz w:val="20"/>
                <w:szCs w:val="20"/>
                <w:color w:val="auto"/>
              </w:rPr>
            </w:pPr>
            <w:r>
              <w:rPr>
                <w:rFonts w:ascii="Arial" w:cs="Arial" w:eastAsia="Arial" w:hAnsi="Arial"/>
                <w:sz w:val="18"/>
                <w:szCs w:val="18"/>
                <w:color w:val="auto"/>
              </w:rPr>
              <w:t>Founder and Chairman Emeritus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360" w:type="dxa"/>
            <w:vAlign w:val="bottom"/>
            <w:tcBorders>
              <w:bottom w:val="single" w:sz="8" w:color="00C08A"/>
            </w:tcBorders>
          </w:tcPr>
          <w:p>
            <w:pPr>
              <w:spacing w:after="0"/>
              <w:rPr>
                <w:sz w:val="13"/>
                <w:szCs w:val="13"/>
                <w:color w:val="auto"/>
              </w:rPr>
            </w:pPr>
          </w:p>
        </w:tc>
        <w:tc>
          <w:tcPr>
            <w:tcW w:w="1940" w:type="dxa"/>
            <w:vAlign w:val="bottom"/>
            <w:tcBorders>
              <w:bottom w:val="single" w:sz="8" w:color="00C08A"/>
            </w:tcBorders>
          </w:tcPr>
          <w:p>
            <w:pPr>
              <w:spacing w:after="0"/>
              <w:rPr>
                <w:sz w:val="13"/>
                <w:szCs w:val="13"/>
                <w:color w:val="auto"/>
              </w:rPr>
            </w:pPr>
          </w:p>
        </w:tc>
        <w:tc>
          <w:tcPr>
            <w:tcW w:w="560" w:type="dxa"/>
            <w:vAlign w:val="bottom"/>
            <w:tcBorders>
              <w:bottom w:val="single" w:sz="8" w:color="00C08A"/>
            </w:tcBorders>
          </w:tcPr>
          <w:p>
            <w:pPr>
              <w:spacing w:after="0"/>
              <w:rPr>
                <w:sz w:val="13"/>
                <w:szCs w:val="13"/>
                <w:color w:val="auto"/>
              </w:rPr>
            </w:pPr>
          </w:p>
        </w:tc>
        <w:tc>
          <w:tcPr>
            <w:tcW w:w="780" w:type="dxa"/>
            <w:vAlign w:val="bottom"/>
            <w:tcBorders>
              <w:bottom w:val="single" w:sz="8" w:color="00C08A"/>
            </w:tcBorders>
          </w:tcPr>
          <w:p>
            <w:pPr>
              <w:spacing w:after="0"/>
              <w:rPr>
                <w:sz w:val="13"/>
                <w:szCs w:val="13"/>
                <w:color w:val="auto"/>
              </w:rPr>
            </w:pPr>
          </w:p>
        </w:tc>
        <w:tc>
          <w:tcPr>
            <w:tcW w:w="500" w:type="dxa"/>
            <w:vAlign w:val="bottom"/>
            <w:tcBorders>
              <w:bottom w:val="single" w:sz="8" w:color="00C08A"/>
            </w:tcBorders>
          </w:tcPr>
          <w:p>
            <w:pPr>
              <w:spacing w:after="0"/>
              <w:rPr>
                <w:sz w:val="13"/>
                <w:szCs w:val="13"/>
                <w:color w:val="auto"/>
              </w:rPr>
            </w:pPr>
          </w:p>
        </w:tc>
        <w:tc>
          <w:tcPr>
            <w:tcW w:w="420" w:type="dxa"/>
            <w:vAlign w:val="bottom"/>
            <w:tcBorders>
              <w:bottom w:val="single" w:sz="8" w:color="00C08A"/>
            </w:tcBorders>
          </w:tcPr>
          <w:p>
            <w:pPr>
              <w:spacing w:after="0"/>
              <w:rPr>
                <w:sz w:val="13"/>
                <w:szCs w:val="13"/>
                <w:color w:val="auto"/>
              </w:rPr>
            </w:pPr>
          </w:p>
        </w:tc>
        <w:tc>
          <w:tcPr>
            <w:tcW w:w="480" w:type="dxa"/>
            <w:vAlign w:val="bottom"/>
            <w:tcBorders>
              <w:bottom w:val="single" w:sz="8" w:color="00C08A"/>
            </w:tcBorders>
          </w:tcPr>
          <w:p>
            <w:pPr>
              <w:spacing w:after="0"/>
              <w:rPr>
                <w:sz w:val="13"/>
                <w:szCs w:val="13"/>
                <w:color w:val="auto"/>
              </w:rPr>
            </w:pPr>
          </w:p>
        </w:tc>
        <w:tc>
          <w:tcPr>
            <w:tcW w:w="280" w:type="dxa"/>
            <w:vAlign w:val="bottom"/>
            <w:tcBorders>
              <w:bottom w:val="single" w:sz="8" w:color="00C08A"/>
            </w:tcBorders>
          </w:tcPr>
          <w:p>
            <w:pPr>
              <w:spacing w:after="0"/>
              <w:rPr>
                <w:sz w:val="13"/>
                <w:szCs w:val="13"/>
                <w:color w:val="auto"/>
              </w:rPr>
            </w:pPr>
          </w:p>
        </w:tc>
        <w:tc>
          <w:tcPr>
            <w:tcW w:w="200" w:type="dxa"/>
            <w:vAlign w:val="bottom"/>
            <w:tcBorders>
              <w:bottom w:val="single" w:sz="8" w:color="00C08A"/>
            </w:tcBorders>
          </w:tcPr>
          <w:p>
            <w:pPr>
              <w:spacing w:after="0"/>
              <w:rPr>
                <w:sz w:val="13"/>
                <w:szCs w:val="13"/>
                <w:color w:val="auto"/>
              </w:rPr>
            </w:pPr>
          </w:p>
        </w:tc>
        <w:tc>
          <w:tcPr>
            <w:tcW w:w="240" w:type="dxa"/>
            <w:vAlign w:val="bottom"/>
            <w:tcBorders>
              <w:bottom w:val="single" w:sz="8" w:color="00C08A"/>
            </w:tcBorders>
          </w:tcPr>
          <w:p>
            <w:pPr>
              <w:spacing w:after="0"/>
              <w:rPr>
                <w:sz w:val="13"/>
                <w:szCs w:val="13"/>
                <w:color w:val="auto"/>
              </w:rPr>
            </w:pPr>
          </w:p>
        </w:tc>
        <w:tc>
          <w:tcPr>
            <w:tcW w:w="340" w:type="dxa"/>
            <w:vAlign w:val="bottom"/>
            <w:tcBorders>
              <w:bottom w:val="single" w:sz="8" w:color="00C08A"/>
            </w:tcBorders>
          </w:tcPr>
          <w:p>
            <w:pPr>
              <w:spacing w:after="0"/>
              <w:rPr>
                <w:sz w:val="13"/>
                <w:szCs w:val="13"/>
                <w:color w:val="auto"/>
              </w:rPr>
            </w:pPr>
          </w:p>
        </w:tc>
        <w:tc>
          <w:tcPr>
            <w:tcW w:w="200" w:type="dxa"/>
            <w:vAlign w:val="bottom"/>
            <w:tcBorders>
              <w:bottom w:val="single" w:sz="8" w:color="00C08A"/>
            </w:tcBorders>
          </w:tcPr>
          <w:p>
            <w:pPr>
              <w:spacing w:after="0"/>
              <w:rPr>
                <w:sz w:val="13"/>
                <w:szCs w:val="13"/>
                <w:color w:val="auto"/>
              </w:rPr>
            </w:pPr>
          </w:p>
        </w:tc>
        <w:tc>
          <w:tcPr>
            <w:tcW w:w="500" w:type="dxa"/>
            <w:vAlign w:val="bottom"/>
            <w:tcBorders>
              <w:bottom w:val="single" w:sz="8" w:color="00C08A"/>
            </w:tcBorders>
          </w:tcPr>
          <w:p>
            <w:pPr>
              <w:spacing w:after="0"/>
              <w:rPr>
                <w:sz w:val="13"/>
                <w:szCs w:val="13"/>
                <w:color w:val="auto"/>
              </w:rPr>
            </w:pPr>
          </w:p>
        </w:tc>
        <w:tc>
          <w:tcPr>
            <w:tcW w:w="540" w:type="dxa"/>
            <w:vAlign w:val="bottom"/>
            <w:tcBorders>
              <w:bottom w:val="single" w:sz="8" w:color="00C08A"/>
            </w:tcBorders>
          </w:tcPr>
          <w:p>
            <w:pPr>
              <w:spacing w:after="0"/>
              <w:rPr>
                <w:sz w:val="13"/>
                <w:szCs w:val="13"/>
                <w:color w:val="auto"/>
              </w:rPr>
            </w:pPr>
          </w:p>
        </w:tc>
        <w:tc>
          <w:tcPr>
            <w:tcW w:w="520" w:type="dxa"/>
            <w:vAlign w:val="bottom"/>
            <w:tcBorders>
              <w:bottom w:val="single" w:sz="8" w:color="00C08A"/>
            </w:tcBorders>
          </w:tcPr>
          <w:p>
            <w:pPr>
              <w:spacing w:after="0"/>
              <w:rPr>
                <w:sz w:val="13"/>
                <w:szCs w:val="13"/>
                <w:color w:val="auto"/>
              </w:rPr>
            </w:pPr>
          </w:p>
        </w:tc>
        <w:tc>
          <w:tcPr>
            <w:tcW w:w="320" w:type="dxa"/>
            <w:vAlign w:val="bottom"/>
            <w:tcBorders>
              <w:bottom w:val="single" w:sz="8" w:color="00C08A"/>
            </w:tcBorders>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360" w:type="dxa"/>
            <w:vAlign w:val="bottom"/>
          </w:tcPr>
          <w:p>
            <w:pPr>
              <w:spacing w:after="0"/>
              <w:rPr>
                <w:sz w:val="20"/>
                <w:szCs w:val="20"/>
                <w:color w:val="auto"/>
              </w:rPr>
            </w:pPr>
            <w:r>
              <w:rPr>
                <w:rFonts w:ascii="Arial" w:cs="Arial" w:eastAsia="Arial" w:hAnsi="Arial"/>
                <w:sz w:val="18"/>
                <w:szCs w:val="18"/>
                <w:b w:val="1"/>
                <w:bCs w:val="1"/>
                <w:color w:val="auto"/>
                <w:w w:val="99"/>
              </w:rPr>
              <w:t>Douglas A. Cifu</w:t>
            </w:r>
          </w:p>
        </w:tc>
        <w:tc>
          <w:tcPr>
            <w:tcW w:w="1940" w:type="dxa"/>
            <w:vAlign w:val="bottom"/>
          </w:tcPr>
          <w:p>
            <w:pPr>
              <w:spacing w:after="0"/>
              <w:rPr>
                <w:sz w:val="21"/>
                <w:szCs w:val="21"/>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2013</w:t>
            </w:r>
          </w:p>
        </w:tc>
        <w:tc>
          <w:tcPr>
            <w:tcW w:w="500" w:type="dxa"/>
            <w:vAlign w:val="bottom"/>
          </w:tcPr>
          <w:p>
            <w:pPr>
              <w:ind w:left="40"/>
              <w:spacing w:after="0"/>
              <w:rPr>
                <w:sz w:val="20"/>
                <w:szCs w:val="20"/>
                <w:color w:val="auto"/>
              </w:rPr>
            </w:pPr>
            <w:r>
              <w:rPr>
                <w:rFonts w:ascii="Arial" w:cs="Arial" w:eastAsia="Arial" w:hAnsi="Arial"/>
                <w:sz w:val="18"/>
                <w:szCs w:val="18"/>
                <w:color w:val="auto"/>
              </w:rPr>
              <w:t>​ ​ 59</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3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360" w:type="dxa"/>
            <w:vAlign w:val="bottom"/>
            <w:tcBorders>
              <w:bottom w:val="single" w:sz="8" w:color="00C08A"/>
            </w:tcBorders>
          </w:tcPr>
          <w:p>
            <w:pPr>
              <w:spacing w:after="0"/>
              <w:rPr>
                <w:sz w:val="7"/>
                <w:szCs w:val="7"/>
                <w:color w:val="auto"/>
              </w:rPr>
            </w:pPr>
          </w:p>
        </w:tc>
        <w:tc>
          <w:tcPr>
            <w:tcW w:w="1940" w:type="dxa"/>
            <w:vAlign w:val="bottom"/>
            <w:tcBorders>
              <w:bottom w:val="single" w:sz="8" w:color="00C08A"/>
            </w:tcBorders>
          </w:tcPr>
          <w:p>
            <w:pPr>
              <w:spacing w:after="0"/>
              <w:rPr>
                <w:sz w:val="7"/>
                <w:szCs w:val="7"/>
                <w:color w:val="auto"/>
              </w:rPr>
            </w:pPr>
          </w:p>
        </w:tc>
        <w:tc>
          <w:tcPr>
            <w:tcW w:w="56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Arial" w:cs="Arial" w:eastAsia="Arial" w:hAnsi="Arial"/>
                <w:sz w:val="18"/>
                <w:szCs w:val="18"/>
                <w:b w:val="1"/>
                <w:bCs w:val="1"/>
                <w:color w:val="auto"/>
                <w:w w:val="99"/>
              </w:rPr>
              <w:t>Michael T. Viola</w:t>
            </w:r>
          </w:p>
        </w:tc>
        <w:tc>
          <w:tcPr>
            <w:tcW w:w="1940" w:type="dxa"/>
            <w:vAlign w:val="bottom"/>
          </w:tcPr>
          <w:p>
            <w:pPr>
              <w:spacing w:after="0"/>
              <w:rPr>
                <w:sz w:val="22"/>
                <w:szCs w:val="22"/>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4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38</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3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Chairman of the Board of Directors</w:t>
            </w: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William F. Cruger, Jr.</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66</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Virginia Gambale</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65</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Joseph J. Grano, Jr.</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77</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Joanne M. Minieri</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64</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360" w:type="dxa"/>
            <w:vAlign w:val="bottom"/>
          </w:tcPr>
          <w:p>
            <w:pPr>
              <w:spacing w:after="0"/>
              <w:rPr>
                <w:sz w:val="20"/>
                <w:szCs w:val="20"/>
                <w:color w:val="auto"/>
              </w:rPr>
            </w:pPr>
            <w:r>
              <w:rPr>
                <w:rFonts w:ascii="Arial" w:cs="Arial" w:eastAsia="Arial" w:hAnsi="Arial"/>
                <w:sz w:val="18"/>
                <w:szCs w:val="18"/>
                <w:b w:val="1"/>
                <w:bCs w:val="1"/>
                <w:color w:val="auto"/>
              </w:rPr>
              <w:t>John D. Nixon</w:t>
            </w:r>
          </w:p>
        </w:tc>
        <w:tc>
          <w:tcPr>
            <w:tcW w:w="1940" w:type="dxa"/>
            <w:vAlign w:val="bottom"/>
          </w:tcPr>
          <w:p>
            <w:pPr>
              <w:spacing w:after="0"/>
              <w:rPr>
                <w:sz w:val="23"/>
                <w:szCs w:val="23"/>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69</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Christopher C. Quick</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67</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360" w:type="dxa"/>
            <w:vAlign w:val="bottom"/>
          </w:tcPr>
          <w:p>
            <w:pPr>
              <w:spacing w:after="0"/>
              <w:rPr>
                <w:sz w:val="20"/>
                <w:szCs w:val="20"/>
                <w:color w:val="auto"/>
              </w:rPr>
            </w:pPr>
            <w:r>
              <w:rPr>
                <w:rFonts w:ascii="Arial" w:cs="Arial" w:eastAsia="Arial" w:hAnsi="Arial"/>
                <w:sz w:val="18"/>
                <w:szCs w:val="18"/>
                <w:b w:val="1"/>
                <w:bCs w:val="1"/>
                <w:color w:val="auto"/>
              </w:rPr>
              <w:t>David J. Urban</w:t>
            </w:r>
          </w:p>
        </w:tc>
        <w:tc>
          <w:tcPr>
            <w:tcW w:w="1940" w:type="dxa"/>
            <w:vAlign w:val="bottom"/>
          </w:tcPr>
          <w:p>
            <w:pPr>
              <w:spacing w:after="0"/>
              <w:rPr>
                <w:sz w:val="23"/>
                <w:szCs w:val="23"/>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500" w:type="dxa"/>
            <w:vAlign w:val="bottom"/>
          </w:tcPr>
          <w:p>
            <w:pPr>
              <w:ind w:left="40"/>
              <w:spacing w:after="0" w:line="265"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61</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18"/>
                <w:szCs w:val="18"/>
                <w:b w:val="1"/>
                <w:bCs w:val="1"/>
                <w:color w:val="auto"/>
              </w:rPr>
              <w:t>Stephen Cavoli</w:t>
            </w:r>
          </w:p>
        </w:tc>
        <w:tc>
          <w:tcPr>
            <w:tcW w:w="1940" w:type="dxa"/>
            <w:vAlign w:val="bottom"/>
          </w:tcPr>
          <w:p>
            <w:pPr>
              <w:spacing w:after="0"/>
              <w:rPr>
                <w:sz w:val="22"/>
                <w:szCs w:val="22"/>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40"/>
              <w:spacing w:after="0"/>
              <w:rPr>
                <w:sz w:val="20"/>
                <w:szCs w:val="20"/>
                <w:color w:val="auto"/>
              </w:rPr>
            </w:pPr>
            <w:r>
              <w:rPr>
                <w:rFonts w:ascii="Arial" w:cs="Arial" w:eastAsia="Arial" w:hAnsi="Arial"/>
                <w:sz w:val="18"/>
                <w:szCs w:val="18"/>
                <w:color w:val="auto"/>
              </w:rPr>
              <w:t>​ ​ 56</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3300" w:type="dxa"/>
            <w:vAlign w:val="bottom"/>
            <w:gridSpan w:val="2"/>
          </w:tcPr>
          <w:p>
            <w:pPr>
              <w:spacing w:after="0"/>
              <w:rPr>
                <w:sz w:val="20"/>
                <w:szCs w:val="20"/>
                <w:color w:val="auto"/>
              </w:rPr>
            </w:pPr>
            <w:r>
              <w:rPr>
                <w:rFonts w:ascii="Arial" w:cs="Arial" w:eastAsia="Arial" w:hAnsi="Arial"/>
                <w:sz w:val="18"/>
                <w:szCs w:val="18"/>
                <w:color w:val="auto"/>
              </w:rPr>
              <w:t>Executive Vice President, Markets</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3300" w:type="dxa"/>
            <w:vAlign w:val="bottom"/>
            <w:tcBorders>
              <w:bottom w:val="single" w:sz="8" w:color="00C08A"/>
            </w:tcBorders>
            <w:gridSpan w:val="2"/>
          </w:tcPr>
          <w:p>
            <w:pPr>
              <w:spacing w:after="0"/>
              <w:rPr>
                <w:sz w:val="13"/>
                <w:szCs w:val="13"/>
                <w:color w:val="auto"/>
              </w:rPr>
            </w:pPr>
          </w:p>
        </w:tc>
        <w:tc>
          <w:tcPr>
            <w:tcW w:w="560" w:type="dxa"/>
            <w:vAlign w:val="bottom"/>
            <w:tcBorders>
              <w:bottom w:val="single" w:sz="8" w:color="00C08A"/>
            </w:tcBorders>
          </w:tcPr>
          <w:p>
            <w:pPr>
              <w:spacing w:after="0"/>
              <w:rPr>
                <w:sz w:val="13"/>
                <w:szCs w:val="13"/>
                <w:color w:val="auto"/>
              </w:rPr>
            </w:pPr>
          </w:p>
        </w:tc>
        <w:tc>
          <w:tcPr>
            <w:tcW w:w="780" w:type="dxa"/>
            <w:vAlign w:val="bottom"/>
            <w:tcBorders>
              <w:bottom w:val="single" w:sz="8" w:color="00C08A"/>
            </w:tcBorders>
          </w:tcPr>
          <w:p>
            <w:pPr>
              <w:spacing w:after="0"/>
              <w:rPr>
                <w:sz w:val="13"/>
                <w:szCs w:val="13"/>
                <w:color w:val="auto"/>
              </w:rPr>
            </w:pPr>
          </w:p>
        </w:tc>
        <w:tc>
          <w:tcPr>
            <w:tcW w:w="500" w:type="dxa"/>
            <w:vAlign w:val="bottom"/>
            <w:tcBorders>
              <w:bottom w:val="single" w:sz="8" w:color="00C08A"/>
            </w:tcBorders>
          </w:tcPr>
          <w:p>
            <w:pPr>
              <w:spacing w:after="0"/>
              <w:rPr>
                <w:sz w:val="13"/>
                <w:szCs w:val="13"/>
                <w:color w:val="auto"/>
              </w:rPr>
            </w:pPr>
          </w:p>
        </w:tc>
        <w:tc>
          <w:tcPr>
            <w:tcW w:w="420" w:type="dxa"/>
            <w:vAlign w:val="bottom"/>
            <w:tcBorders>
              <w:bottom w:val="single" w:sz="8" w:color="00C08A"/>
            </w:tcBorders>
          </w:tcPr>
          <w:p>
            <w:pPr>
              <w:spacing w:after="0"/>
              <w:rPr>
                <w:sz w:val="13"/>
                <w:szCs w:val="13"/>
                <w:color w:val="auto"/>
              </w:rPr>
            </w:pPr>
          </w:p>
        </w:tc>
        <w:tc>
          <w:tcPr>
            <w:tcW w:w="480" w:type="dxa"/>
            <w:vAlign w:val="bottom"/>
            <w:tcBorders>
              <w:bottom w:val="single" w:sz="8" w:color="00C08A"/>
            </w:tcBorders>
          </w:tcPr>
          <w:p>
            <w:pPr>
              <w:spacing w:after="0"/>
              <w:rPr>
                <w:sz w:val="13"/>
                <w:szCs w:val="13"/>
                <w:color w:val="auto"/>
              </w:rPr>
            </w:pPr>
          </w:p>
        </w:tc>
        <w:tc>
          <w:tcPr>
            <w:tcW w:w="280" w:type="dxa"/>
            <w:vAlign w:val="bottom"/>
            <w:tcBorders>
              <w:bottom w:val="single" w:sz="8" w:color="00C08A"/>
            </w:tcBorders>
          </w:tcPr>
          <w:p>
            <w:pPr>
              <w:spacing w:after="0"/>
              <w:rPr>
                <w:sz w:val="13"/>
                <w:szCs w:val="13"/>
                <w:color w:val="auto"/>
              </w:rPr>
            </w:pPr>
          </w:p>
        </w:tc>
        <w:tc>
          <w:tcPr>
            <w:tcW w:w="200" w:type="dxa"/>
            <w:vAlign w:val="bottom"/>
            <w:tcBorders>
              <w:bottom w:val="single" w:sz="8" w:color="00C08A"/>
            </w:tcBorders>
          </w:tcPr>
          <w:p>
            <w:pPr>
              <w:spacing w:after="0"/>
              <w:rPr>
                <w:sz w:val="13"/>
                <w:szCs w:val="13"/>
                <w:color w:val="auto"/>
              </w:rPr>
            </w:pPr>
          </w:p>
        </w:tc>
        <w:tc>
          <w:tcPr>
            <w:tcW w:w="240" w:type="dxa"/>
            <w:vAlign w:val="bottom"/>
            <w:tcBorders>
              <w:bottom w:val="single" w:sz="8" w:color="00C08A"/>
            </w:tcBorders>
          </w:tcPr>
          <w:p>
            <w:pPr>
              <w:spacing w:after="0"/>
              <w:rPr>
                <w:sz w:val="13"/>
                <w:szCs w:val="13"/>
                <w:color w:val="auto"/>
              </w:rPr>
            </w:pPr>
          </w:p>
        </w:tc>
        <w:tc>
          <w:tcPr>
            <w:tcW w:w="340" w:type="dxa"/>
            <w:vAlign w:val="bottom"/>
            <w:tcBorders>
              <w:bottom w:val="single" w:sz="8" w:color="00C08A"/>
            </w:tcBorders>
          </w:tcPr>
          <w:p>
            <w:pPr>
              <w:spacing w:after="0"/>
              <w:rPr>
                <w:sz w:val="13"/>
                <w:szCs w:val="13"/>
                <w:color w:val="auto"/>
              </w:rPr>
            </w:pPr>
          </w:p>
        </w:tc>
        <w:tc>
          <w:tcPr>
            <w:tcW w:w="200" w:type="dxa"/>
            <w:vAlign w:val="bottom"/>
            <w:tcBorders>
              <w:bottom w:val="single" w:sz="8" w:color="00C08A"/>
            </w:tcBorders>
          </w:tcPr>
          <w:p>
            <w:pPr>
              <w:spacing w:after="0"/>
              <w:rPr>
                <w:sz w:val="13"/>
                <w:szCs w:val="13"/>
                <w:color w:val="auto"/>
              </w:rPr>
            </w:pPr>
          </w:p>
        </w:tc>
        <w:tc>
          <w:tcPr>
            <w:tcW w:w="500" w:type="dxa"/>
            <w:vAlign w:val="bottom"/>
            <w:tcBorders>
              <w:bottom w:val="single" w:sz="8" w:color="00C08A"/>
            </w:tcBorders>
          </w:tcPr>
          <w:p>
            <w:pPr>
              <w:spacing w:after="0"/>
              <w:rPr>
                <w:sz w:val="13"/>
                <w:szCs w:val="13"/>
                <w:color w:val="auto"/>
              </w:rPr>
            </w:pPr>
          </w:p>
        </w:tc>
        <w:tc>
          <w:tcPr>
            <w:tcW w:w="540" w:type="dxa"/>
            <w:vAlign w:val="bottom"/>
            <w:tcBorders>
              <w:bottom w:val="single" w:sz="8" w:color="00C08A"/>
            </w:tcBorders>
          </w:tcPr>
          <w:p>
            <w:pPr>
              <w:spacing w:after="0"/>
              <w:rPr>
                <w:sz w:val="13"/>
                <w:szCs w:val="13"/>
                <w:color w:val="auto"/>
              </w:rPr>
            </w:pPr>
          </w:p>
        </w:tc>
        <w:tc>
          <w:tcPr>
            <w:tcW w:w="520" w:type="dxa"/>
            <w:vAlign w:val="bottom"/>
            <w:tcBorders>
              <w:bottom w:val="single" w:sz="8" w:color="00C08A"/>
            </w:tcBorders>
          </w:tcPr>
          <w:p>
            <w:pPr>
              <w:spacing w:after="0"/>
              <w:rPr>
                <w:sz w:val="13"/>
                <w:szCs w:val="13"/>
                <w:color w:val="auto"/>
              </w:rPr>
            </w:pPr>
          </w:p>
        </w:tc>
        <w:tc>
          <w:tcPr>
            <w:tcW w:w="320" w:type="dxa"/>
            <w:vAlign w:val="bottom"/>
            <w:tcBorders>
              <w:bottom w:val="single" w:sz="8" w:color="00C08A"/>
            </w:tcBorders>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33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Brett Fairclough</w:t>
            </w:r>
          </w:p>
        </w:tc>
        <w:tc>
          <w:tcPr>
            <w:tcW w:w="560" w:type="dxa"/>
            <w:vAlign w:val="bottom"/>
          </w:tcPr>
          <w:p>
            <w:pPr>
              <w:ind w:left="380"/>
              <w:spacing w:after="0" w:line="191"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1" w:lineRule="exact"/>
              <w:rPr>
                <w:sz w:val="20"/>
                <w:szCs w:val="20"/>
                <w:color w:val="auto"/>
              </w:rPr>
            </w:pPr>
            <w:r>
              <w:rPr>
                <w:rFonts w:ascii="Arial" w:cs="Arial" w:eastAsia="Arial" w:hAnsi="Arial"/>
                <w:sz w:val="18"/>
                <w:szCs w:val="18"/>
                <w:color w:val="auto"/>
                <w:w w:val="99"/>
              </w:rPr>
              <w:t>2019</w:t>
            </w:r>
          </w:p>
        </w:tc>
        <w:tc>
          <w:tcPr>
            <w:tcW w:w="500" w:type="dxa"/>
            <w:vAlign w:val="bottom"/>
          </w:tcPr>
          <w:p>
            <w:pPr>
              <w:ind w:left="40"/>
              <w:spacing w:after="0" w:line="191" w:lineRule="exact"/>
              <w:rPr>
                <w:sz w:val="20"/>
                <w:szCs w:val="20"/>
                <w:color w:val="auto"/>
              </w:rPr>
            </w:pPr>
            <w:r>
              <w:rPr>
                <w:rFonts w:ascii="Arial" w:cs="Arial" w:eastAsia="Arial" w:hAnsi="Arial"/>
                <w:sz w:val="18"/>
                <w:szCs w:val="18"/>
                <w:color w:val="auto"/>
              </w:rPr>
              <w:t>​ ​ 42</w:t>
            </w:r>
          </w:p>
        </w:tc>
        <w:tc>
          <w:tcPr>
            <w:tcW w:w="420" w:type="dxa"/>
            <w:vAlign w:val="bottom"/>
          </w:tcPr>
          <w:p>
            <w:pPr>
              <w:ind w:left="40"/>
              <w:spacing w:after="0" w:line="191" w:lineRule="exact"/>
              <w:rPr>
                <w:sz w:val="20"/>
                <w:szCs w:val="20"/>
                <w:color w:val="auto"/>
              </w:rPr>
            </w:pPr>
            <w:r>
              <w:rPr>
                <w:rFonts w:ascii="Arial" w:cs="Arial" w:eastAsia="Arial" w:hAnsi="Arial"/>
                <w:sz w:val="18"/>
                <w:szCs w:val="18"/>
                <w:color w:val="auto"/>
              </w:rPr>
              <w:t>​ ​</w:t>
            </w:r>
          </w:p>
        </w:tc>
        <w:tc>
          <w:tcPr>
            <w:tcW w:w="480" w:type="dxa"/>
            <w:vAlign w:val="bottom"/>
          </w:tcPr>
          <w:p>
            <w:pPr>
              <w:ind w:left="220"/>
              <w:spacing w:after="0" w:line="191"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line="191"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1"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1"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1"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Co-Chief Operating Officer</w:t>
            </w: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line="197" w:lineRule="exact"/>
              <w:rPr>
                <w:sz w:val="20"/>
                <w:szCs w:val="20"/>
                <w:color w:val="auto"/>
              </w:rPr>
            </w:pPr>
            <w:r>
              <w:rPr>
                <w:rFonts w:ascii="Arial" w:cs="Arial" w:eastAsia="Arial" w:hAnsi="Arial"/>
                <w:sz w:val="18"/>
                <w:szCs w:val="18"/>
                <w:b w:val="1"/>
                <w:bCs w:val="1"/>
                <w:color w:val="auto"/>
                <w:w w:val="98"/>
              </w:rPr>
              <w:t>Joseph Molluso</w:t>
            </w:r>
          </w:p>
        </w:tc>
        <w:tc>
          <w:tcPr>
            <w:tcW w:w="1940" w:type="dxa"/>
            <w:vAlign w:val="bottom"/>
          </w:tcPr>
          <w:p>
            <w:pPr>
              <w:spacing w:after="0"/>
              <w:rPr>
                <w:sz w:val="17"/>
                <w:szCs w:val="17"/>
                <w:color w:val="auto"/>
              </w:rPr>
            </w:pPr>
          </w:p>
        </w:tc>
        <w:tc>
          <w:tcPr>
            <w:tcW w:w="560" w:type="dxa"/>
            <w:vAlign w:val="bottom"/>
          </w:tcPr>
          <w:p>
            <w:pPr>
              <w:ind w:left="380"/>
              <w:spacing w:after="0" w:line="197"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2020</w:t>
            </w:r>
          </w:p>
        </w:tc>
        <w:tc>
          <w:tcPr>
            <w:tcW w:w="500" w:type="dxa"/>
            <w:vAlign w:val="bottom"/>
          </w:tcPr>
          <w:p>
            <w:pPr>
              <w:ind w:left="40"/>
              <w:spacing w:after="0" w:line="197" w:lineRule="exact"/>
              <w:rPr>
                <w:sz w:val="20"/>
                <w:szCs w:val="20"/>
                <w:color w:val="auto"/>
              </w:rPr>
            </w:pPr>
            <w:r>
              <w:rPr>
                <w:rFonts w:ascii="Arial" w:cs="Arial" w:eastAsia="Arial" w:hAnsi="Arial"/>
                <w:sz w:val="18"/>
                <w:szCs w:val="18"/>
                <w:color w:val="auto"/>
              </w:rPr>
              <w:t>​ ​ 56</w:t>
            </w:r>
          </w:p>
        </w:tc>
        <w:tc>
          <w:tcPr>
            <w:tcW w:w="420" w:type="dxa"/>
            <w:vAlign w:val="bottom"/>
          </w:tcPr>
          <w:p>
            <w:pPr>
              <w:ind w:left="40"/>
              <w:spacing w:after="0" w:line="197" w:lineRule="exact"/>
              <w:rPr>
                <w:sz w:val="20"/>
                <w:szCs w:val="20"/>
                <w:color w:val="auto"/>
              </w:rPr>
            </w:pPr>
            <w:r>
              <w:rPr>
                <w:rFonts w:ascii="Arial" w:cs="Arial" w:eastAsia="Arial" w:hAnsi="Arial"/>
                <w:sz w:val="18"/>
                <w:szCs w:val="18"/>
                <w:color w:val="auto"/>
              </w:rPr>
              <w:t>​ ​</w:t>
            </w:r>
          </w:p>
        </w:tc>
        <w:tc>
          <w:tcPr>
            <w:tcW w:w="480" w:type="dxa"/>
            <w:vAlign w:val="bottom"/>
          </w:tcPr>
          <w:p>
            <w:pPr>
              <w:ind w:left="220"/>
              <w:spacing w:after="0" w:line="197"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line="197"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7"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7"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7"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7"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7"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7"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Co-Chief Operating Officer</w:t>
            </w: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line="197" w:lineRule="exact"/>
              <w:rPr>
                <w:sz w:val="20"/>
                <w:szCs w:val="20"/>
                <w:color w:val="auto"/>
              </w:rPr>
            </w:pPr>
            <w:r>
              <w:rPr>
                <w:rFonts w:ascii="Arial" w:cs="Arial" w:eastAsia="Arial" w:hAnsi="Arial"/>
                <w:sz w:val="18"/>
                <w:szCs w:val="18"/>
                <w:b w:val="1"/>
                <w:bCs w:val="1"/>
                <w:color w:val="auto"/>
              </w:rPr>
              <w:t>Cindy Lee</w:t>
            </w:r>
          </w:p>
        </w:tc>
        <w:tc>
          <w:tcPr>
            <w:tcW w:w="1940" w:type="dxa"/>
            <w:vAlign w:val="bottom"/>
          </w:tcPr>
          <w:p>
            <w:pPr>
              <w:spacing w:after="0"/>
              <w:rPr>
                <w:sz w:val="17"/>
                <w:szCs w:val="17"/>
                <w:color w:val="auto"/>
              </w:rPr>
            </w:pPr>
          </w:p>
        </w:tc>
        <w:tc>
          <w:tcPr>
            <w:tcW w:w="560" w:type="dxa"/>
            <w:vAlign w:val="bottom"/>
          </w:tcPr>
          <w:p>
            <w:pPr>
              <w:ind w:left="380"/>
              <w:spacing w:after="0" w:line="197"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2024</w:t>
            </w:r>
          </w:p>
        </w:tc>
        <w:tc>
          <w:tcPr>
            <w:tcW w:w="500" w:type="dxa"/>
            <w:vAlign w:val="bottom"/>
          </w:tcPr>
          <w:p>
            <w:pPr>
              <w:ind w:left="40"/>
              <w:spacing w:after="0" w:line="197" w:lineRule="exact"/>
              <w:rPr>
                <w:sz w:val="20"/>
                <w:szCs w:val="20"/>
                <w:color w:val="auto"/>
              </w:rPr>
            </w:pPr>
            <w:r>
              <w:rPr>
                <w:rFonts w:ascii="Arial" w:cs="Arial" w:eastAsia="Arial" w:hAnsi="Arial"/>
                <w:sz w:val="18"/>
                <w:szCs w:val="18"/>
                <w:color w:val="auto"/>
              </w:rPr>
              <w:t>​ ​ 40</w:t>
            </w:r>
          </w:p>
        </w:tc>
        <w:tc>
          <w:tcPr>
            <w:tcW w:w="420" w:type="dxa"/>
            <w:vAlign w:val="bottom"/>
          </w:tcPr>
          <w:p>
            <w:pPr>
              <w:ind w:left="40"/>
              <w:spacing w:after="0" w:line="197" w:lineRule="exact"/>
              <w:rPr>
                <w:sz w:val="20"/>
                <w:szCs w:val="20"/>
                <w:color w:val="auto"/>
              </w:rPr>
            </w:pPr>
            <w:r>
              <w:rPr>
                <w:rFonts w:ascii="Arial" w:cs="Arial" w:eastAsia="Arial" w:hAnsi="Arial"/>
                <w:sz w:val="18"/>
                <w:szCs w:val="18"/>
                <w:color w:val="auto"/>
              </w:rPr>
              <w:t>​ ​</w:t>
            </w:r>
          </w:p>
        </w:tc>
        <w:tc>
          <w:tcPr>
            <w:tcW w:w="480" w:type="dxa"/>
            <w:vAlign w:val="bottom"/>
          </w:tcPr>
          <w:p>
            <w:pPr>
              <w:ind w:left="220"/>
              <w:spacing w:after="0" w:line="197"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line="197"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7"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7"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7"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7"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7"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7"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1"/>
        </w:trPr>
        <w:tc>
          <w:tcPr>
            <w:tcW w:w="1360" w:type="dxa"/>
            <w:vAlign w:val="bottom"/>
          </w:tcPr>
          <w:p>
            <w:pPr>
              <w:ind w:left="200"/>
              <w:spacing w:after="0"/>
              <w:rPr>
                <w:sz w:val="20"/>
                <w:szCs w:val="20"/>
                <w:color w:val="auto"/>
              </w:rPr>
            </w:pPr>
            <w:r>
              <w:rPr>
                <w:rFonts w:ascii="Arial" w:cs="Arial" w:eastAsia="Arial" w:hAnsi="Arial"/>
                <w:sz w:val="18"/>
                <w:szCs w:val="18"/>
                <w:color w:val="auto"/>
              </w:rPr>
              <w:t>  Member</w:t>
            </w:r>
          </w:p>
        </w:tc>
        <w:tc>
          <w:tcPr>
            <w:tcW w:w="3280" w:type="dxa"/>
            <w:vAlign w:val="bottom"/>
            <w:gridSpan w:val="3"/>
          </w:tcPr>
          <w:p>
            <w:pPr>
              <w:ind w:left="20"/>
              <w:spacing w:after="0"/>
              <w:rPr>
                <w:sz w:val="20"/>
                <w:szCs w:val="20"/>
                <w:color w:val="auto"/>
              </w:rPr>
            </w:pPr>
            <w:r>
              <w:rPr>
                <w:rFonts w:ascii="Arial" w:cs="Arial" w:eastAsia="Arial" w:hAnsi="Arial"/>
                <w:sz w:val="18"/>
                <w:szCs w:val="18"/>
                <w:color w:val="auto"/>
              </w:rPr>
              <w:t>  Audit Committee Financial Expert</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-207645</wp:posOffset>
            </wp:positionV>
            <wp:extent cx="12001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-4639945</wp:posOffset>
            </wp:positionV>
            <wp:extent cx="12001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-4639945</wp:posOffset>
            </wp:positionV>
            <wp:extent cx="12001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-4305300</wp:posOffset>
            </wp:positionV>
            <wp:extent cx="16256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-4305300</wp:posOffset>
            </wp:positionV>
            <wp:extent cx="12001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-4305300</wp:posOffset>
            </wp:positionV>
            <wp:extent cx="12001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-3971290</wp:posOffset>
            </wp:positionV>
            <wp:extent cx="16256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-3971290</wp:posOffset>
            </wp:positionV>
            <wp:extent cx="12001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-3636645</wp:posOffset>
            </wp:positionV>
            <wp:extent cx="16256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-3636645</wp:posOffset>
            </wp:positionV>
            <wp:extent cx="12001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-3636645</wp:posOffset>
            </wp:positionV>
            <wp:extent cx="12001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-3302635</wp:posOffset>
            </wp:positionV>
            <wp:extent cx="16256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-3302635</wp:posOffset>
            </wp:positionV>
            <wp:extent cx="12001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-3302635</wp:posOffset>
            </wp:positionV>
            <wp:extent cx="12001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-2967990</wp:posOffset>
            </wp:positionV>
            <wp:extent cx="16256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-2967990</wp:posOffset>
            </wp:positionV>
            <wp:extent cx="12001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-2967990</wp:posOffset>
            </wp:positionV>
            <wp:extent cx="12001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-2633980</wp:posOffset>
            </wp:positionV>
            <wp:extent cx="16256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-2633980</wp:posOffset>
            </wp:positionV>
            <wp:extent cx="12001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-2633980</wp:posOffset>
            </wp:positionV>
            <wp:extent cx="12001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-2299335</wp:posOffset>
            </wp:positionV>
            <wp:extent cx="16256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-2299335</wp:posOffset>
            </wp:positionV>
            <wp:extent cx="12001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-2299335</wp:posOffset>
            </wp:positionV>
            <wp:extent cx="12001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-207645</wp:posOffset>
            </wp:positionV>
            <wp:extent cx="12001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1645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4046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0" cy="404622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5407660</wp:posOffset>
            </wp:positionV>
            <wp:extent cx="75438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jc w:val="right"/>
        <w:ind w:right="6100"/>
        <w:spacing w:after="0"/>
        <w:rPr>
          <w:sz w:val="20"/>
          <w:szCs w:val="20"/>
          <w:color w:val="auto"/>
        </w:rPr>
      </w:pPr>
      <w:r>
        <w:rPr>
          <w:rFonts w:ascii="Arial" w:cs="Arial" w:eastAsia="Arial" w:hAnsi="Arial"/>
          <w:sz w:val="29"/>
          <w:szCs w:val="29"/>
          <w:b w:val="1"/>
          <w:bCs w:val="1"/>
          <w:color w:val="002453"/>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367030</wp:posOffset>
            </wp:positionV>
            <wp:extent cx="284607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6070" cy="20574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378" w:lineRule="exact"/>
        <w:rPr>
          <w:sz w:val="20"/>
          <w:szCs w:val="20"/>
          <w:color w:val="auto"/>
        </w:rPr>
      </w:pPr>
    </w:p>
    <w:tbl>
      <w:tblPr>
        <w:tblLayout w:type="fixed"/>
        <w:tblInd w:w="760" w:type="dxa"/>
        <w:tblCellMar>
          <w:top w:w="0" w:type="dxa"/>
          <w:left w:w="0" w:type="dxa"/>
          <w:bottom w:w="0" w:type="dxa"/>
          <w:right w:w="0" w:type="dxa"/>
        </w:tblCellMar>
      </w:tblPr>
      <w:tr>
        <w:trPr>
          <w:trHeight w:val="304"/>
        </w:trPr>
        <w:tc>
          <w:tcPr>
            <w:tcW w:w="240" w:type="dxa"/>
            <w:vAlign w:val="bottom"/>
            <w:tcBorders>
              <w:bottom w:val="single" w:sz="8" w:color="00C08A"/>
            </w:tcBorders>
            <w:shd w:val="clear" w:color="auto" w:fill="00C08A"/>
          </w:tcPr>
          <w:p>
            <w:pPr>
              <w:spacing w:after="0"/>
              <w:rPr>
                <w:sz w:val="20"/>
                <w:szCs w:val="20"/>
                <w:color w:val="auto"/>
              </w:rPr>
            </w:pPr>
            <w:r>
              <w:rPr>
                <w:rFonts w:ascii="Arial" w:cs="Arial" w:eastAsia="Arial" w:hAnsi="Arial"/>
                <w:sz w:val="14"/>
                <w:szCs w:val="14"/>
                <w:b w:val="1"/>
                <w:bCs w:val="1"/>
                <w:color w:val="FEFEFE"/>
              </w:rPr>
              <w:t>​</w:t>
            </w:r>
          </w:p>
        </w:tc>
        <w:tc>
          <w:tcPr>
            <w:tcW w:w="4240" w:type="dxa"/>
            <w:vAlign w:val="bottom"/>
            <w:tcBorders>
              <w:bottom w:val="single" w:sz="8" w:color="00C08A"/>
            </w:tcBorders>
            <w:shd w:val="clear" w:color="auto" w:fill="00C08A"/>
          </w:tcPr>
          <w:p>
            <w:pPr>
              <w:ind w:left="1540"/>
              <w:spacing w:after="0"/>
              <w:rPr>
                <w:sz w:val="20"/>
                <w:szCs w:val="20"/>
                <w:color w:val="auto"/>
              </w:rPr>
            </w:pPr>
            <w:r>
              <w:rPr>
                <w:rFonts w:ascii="Arial" w:cs="Arial" w:eastAsia="Arial" w:hAnsi="Arial"/>
                <w:sz w:val="14"/>
                <w:szCs w:val="14"/>
                <w:b w:val="1"/>
                <w:bCs w:val="1"/>
                <w:color w:val="FEFEFE"/>
              </w:rPr>
              <w:t>WHAT WE DO</w:t>
            </w:r>
          </w:p>
        </w:tc>
        <w:tc>
          <w:tcPr>
            <w:tcW w:w="160" w:type="dxa"/>
            <w:vAlign w:val="bottom"/>
          </w:tcPr>
          <w:p>
            <w:pPr>
              <w:jc w:val="center"/>
              <w:spacing w:after="0"/>
              <w:rPr>
                <w:sz w:val="20"/>
                <w:szCs w:val="20"/>
                <w:color w:val="auto"/>
              </w:rPr>
            </w:pPr>
            <w:r>
              <w:rPr>
                <w:rFonts w:ascii="Arial" w:cs="Arial" w:eastAsia="Arial" w:hAnsi="Arial"/>
                <w:sz w:val="14"/>
                <w:szCs w:val="14"/>
                <w:b w:val="1"/>
                <w:bCs w:val="1"/>
                <w:color w:val="FEFEFE"/>
              </w:rPr>
              <w:t>​</w:t>
            </w:r>
          </w:p>
        </w:tc>
        <w:tc>
          <w:tcPr>
            <w:tcW w:w="12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4"/>
                <w:szCs w:val="14"/>
                <w:color w:val="auto"/>
              </w:rPr>
            </w:pPr>
          </w:p>
        </w:tc>
      </w:tr>
      <w:tr>
        <w:trPr>
          <w:trHeight w:val="130"/>
        </w:trPr>
        <w:tc>
          <w:tcPr>
            <w:tcW w:w="240" w:type="dxa"/>
            <w:vAlign w:val="bottom"/>
          </w:tcPr>
          <w:p>
            <w:pPr>
              <w:spacing w:after="0"/>
              <w:rPr>
                <w:sz w:val="11"/>
                <w:szCs w:val="11"/>
                <w:color w:val="auto"/>
              </w:rPr>
            </w:pPr>
          </w:p>
        </w:tc>
        <w:tc>
          <w:tcPr>
            <w:tcW w:w="4240" w:type="dxa"/>
            <w:vAlign w:val="bottom"/>
          </w:tcPr>
          <w:p>
            <w:pPr>
              <w:ind w:left="200"/>
              <w:spacing w:after="0" w:line="130" w:lineRule="exact"/>
              <w:rPr>
                <w:sz w:val="20"/>
                <w:szCs w:val="20"/>
                <w:color w:val="auto"/>
              </w:rPr>
            </w:pPr>
            <w:r>
              <w:rPr>
                <w:rFonts w:ascii="Arial" w:cs="Arial" w:eastAsia="Arial" w:hAnsi="Arial"/>
                <w:sz w:val="15"/>
                <w:szCs w:val="15"/>
                <w:i w:val="1"/>
                <w:iCs w:val="1"/>
                <w:color w:val="auto"/>
              </w:rPr>
              <w:t xml:space="preserve">Pay for performance: </w:t>
            </w:r>
            <w:r>
              <w:rPr>
                <w:rFonts w:ascii="Arial" w:cs="Arial" w:eastAsia="Arial" w:hAnsi="Arial"/>
                <w:sz w:val="15"/>
                <w:szCs w:val="15"/>
                <w:color w:val="auto"/>
              </w:rPr>
              <w:t>A portion of the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for named executive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9"/>
              </w:rPr>
              <w:t>officers is designed to encourage the executives 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remain focused on both our short-term and long-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term operational success and to reward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outstanding individual performance.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Align Incentives with Stockholders: </w:t>
            </w:r>
            <w:r>
              <w:rPr>
                <w:rFonts w:ascii="Arial" w:cs="Arial" w:eastAsia="Arial" w:hAnsi="Arial"/>
                <w:sz w:val="10"/>
                <w:szCs w:val="10"/>
                <w:color w:val="auto"/>
              </w:rPr>
              <w:t>Our executive</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is designed to focus our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named executive officers on our key strategic,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financial and operational goals that will translate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into long-term value creation for our stockholders.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Limited perquisites: </w:t>
            </w:r>
            <w:r>
              <w:rPr>
                <w:rFonts w:ascii="Arial" w:cs="Arial" w:eastAsia="Arial" w:hAnsi="Arial"/>
                <w:sz w:val="10"/>
                <w:szCs w:val="10"/>
                <w:color w:val="auto"/>
              </w:rPr>
              <w:t>We provide limited, reasonable</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perquisites that we believe are consistent with our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overall compensation philosophy.</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Independent Governance: </w:t>
            </w:r>
            <w:r>
              <w:rPr>
                <w:rFonts w:ascii="Arial" w:cs="Arial" w:eastAsia="Arial" w:hAnsi="Arial"/>
                <w:sz w:val="10"/>
                <w:szCs w:val="10"/>
                <w:color w:val="auto"/>
              </w:rPr>
              <w:t>Our board of directors is</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8"/>
              </w:rPr>
              <w:t>currently majority independent and although we 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not required to have fully independent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and Nominating and Corporate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Governance Committees, our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4"/>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Committee is fully independent.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-2905760</wp:posOffset>
            </wp:positionV>
            <wp:extent cx="16256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-2914015</wp:posOffset>
            </wp:positionV>
            <wp:extent cx="16319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-2039620</wp:posOffset>
            </wp:positionV>
            <wp:extent cx="16256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-1302385</wp:posOffset>
            </wp:positionV>
            <wp:extent cx="16256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-839470</wp:posOffset>
            </wp:positionV>
            <wp:extent cx="16256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FEFEFE"/>
        </w:rPr>
        <w:t>WHAT WE DON’T DO</w:t>
      </w:r>
    </w:p>
    <w:p>
      <w:pPr>
        <w:spacing w:after="0" w:line="214" w:lineRule="auto"/>
        <w:rPr>
          <w:sz w:val="20"/>
          <w:szCs w:val="20"/>
          <w:color w:val="auto"/>
        </w:rPr>
      </w:pPr>
      <w:r>
        <w:rPr>
          <w:rFonts w:ascii="Arial" w:cs="Arial" w:eastAsia="Arial" w:hAnsi="Arial"/>
          <w:sz w:val="18"/>
          <w:szCs w:val="18"/>
          <w:color w:val="auto"/>
        </w:rPr>
        <w:t>​</w:t>
      </w:r>
    </w:p>
    <w:p>
      <w:pPr>
        <w:spacing w:after="0" w:line="255" w:lineRule="auto"/>
        <w:rPr>
          <w:sz w:val="20"/>
          <w:szCs w:val="20"/>
          <w:color w:val="auto"/>
        </w:rPr>
      </w:pPr>
      <w:r>
        <w:rPr>
          <w:rFonts w:ascii="Arial" w:cs="Arial" w:eastAsia="Arial" w:hAnsi="Arial"/>
          <w:sz w:val="18"/>
          <w:szCs w:val="18"/>
          <w:i w:val="1"/>
          <w:iCs w:val="1"/>
          <w:color w:val="auto"/>
        </w:rPr>
        <w:t xml:space="preserve">No IRC Section 280G or 409A tax gross-ups: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provide tax gross-ups under our change in control provisions or deferred compensation programs.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-127635</wp:posOffset>
            </wp:positionV>
            <wp:extent cx="2846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88" w:lineRule="exact"/>
        <w:rPr>
          <w:sz w:val="20"/>
          <w:szCs w:val="20"/>
          <w:color w:val="auto"/>
        </w:rPr>
      </w:pPr>
    </w:p>
    <w:p>
      <w:pPr>
        <w:sectPr>
          <w:pgSz w:w="11900" w:h="16838" w:orient="portrait"/>
          <w:cols w:equalWidth="0" w:num="3">
            <w:col w:w="5520" w:space="380"/>
            <w:col w:w="3900" w:space="140"/>
            <w:col w:w="6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Proposal 1: Election of Directors</w:t>
      </w:r>
    </w:p>
    <w:p>
      <w:pPr>
        <w:spacing w:after="0" w:line="146"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auto"/>
        </w:rPr>
        <w:t>At the Annual Meeting, stockholders will vote to elect the three nominees named in this proxy statement as Class I directors. Each of the Class I directors elected at the Annual Meeting will hold office until the 2028 annual meeting of stockholders and until his or her successor has been duly elected and qualified. Our board of directors has nominated William F. Cruger, Jr., Christopher C. Quick, and Vincent Viola to serve as Class I directors for terms expiring at the 2028 annual meeting of stockholders and until each of their successors has been duly elected and qualified. The persons named as proxies will vote to elect Messrs. Cruger Jr., Quick, and Viola, unless a stockholder indicates that his or her shares should be withheld with respect to one or more of such nominees.</w:t>
      </w:r>
    </w:p>
    <w:p>
      <w:pPr>
        <w:spacing w:after="0" w:line="75" w:lineRule="exact"/>
        <w:rPr>
          <w:sz w:val="20"/>
          <w:szCs w:val="20"/>
          <w:color w:val="auto"/>
        </w:rPr>
      </w:pPr>
    </w:p>
    <w:p>
      <w:pPr>
        <w:ind w:left="760" w:right="200"/>
        <w:spacing w:after="0" w:line="262" w:lineRule="auto"/>
        <w:rPr>
          <w:sz w:val="20"/>
          <w:szCs w:val="20"/>
          <w:color w:val="auto"/>
        </w:rPr>
      </w:pPr>
      <w:r>
        <w:rPr>
          <w:rFonts w:ascii="Arial" w:cs="Arial" w:eastAsia="Arial" w:hAnsi="Arial"/>
          <w:sz w:val="18"/>
          <w:szCs w:val="18"/>
          <w:color w:val="auto"/>
        </w:rPr>
        <w:t>In the event that any nominee for Class 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120"/>
        <w:spacing w:after="0" w:line="268"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Abstentions and broker non-votes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283210</wp:posOffset>
            </wp:positionV>
            <wp:extent cx="5829300" cy="4800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each of</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453"/>
                <w:w w:val="99"/>
              </w:rPr>
              <w:t>the nominees for our board of directors in this proposal 1.</w:t>
            </w:r>
          </w:p>
        </w:tc>
        <w:tc>
          <w:tcPr>
            <w:tcW w:w="1000" w:type="dxa"/>
            <w:vAlign w:val="bottom"/>
            <w:vMerge w:val="restart"/>
          </w:tcPr>
          <w:p>
            <w:pPr>
              <w:ind w:left="94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7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3935730</wp:posOffset>
            </wp:positionV>
            <wp:extent cx="75438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directors.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 Directors</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three Class I directors will expire at the Annual Meeting. Messrs. Cruger Jr., Quick, and</w:t>
      </w:r>
    </w:p>
    <w:p>
      <w:pPr>
        <w:spacing w:after="0" w:line="14" w:lineRule="exact"/>
        <w:rPr>
          <w:sz w:val="20"/>
          <w:szCs w:val="20"/>
          <w:color w:val="auto"/>
        </w:rPr>
      </w:pPr>
    </w:p>
    <w:p>
      <w:pPr>
        <w:ind w:left="760" w:right="160"/>
        <w:spacing w:after="0" w:line="237" w:lineRule="auto"/>
        <w:rPr>
          <w:sz w:val="20"/>
          <w:szCs w:val="20"/>
          <w:color w:val="auto"/>
        </w:rPr>
      </w:pPr>
      <w:r>
        <w:rPr>
          <w:rFonts w:ascii="Arial" w:cs="Arial" w:eastAsia="Arial" w:hAnsi="Arial"/>
          <w:sz w:val="18"/>
          <w:szCs w:val="18"/>
          <w:color w:val="auto"/>
        </w:rPr>
        <w:t>Viola are the only nominees for election at the Annual Meeting, for a term that will expire at the 2028 annual meeting of stockholders and until each of their successors has been duly elected and qualified.</w:t>
      </w:r>
    </w:p>
    <w:p>
      <w:pPr>
        <w:sectPr>
          <w:pgSz w:w="11900" w:h="16838" w:orient="portrait"/>
          <w:cols w:equalWidth="0" w:num="1">
            <w:col w:w="10000"/>
          </w:cols>
          <w:pgMar w:left="580" w:top="97" w:right="1319" w:bottom="1440" w:gutter="0" w:footer="0" w:header="0"/>
        </w:sectPr>
      </w:pPr>
    </w:p>
    <w:p>
      <w:pPr>
        <w:spacing w:after="0" w:line="99"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60" w:type="dxa"/>
            <w:vAlign w:val="bottom"/>
          </w:tcPr>
          <w:p>
            <w:pPr>
              <w:spacing w:after="0"/>
              <w:rPr>
                <w:sz w:val="20"/>
                <w:szCs w:val="20"/>
                <w:color w:val="auto"/>
              </w:rPr>
            </w:pPr>
            <w:r>
              <w:rPr>
                <w:rFonts w:ascii="Arial" w:cs="Arial" w:eastAsia="Arial" w:hAnsi="Arial"/>
                <w:sz w:val="36"/>
                <w:szCs w:val="36"/>
                <w:color w:val="00C08A"/>
              </w:rPr>
              <w:t>William F.</w:t>
            </w:r>
          </w:p>
        </w:tc>
        <w:tc>
          <w:tcPr>
            <w:tcW w:w="2540" w:type="dxa"/>
            <w:vAlign w:val="bottom"/>
            <w:vMerge w:val="restart"/>
          </w:tcPr>
          <w:p>
            <w:pPr>
              <w:ind w:left="640"/>
              <w:spacing w:after="0"/>
              <w:rPr>
                <w:sz w:val="20"/>
                <w:szCs w:val="20"/>
                <w:color w:val="auto"/>
              </w:rPr>
            </w:pPr>
            <w:r>
              <w:rPr>
                <w:rFonts w:ascii="Arial" w:cs="Arial" w:eastAsia="Arial" w:hAnsi="Arial"/>
                <w:sz w:val="18"/>
                <w:szCs w:val="18"/>
                <w:color w:val="auto"/>
              </w:rPr>
              <w:t>Age: 66</w:t>
            </w:r>
          </w:p>
        </w:tc>
        <w:tc>
          <w:tcPr>
            <w:tcW w:w="2140" w:type="dxa"/>
            <w:vAlign w:val="bottom"/>
          </w:tcPr>
          <w:p>
            <w:pPr>
              <w:ind w:left="320"/>
              <w:spacing w:after="0"/>
              <w:rPr>
                <w:sz w:val="20"/>
                <w:szCs w:val="20"/>
                <w:color w:val="auto"/>
              </w:rPr>
            </w:pPr>
            <w:r>
              <w:rPr>
                <w:rFonts w:ascii="Arial" w:cs="Arial" w:eastAsia="Arial" w:hAnsi="Arial"/>
                <w:sz w:val="18"/>
                <w:szCs w:val="18"/>
                <w:b w:val="1"/>
                <w:bCs w:val="1"/>
                <w:color w:val="00C08A"/>
              </w:rPr>
              <w:t>Board Committees</w:t>
            </w:r>
          </w:p>
        </w:tc>
        <w:tc>
          <w:tcPr>
            <w:tcW w:w="1640" w:type="dxa"/>
            <w:vAlign w:val="bottom"/>
            <w:vMerge w:val="restart"/>
          </w:tcPr>
          <w:p>
            <w:pPr>
              <w:jc w:val="right"/>
              <w:ind w:right="7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7"/>
        </w:trPr>
        <w:tc>
          <w:tcPr>
            <w:tcW w:w="2060" w:type="dxa"/>
            <w:vAlign w:val="bottom"/>
          </w:tcPr>
          <w:p>
            <w:pPr>
              <w:spacing w:after="0" w:line="37" w:lineRule="exact"/>
              <w:rPr>
                <w:sz w:val="20"/>
                <w:szCs w:val="20"/>
                <w:color w:val="auto"/>
              </w:rPr>
            </w:pPr>
            <w:r>
              <w:rPr>
                <w:rFonts w:ascii="Arial" w:cs="Arial" w:eastAsia="Arial" w:hAnsi="Arial"/>
                <w:sz w:val="4"/>
                <w:szCs w:val="4"/>
                <w:color w:val="00C08A"/>
              </w:rPr>
              <w:t>Cruger, Jr.</w:t>
            </w:r>
          </w:p>
        </w:tc>
        <w:tc>
          <w:tcPr>
            <w:tcW w:w="2540" w:type="dxa"/>
            <w:vAlign w:val="bottom"/>
            <w:vMerge w:val="continue"/>
          </w:tcPr>
          <w:p>
            <w:pPr>
              <w:spacing w:after="0"/>
              <w:rPr>
                <w:sz w:val="3"/>
                <w:szCs w:val="3"/>
                <w:color w:val="auto"/>
              </w:rPr>
            </w:pPr>
          </w:p>
        </w:tc>
        <w:tc>
          <w:tcPr>
            <w:tcW w:w="2140" w:type="dxa"/>
            <w:vAlign w:val="bottom"/>
          </w:tcPr>
          <w:p>
            <w:pPr>
              <w:ind w:left="320"/>
              <w:spacing w:after="0" w:line="37" w:lineRule="exact"/>
              <w:rPr>
                <w:sz w:val="20"/>
                <w:szCs w:val="20"/>
                <w:color w:val="auto"/>
              </w:rPr>
            </w:pPr>
            <w:r>
              <w:rPr>
                <w:rFonts w:ascii="Arial" w:cs="Arial" w:eastAsia="Arial" w:hAnsi="Arial"/>
                <w:sz w:val="4"/>
                <w:szCs w:val="4"/>
                <w:color w:val="002453"/>
              </w:rPr>
              <w:t xml:space="preserve">• </w:t>
            </w:r>
            <w:r>
              <w:rPr>
                <w:rFonts w:ascii="Arial" w:cs="Arial" w:eastAsia="Arial" w:hAnsi="Arial"/>
                <w:sz w:val="4"/>
                <w:szCs w:val="4"/>
                <w:color w:val="000000"/>
              </w:rPr>
              <w:t>Risk</w:t>
            </w:r>
          </w:p>
        </w:tc>
        <w:tc>
          <w:tcPr>
            <w:tcW w:w="1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7"/>
        </w:trPr>
        <w:tc>
          <w:tcPr>
            <w:tcW w:w="206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420"/>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Independent Director</w:t>
            </w:r>
          </w:p>
        </w:tc>
        <w:tc>
          <w:tcPr>
            <w:tcW w:w="2140" w:type="dxa"/>
            <w:vAlign w:val="bottom"/>
          </w:tcPr>
          <w:p>
            <w:pPr>
              <w:ind w:left="120"/>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color w:val="002453"/>
              </w:rPr>
              <w:t xml:space="preserve"> • </w:t>
            </w:r>
            <w:r>
              <w:rPr>
                <w:rFonts w:ascii="Arial" w:cs="Arial" w:eastAsia="Arial" w:hAnsi="Arial"/>
                <w:sz w:val="18"/>
                <w:szCs w:val="18"/>
                <w:color w:val="000000"/>
              </w:rPr>
              <w:t>Audit</w:t>
            </w:r>
          </w:p>
        </w:tc>
        <w:tc>
          <w:tcPr>
            <w:tcW w:w="1640" w:type="dxa"/>
            <w:vAlign w:val="bottom"/>
          </w:tcPr>
          <w:p>
            <w:pPr>
              <w:jc w:val="right"/>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Director Since</w:t>
            </w:r>
          </w:p>
        </w:tc>
        <w:tc>
          <w:tcPr>
            <w:tcW w:w="0" w:type="dxa"/>
            <w:vAlign w:val="bottom"/>
          </w:tcPr>
          <w:p>
            <w:pPr>
              <w:spacing w:after="0"/>
              <w:rPr>
                <w:sz w:val="1"/>
                <w:szCs w:val="1"/>
                <w:color w:val="auto"/>
              </w:rPr>
            </w:pPr>
          </w:p>
        </w:tc>
      </w:tr>
      <w:tr>
        <w:trPr>
          <w:trHeight w:val="181"/>
        </w:trPr>
        <w:tc>
          <w:tcPr>
            <w:tcW w:w="20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Arial" w:cs="Arial" w:eastAsia="Arial" w:hAnsi="Arial"/>
                <w:sz w:val="18"/>
                <w:szCs w:val="18"/>
                <w:color w:val="00C08A"/>
              </w:rPr>
              <w:t>BACKGROUND</w:t>
            </w:r>
          </w:p>
        </w:tc>
        <w:tc>
          <w:tcPr>
            <w:tcW w:w="2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-254000</wp:posOffset>
            </wp:positionV>
            <wp:extent cx="58293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Cruger became a member of our board of directors in April 2015 and was previously a member of the board of</w:t>
      </w:r>
    </w:p>
    <w:p>
      <w:pPr>
        <w:spacing w:after="0" w:line="14" w:lineRule="exact"/>
        <w:rPr>
          <w:sz w:val="20"/>
          <w:szCs w:val="20"/>
          <w:color w:val="auto"/>
        </w:rPr>
      </w:pPr>
    </w:p>
    <w:p>
      <w:pPr>
        <w:ind w:left="760" w:right="20"/>
        <w:spacing w:after="0"/>
        <w:rPr>
          <w:sz w:val="20"/>
          <w:szCs w:val="20"/>
          <w:color w:val="auto"/>
        </w:rPr>
      </w:pPr>
      <w:r>
        <w:rPr>
          <w:rFonts w:ascii="Arial" w:cs="Arial" w:eastAsia="Arial" w:hAnsi="Arial"/>
          <w:sz w:val="17"/>
          <w:szCs w:val="17"/>
          <w:color w:val="auto"/>
        </w:rPr>
        <w:t>directors of Virtu Financial LLC (“</w:t>
      </w:r>
      <w:r>
        <w:rPr>
          <w:rFonts w:ascii="Arial" w:cs="Arial" w:eastAsia="Arial" w:hAnsi="Arial"/>
          <w:sz w:val="17"/>
          <w:szCs w:val="17"/>
          <w:b w:val="1"/>
          <w:bCs w:val="1"/>
          <w:color w:val="auto"/>
        </w:rPr>
        <w:t>Virtu Financial</w:t>
      </w:r>
      <w:r>
        <w:rPr>
          <w:rFonts w:ascii="Arial" w:cs="Arial" w:eastAsia="Arial" w:hAnsi="Arial"/>
          <w:sz w:val="17"/>
          <w:szCs w:val="17"/>
          <w:color w:val="auto"/>
        </w:rPr>
        <w:t>”), which is a subsidiary of the Company and was the entity through which we conducted our business prior to our initial public offering. From 1982 to 2013, he held a number of senior</w:t>
      </w:r>
    </w:p>
    <w:p>
      <w:pPr>
        <w:spacing w:after="0" w:line="1" w:lineRule="exact"/>
        <w:rPr>
          <w:sz w:val="20"/>
          <w:szCs w:val="20"/>
          <w:color w:val="auto"/>
        </w:rPr>
      </w:pPr>
    </w:p>
    <w:p>
      <w:pPr>
        <w:ind w:left="760" w:right="140"/>
        <w:spacing w:after="0"/>
        <w:rPr>
          <w:sz w:val="20"/>
          <w:szCs w:val="20"/>
          <w:color w:val="auto"/>
        </w:rPr>
      </w:pPr>
      <w:r>
        <w:rPr>
          <w:rFonts w:ascii="Arial" w:cs="Arial" w:eastAsia="Arial" w:hAnsi="Arial"/>
          <w:sz w:val="17"/>
          <w:szCs w:val="17"/>
          <w:color w:val="auto"/>
        </w:rPr>
        <w:t>positions at J.P. Morgan and Co., a global investment bank. Mr. Cruger was Managing Director in the Financial Institutions group from 1996 to 2011, and then served as Vice Chairman of Investment Banking at J.P. Morgan and</w:t>
      </w:r>
    </w:p>
    <w:p>
      <w:pPr>
        <w:spacing w:after="0" w:line="1" w:lineRule="exact"/>
        <w:rPr>
          <w:sz w:val="20"/>
          <w:szCs w:val="20"/>
          <w:color w:val="auto"/>
        </w:rPr>
      </w:pPr>
    </w:p>
    <w:p>
      <w:pPr>
        <w:ind w:left="760" w:right="140"/>
        <w:spacing w:after="0"/>
        <w:rPr>
          <w:sz w:val="20"/>
          <w:szCs w:val="20"/>
          <w:color w:val="auto"/>
        </w:rPr>
      </w:pPr>
      <w:r>
        <w:rPr>
          <w:rFonts w:ascii="Arial" w:cs="Arial" w:eastAsia="Arial" w:hAnsi="Arial"/>
          <w:sz w:val="17"/>
          <w:szCs w:val="17"/>
          <w:color w:val="auto"/>
        </w:rPr>
        <w:t>Co., where he was responsible for key client relationships on a global basis. During this time, he also oversaw the rationalization of the firm’s private equity investments in trading platforms and related ventures at Lab Morgan from</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2000 to 2001. Prior to this, Mr. Cruger ran the firm’s investment banking practices in Japan from 1991 to 1996, Latin</w:t>
      </w:r>
    </w:p>
    <w:p>
      <w:pPr>
        <w:spacing w:after="0" w:line="7" w:lineRule="exact"/>
        <w:rPr>
          <w:sz w:val="20"/>
          <w:szCs w:val="20"/>
          <w:color w:val="auto"/>
        </w:rPr>
      </w:pPr>
    </w:p>
    <w:p>
      <w:pPr>
        <w:ind w:left="760" w:right="280"/>
        <w:spacing w:after="0"/>
        <w:rPr>
          <w:sz w:val="20"/>
          <w:szCs w:val="20"/>
          <w:color w:val="auto"/>
        </w:rPr>
      </w:pPr>
      <w:r>
        <w:rPr>
          <w:rFonts w:ascii="Arial" w:cs="Arial" w:eastAsia="Arial" w:hAnsi="Arial"/>
          <w:sz w:val="17"/>
          <w:szCs w:val="17"/>
          <w:color w:val="auto"/>
        </w:rPr>
        <w:t>America from 1989 to 1991, and Emerging Asia from 1984 to 1988. Mr. Cruger currently serves on the board of MarketAxess Holdings Inc., a financial technology company (Nasdaq:MKTX) and M&amp;T Bank Corporation, a bank</w:t>
      </w:r>
    </w:p>
    <w:p>
      <w:pPr>
        <w:spacing w:after="0" w:line="1" w:lineRule="exact"/>
        <w:rPr>
          <w:sz w:val="20"/>
          <w:szCs w:val="20"/>
          <w:color w:val="auto"/>
        </w:rPr>
      </w:pPr>
    </w:p>
    <w:p>
      <w:pPr>
        <w:ind w:left="760" w:right="280"/>
        <w:spacing w:after="0"/>
        <w:rPr>
          <w:sz w:val="20"/>
          <w:szCs w:val="20"/>
          <w:color w:val="auto"/>
        </w:rPr>
      </w:pPr>
      <w:r>
        <w:rPr>
          <w:rFonts w:ascii="Arial" w:cs="Arial" w:eastAsia="Arial" w:hAnsi="Arial"/>
          <w:sz w:val="17"/>
          <w:szCs w:val="17"/>
          <w:color w:val="auto"/>
        </w:rPr>
        <w:t>holding company (NYSE:MTB) (“</w:t>
      </w:r>
      <w:r>
        <w:rPr>
          <w:rFonts w:ascii="Arial" w:cs="Arial" w:eastAsia="Arial" w:hAnsi="Arial"/>
          <w:sz w:val="17"/>
          <w:szCs w:val="17"/>
          <w:b w:val="1"/>
          <w:bCs w:val="1"/>
          <w:color w:val="auto"/>
        </w:rPr>
        <w:t>M&amp;T Bank</w:t>
      </w:r>
      <w:r>
        <w:rPr>
          <w:rFonts w:ascii="Arial" w:cs="Arial" w:eastAsia="Arial" w:hAnsi="Arial"/>
          <w:sz w:val="17"/>
          <w:szCs w:val="17"/>
          <w:color w:val="auto"/>
        </w:rPr>
        <w:t>”), and has previously served on the boards of Archipelago Holdings, Inc., an electronic stock market, CreditTrade, Inc., a fixed income broker and trading platform, Capital IQ, Inc., a</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financial data and analytics company and People’s United Financial, Inc. (Nasdaq:PBCT) (which was a bank holding company prior to its acquisition by M&amp;T Bank). He has an M.B.A. from Columbia University and a B.A. from Clark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University.</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90" w:lineRule="exact"/>
        <w:rPr>
          <w:sz w:val="20"/>
          <w:szCs w:val="20"/>
          <w:color w:val="auto"/>
        </w:rPr>
      </w:pPr>
    </w:p>
    <w:p>
      <w:pPr>
        <w:ind w:left="760" w:right="820"/>
        <w:spacing w:after="0" w:line="301" w:lineRule="auto"/>
        <w:rPr>
          <w:sz w:val="20"/>
          <w:szCs w:val="20"/>
          <w:color w:val="auto"/>
        </w:rPr>
      </w:pPr>
      <w:r>
        <w:rPr>
          <w:rFonts w:ascii="Arial" w:cs="Arial" w:eastAsia="Arial" w:hAnsi="Arial"/>
          <w:sz w:val="17"/>
          <w:szCs w:val="17"/>
          <w:color w:val="auto"/>
        </w:rPr>
        <w:t>Mr. Cruger’s diverse experience in investment banking at a global financial services firm and his extensive experience in financial markets and financial leadership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-33020</wp:posOffset>
            </wp:positionV>
            <wp:extent cx="58293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139" w:lineRule="exact"/>
        <w:rPr>
          <w:sz w:val="20"/>
          <w:szCs w:val="20"/>
          <w:color w:val="auto"/>
        </w:rPr>
      </w:pPr>
    </w:p>
    <w:p>
      <w:pPr>
        <w:sectPr>
          <w:pgSz w:w="11900" w:h="16838" w:orient="portrait"/>
          <w:cols w:equalWidth="0" w:num="2">
            <w:col w:w="9860" w:space="60"/>
            <w:col w:w="80"/>
          </w:cols>
          <w:pgMar w:left="580" w:top="97" w:right="1319" w:bottom="1440" w:gutter="0" w:footer="0" w:header="0"/>
          <w:type w:val="continuous"/>
        </w:sectPr>
      </w:pPr>
    </w:p>
    <w:tbl>
      <w:tblPr>
        <w:tblLayout w:type="fixed"/>
        <w:tblInd w:w="760" w:type="dxa"/>
        <w:tblCellMar>
          <w:top w:w="0" w:type="dxa"/>
          <w:left w:w="0" w:type="dxa"/>
          <w:bottom w:w="0" w:type="dxa"/>
          <w:right w:w="0" w:type="dxa"/>
        </w:tblCellMar>
      </w:tblPr>
      <w:tr>
        <w:trPr>
          <w:trHeight w:val="414"/>
        </w:trPr>
        <w:tc>
          <w:tcPr>
            <w:tcW w:w="2380" w:type="dxa"/>
            <w:vAlign w:val="bottom"/>
          </w:tcPr>
          <w:p>
            <w:pPr>
              <w:spacing w:after="0"/>
              <w:rPr>
                <w:sz w:val="20"/>
                <w:szCs w:val="20"/>
                <w:color w:val="auto"/>
              </w:rPr>
            </w:pPr>
            <w:r>
              <w:rPr>
                <w:rFonts w:ascii="Arial" w:cs="Arial" w:eastAsia="Arial" w:hAnsi="Arial"/>
                <w:sz w:val="36"/>
                <w:szCs w:val="36"/>
                <w:color w:val="00C08A"/>
              </w:rPr>
              <w:t>Christopher C.</w:t>
            </w:r>
          </w:p>
        </w:tc>
        <w:tc>
          <w:tcPr>
            <w:tcW w:w="2220" w:type="dxa"/>
            <w:vAlign w:val="bottom"/>
            <w:vMerge w:val="restart"/>
          </w:tcPr>
          <w:p>
            <w:pPr>
              <w:ind w:left="320"/>
              <w:spacing w:after="0"/>
              <w:rPr>
                <w:sz w:val="20"/>
                <w:szCs w:val="20"/>
                <w:color w:val="auto"/>
              </w:rPr>
            </w:pPr>
            <w:r>
              <w:rPr>
                <w:rFonts w:ascii="Arial" w:cs="Arial" w:eastAsia="Arial" w:hAnsi="Arial"/>
                <w:sz w:val="18"/>
                <w:szCs w:val="18"/>
                <w:color w:val="auto"/>
              </w:rPr>
              <w:t>Age: 67</w:t>
            </w:r>
          </w:p>
        </w:tc>
        <w:tc>
          <w:tcPr>
            <w:tcW w:w="2140" w:type="dxa"/>
            <w:vAlign w:val="bottom"/>
          </w:tcPr>
          <w:p>
            <w:pPr>
              <w:ind w:left="320"/>
              <w:spacing w:after="0"/>
              <w:rPr>
                <w:sz w:val="20"/>
                <w:szCs w:val="20"/>
                <w:color w:val="auto"/>
              </w:rPr>
            </w:pPr>
            <w:r>
              <w:rPr>
                <w:rFonts w:ascii="Arial" w:cs="Arial" w:eastAsia="Arial" w:hAnsi="Arial"/>
                <w:sz w:val="18"/>
                <w:szCs w:val="18"/>
                <w:b w:val="1"/>
                <w:bCs w:val="1"/>
                <w:color w:val="00C08A"/>
              </w:rPr>
              <w:t>Board Committees</w:t>
            </w:r>
          </w:p>
        </w:tc>
        <w:tc>
          <w:tcPr>
            <w:tcW w:w="2420" w:type="dxa"/>
            <w:vAlign w:val="bottom"/>
            <w:vMerge w:val="restart"/>
          </w:tcPr>
          <w:p>
            <w:pPr>
              <w:jc w:val="right"/>
              <w:ind w:right="151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line="37" w:lineRule="exact"/>
              <w:rPr>
                <w:sz w:val="20"/>
                <w:szCs w:val="20"/>
                <w:color w:val="auto"/>
              </w:rPr>
            </w:pPr>
            <w:r>
              <w:rPr>
                <w:rFonts w:ascii="Arial" w:cs="Arial" w:eastAsia="Arial" w:hAnsi="Arial"/>
                <w:sz w:val="4"/>
                <w:szCs w:val="4"/>
                <w:color w:val="00C08A"/>
              </w:rPr>
              <w:t>Quick</w:t>
            </w:r>
          </w:p>
        </w:tc>
        <w:tc>
          <w:tcPr>
            <w:tcW w:w="2220" w:type="dxa"/>
            <w:vAlign w:val="bottom"/>
            <w:vMerge w:val="continue"/>
          </w:tcPr>
          <w:p>
            <w:pPr>
              <w:spacing w:after="0"/>
              <w:rPr>
                <w:sz w:val="3"/>
                <w:szCs w:val="3"/>
                <w:color w:val="auto"/>
              </w:rPr>
            </w:pPr>
          </w:p>
        </w:tc>
        <w:tc>
          <w:tcPr>
            <w:tcW w:w="2140" w:type="dxa"/>
            <w:vAlign w:val="bottom"/>
          </w:tcPr>
          <w:p>
            <w:pPr>
              <w:ind w:left="320"/>
              <w:spacing w:after="0" w:line="37" w:lineRule="exact"/>
              <w:rPr>
                <w:sz w:val="20"/>
                <w:szCs w:val="20"/>
                <w:color w:val="auto"/>
              </w:rPr>
            </w:pPr>
            <w:r>
              <w:rPr>
                <w:rFonts w:ascii="Arial" w:cs="Arial" w:eastAsia="Arial" w:hAnsi="Arial"/>
                <w:sz w:val="4"/>
                <w:szCs w:val="4"/>
                <w:color w:val="002453"/>
              </w:rPr>
              <w:t xml:space="preserve">• </w:t>
            </w:r>
            <w:r>
              <w:rPr>
                <w:rFonts w:ascii="Arial" w:cs="Arial" w:eastAsia="Arial" w:hAnsi="Arial"/>
                <w:sz w:val="4"/>
                <w:szCs w:val="4"/>
                <w:color w:val="000000"/>
              </w:rPr>
              <w:t>N&amp;CG</w:t>
            </w:r>
          </w:p>
        </w:tc>
        <w:tc>
          <w:tcPr>
            <w:tcW w:w="24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6"/>
        </w:trPr>
        <w:tc>
          <w:tcPr>
            <w:tcW w:w="23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00C08A"/>
            </w:tcBorders>
          </w:tcPr>
          <w:p>
            <w:pPr>
              <w:ind w:left="10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Independent Director</w:t>
            </w:r>
          </w:p>
        </w:tc>
        <w:tc>
          <w:tcPr>
            <w:tcW w:w="2140" w:type="dxa"/>
            <w:vAlign w:val="bottom"/>
            <w:tcBorders>
              <w:bottom w:val="single" w:sz="8" w:color="00C08A"/>
            </w:tcBorders>
          </w:tcPr>
          <w:p>
            <w:pPr>
              <w:ind w:left="12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color w:val="002453"/>
              </w:rPr>
              <w:t xml:space="preserve"> • </w:t>
            </w:r>
            <w:r>
              <w:rPr>
                <w:rFonts w:ascii="Arial" w:cs="Arial" w:eastAsia="Arial" w:hAnsi="Arial"/>
                <w:sz w:val="18"/>
                <w:szCs w:val="18"/>
                <w:color w:val="000000"/>
              </w:rPr>
              <w:t>Compensation</w:t>
            </w:r>
          </w:p>
        </w:tc>
        <w:tc>
          <w:tcPr>
            <w:tcW w:w="2420" w:type="dxa"/>
            <w:vAlign w:val="bottom"/>
            <w:tcBorders>
              <w:bottom w:val="single" w:sz="8" w:color="00C08A"/>
            </w:tcBorders>
          </w:tcPr>
          <w:p>
            <w:pPr>
              <w:jc w:val="right"/>
              <w:ind w:right="69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Director Since</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3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Arial" w:cs="Arial" w:eastAsia="Arial" w:hAnsi="Arial"/>
                <w:sz w:val="18"/>
                <w:szCs w:val="18"/>
                <w:color w:val="00C08A"/>
              </w:rPr>
              <w:t>BACKGROUND</w:t>
            </w:r>
          </w:p>
        </w:tc>
        <w:tc>
          <w:tcPr>
            <w:tcW w:w="2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140"/>
        <w:spacing w:after="0" w:line="251" w:lineRule="auto"/>
        <w:rPr>
          <w:sz w:val="20"/>
          <w:szCs w:val="20"/>
          <w:color w:val="auto"/>
        </w:rPr>
      </w:pPr>
      <w:r>
        <w:rPr>
          <w:rFonts w:ascii="Arial" w:cs="Arial" w:eastAsia="Arial" w:hAnsi="Arial"/>
          <w:sz w:val="17"/>
          <w:szCs w:val="17"/>
          <w:color w:val="auto"/>
        </w:rPr>
        <w:t>Mr. Quick became a member of our board of directors in April 2016. Mr. Quick has more than 30 years of experience in the securities and financial services industries. He is the former CEO of Banc of America Specialist, Inc., a wholly</w:t>
      </w:r>
    </w:p>
    <w:p>
      <w:pPr>
        <w:spacing w:after="0" w:line="1" w:lineRule="exact"/>
        <w:rPr>
          <w:sz w:val="20"/>
          <w:szCs w:val="20"/>
          <w:color w:val="auto"/>
        </w:rPr>
      </w:pPr>
    </w:p>
    <w:p>
      <w:pPr>
        <w:ind w:left="760" w:right="260"/>
        <w:spacing w:after="0"/>
        <w:rPr>
          <w:sz w:val="20"/>
          <w:szCs w:val="20"/>
          <w:color w:val="auto"/>
        </w:rPr>
      </w:pPr>
      <w:r>
        <w:rPr>
          <w:rFonts w:ascii="Arial" w:cs="Arial" w:eastAsia="Arial" w:hAnsi="Arial"/>
          <w:sz w:val="17"/>
          <w:szCs w:val="17"/>
          <w:color w:val="auto"/>
        </w:rPr>
        <w:t>owned subsidiary of Bank of America Corporation and member firm of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He served in this capacity until 2006. He is also a past Vice Chairman of Global Wealth and Investment Management</w:t>
      </w:r>
    </w:p>
    <w:p>
      <w:pPr>
        <w:spacing w:after="0" w:line="1" w:lineRule="exact"/>
        <w:rPr>
          <w:sz w:val="20"/>
          <w:szCs w:val="20"/>
          <w:color w:val="auto"/>
        </w:rPr>
      </w:pPr>
    </w:p>
    <w:p>
      <w:pPr>
        <w:ind w:left="760" w:right="80"/>
        <w:spacing w:after="0"/>
        <w:rPr>
          <w:sz w:val="20"/>
          <w:szCs w:val="20"/>
          <w:color w:val="auto"/>
        </w:rPr>
      </w:pPr>
      <w:r>
        <w:rPr>
          <w:rFonts w:ascii="Arial" w:cs="Arial" w:eastAsia="Arial" w:hAnsi="Arial"/>
          <w:sz w:val="17"/>
          <w:szCs w:val="17"/>
          <w:color w:val="auto"/>
        </w:rPr>
        <w:t>with Bank of America. From 1982 to 2004, he served as Chairman and Chief Executive Officer of floor-based trading firms Q&amp;R Specialist, JJC Specialist and Fleet Specialists where he remained following the firm’s acquisition by Bank</w:t>
      </w:r>
    </w:p>
    <w:p>
      <w:pPr>
        <w:spacing w:after="0" w:line="1" w:lineRule="exact"/>
        <w:rPr>
          <w:sz w:val="20"/>
          <w:szCs w:val="20"/>
          <w:color w:val="auto"/>
        </w:rPr>
      </w:pPr>
    </w:p>
    <w:p>
      <w:pPr>
        <w:ind w:left="760" w:right="400"/>
        <w:spacing w:after="0"/>
        <w:rPr>
          <w:sz w:val="20"/>
          <w:szCs w:val="20"/>
          <w:color w:val="auto"/>
        </w:rPr>
      </w:pPr>
      <w:r>
        <w:rPr>
          <w:rFonts w:ascii="Arial" w:cs="Arial" w:eastAsia="Arial" w:hAnsi="Arial"/>
          <w:sz w:val="17"/>
          <w:szCs w:val="17"/>
          <w:color w:val="auto"/>
        </w:rPr>
        <w:t>of America Corporation. He is a member of the board of directors of Mutual of America, a provider of retirement services and investments and a Trustee of Fairfield University. He is also a former member of the NYSE Board of</w:t>
      </w:r>
    </w:p>
    <w:p>
      <w:pPr>
        <w:ind w:left="760"/>
        <w:spacing w:after="0" w:line="235" w:lineRule="auto"/>
        <w:rPr>
          <w:sz w:val="20"/>
          <w:szCs w:val="20"/>
          <w:color w:val="auto"/>
        </w:rPr>
      </w:pPr>
      <w:r>
        <w:rPr>
          <w:rFonts w:ascii="Arial" w:cs="Arial" w:eastAsia="Arial" w:hAnsi="Arial"/>
          <w:sz w:val="18"/>
          <w:szCs w:val="18"/>
          <w:color w:val="auto"/>
        </w:rPr>
        <w:t>Directors, the board of directors of KCG Holdings, Inc. (“</w:t>
      </w:r>
      <w:r>
        <w:rPr>
          <w:rFonts w:ascii="Arial" w:cs="Arial" w:eastAsia="Arial" w:hAnsi="Arial"/>
          <w:sz w:val="18"/>
          <w:szCs w:val="18"/>
          <w:b w:val="1"/>
          <w:bCs w:val="1"/>
          <w:color w:val="auto"/>
        </w:rPr>
        <w:t>KCG</w:t>
      </w:r>
      <w:r>
        <w:rPr>
          <w:rFonts w:ascii="Arial" w:cs="Arial" w:eastAsia="Arial" w:hAnsi="Arial"/>
          <w:sz w:val="18"/>
          <w:szCs w:val="18"/>
          <w:color w:val="auto"/>
        </w:rPr>
        <w:t>”), a market making and electronic trading firm which</w:t>
      </w:r>
    </w:p>
    <w:p>
      <w:pPr>
        <w:jc w:val="both"/>
        <w:ind w:left="760" w:right="600"/>
        <w:spacing w:after="0" w:line="263" w:lineRule="auto"/>
        <w:rPr>
          <w:sz w:val="20"/>
          <w:szCs w:val="20"/>
          <w:color w:val="auto"/>
        </w:rPr>
      </w:pPr>
      <w:r>
        <w:rPr>
          <w:rFonts w:ascii="Arial" w:cs="Arial" w:eastAsia="Arial" w:hAnsi="Arial"/>
          <w:sz w:val="17"/>
          <w:szCs w:val="17"/>
          <w:color w:val="auto"/>
        </w:rPr>
        <w:t>we acquired in 2017, the board of directors of The Alfred E. Smith Memorial Foundation Inc., and the Board of Trustees for the Boys Club of New York. Mr. Quick received a B.S. in Finance from Fairfield University in 1979.</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04" w:lineRule="exact"/>
        <w:rPr>
          <w:sz w:val="20"/>
          <w:szCs w:val="20"/>
          <w:color w:val="auto"/>
        </w:rPr>
      </w:pPr>
    </w:p>
    <w:p>
      <w:pPr>
        <w:ind w:left="760" w:right="140"/>
        <w:spacing w:after="0" w:line="251" w:lineRule="auto"/>
        <w:rPr>
          <w:sz w:val="20"/>
          <w:szCs w:val="20"/>
          <w:color w:val="auto"/>
        </w:rPr>
      </w:pPr>
      <w:r>
        <w:rPr>
          <w:rFonts w:ascii="Arial" w:cs="Arial" w:eastAsia="Arial" w:hAnsi="Arial"/>
          <w:sz w:val="17"/>
          <w:szCs w:val="17"/>
          <w:color w:val="auto"/>
        </w:rPr>
        <w:t>Mr. Quick’s qualifications to serve on our board of directors include his significant experience in the financial services and securities industries, including in the specialist business, and in senior leadership roles and his substantial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experience with post-merger and acquisition integration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6350</wp:posOffset>
            </wp:positionV>
            <wp:extent cx="58293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PROPOSAL 1: ELECTION OF DIRECTORS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36"/>
          <w:szCs w:val="36"/>
          <w:color w:val="00C08A"/>
        </w:rPr>
        <w:t>Vincent</w:t>
      </w:r>
    </w:p>
    <w:tbl>
      <w:tblPr>
        <w:tblLayout w:type="fixed"/>
        <w:tblInd w:w="760" w:type="dxa"/>
        <w:tblCellMar>
          <w:top w:w="0" w:type="dxa"/>
          <w:left w:w="0" w:type="dxa"/>
          <w:bottom w:w="0" w:type="dxa"/>
          <w:right w:w="0" w:type="dxa"/>
        </w:tblCellMar>
      </w:tblPr>
      <w:tr>
        <w:trPr>
          <w:trHeight w:val="163"/>
        </w:trPr>
        <w:tc>
          <w:tcPr>
            <w:tcW w:w="188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800" w:type="dxa"/>
            <w:vAlign w:val="bottom"/>
          </w:tcPr>
          <w:p>
            <w:pPr>
              <w:ind w:left="600"/>
              <w:spacing w:after="0" w:line="163" w:lineRule="exact"/>
              <w:rPr>
                <w:sz w:val="20"/>
                <w:szCs w:val="20"/>
                <w:color w:val="auto"/>
              </w:rPr>
            </w:pPr>
            <w:r>
              <w:rPr>
                <w:rFonts w:ascii="Arial" w:cs="Arial" w:eastAsia="Arial" w:hAnsi="Arial"/>
                <w:sz w:val="18"/>
                <w:szCs w:val="18"/>
                <w:color w:val="auto"/>
              </w:rPr>
              <w:t>​ ​</w:t>
            </w:r>
          </w:p>
        </w:tc>
        <w:tc>
          <w:tcPr>
            <w:tcW w:w="1380" w:type="dxa"/>
            <w:vAlign w:val="bottom"/>
          </w:tcPr>
          <w:p>
            <w:pPr>
              <w:ind w:left="20"/>
              <w:spacing w:after="0" w:line="163" w:lineRule="exact"/>
              <w:rPr>
                <w:sz w:val="20"/>
                <w:szCs w:val="20"/>
                <w:color w:val="auto"/>
              </w:rPr>
            </w:pPr>
            <w:r>
              <w:rPr>
                <w:rFonts w:ascii="Arial" w:cs="Arial" w:eastAsia="Arial" w:hAnsi="Arial"/>
                <w:sz w:val="18"/>
                <w:szCs w:val="18"/>
                <w:b w:val="1"/>
                <w:bCs w:val="1"/>
                <w:color w:val="00C08A"/>
              </w:rPr>
              <w:t>Director</w:t>
            </w:r>
          </w:p>
        </w:tc>
        <w:tc>
          <w:tcPr>
            <w:tcW w:w="840" w:type="dxa"/>
            <w:vAlign w:val="bottom"/>
          </w:tcPr>
          <w:p>
            <w:pPr>
              <w:ind w:left="660"/>
              <w:spacing w:after="0" w:line="163" w:lineRule="exact"/>
              <w:rPr>
                <w:sz w:val="20"/>
                <w:szCs w:val="20"/>
                <w:color w:val="auto"/>
              </w:rPr>
            </w:pPr>
            <w:r>
              <w:rPr>
                <w:rFonts w:ascii="Arial" w:cs="Arial" w:eastAsia="Arial" w:hAnsi="Arial"/>
                <w:sz w:val="18"/>
                <w:szCs w:val="18"/>
                <w:color w:val="auto"/>
              </w:rPr>
              <w:t>​ ​</w:t>
            </w:r>
          </w:p>
        </w:tc>
        <w:tc>
          <w:tcPr>
            <w:tcW w:w="1840" w:type="dxa"/>
            <w:vAlign w:val="bottom"/>
          </w:tcPr>
          <w:p>
            <w:pPr>
              <w:ind w:left="20"/>
              <w:spacing w:after="0" w:line="163" w:lineRule="exact"/>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ind w:left="200"/>
              <w:spacing w:after="0" w:line="163" w:lineRule="exact"/>
              <w:rPr>
                <w:sz w:val="20"/>
                <w:szCs w:val="20"/>
                <w:color w:val="auto"/>
              </w:rPr>
            </w:pPr>
            <w:r>
              <w:rPr>
                <w:rFonts w:ascii="Arial" w:cs="Arial" w:eastAsia="Arial" w:hAnsi="Arial"/>
                <w:sz w:val="18"/>
                <w:szCs w:val="18"/>
                <w:color w:val="auto"/>
              </w:rPr>
              <w:t>​ ​</w:t>
            </w:r>
          </w:p>
        </w:tc>
        <w:tc>
          <w:tcPr>
            <w:tcW w:w="1660" w:type="dxa"/>
            <w:vAlign w:val="bottom"/>
          </w:tcPr>
          <w:p>
            <w:pPr>
              <w:ind w:left="40"/>
              <w:spacing w:after="0" w:line="163" w:lineRule="exact"/>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Viola</w:t>
            </w:r>
          </w:p>
        </w:tc>
        <w:tc>
          <w:tcPr>
            <w:tcW w:w="800" w:type="dxa"/>
            <w:vAlign w:val="bottom"/>
            <w:tcBorders>
              <w:bottom w:val="single" w:sz="8" w:color="00C08A"/>
            </w:tcBorders>
          </w:tcPr>
          <w:p>
            <w:pPr>
              <w:spacing w:after="0"/>
              <w:rPr>
                <w:sz w:val="22"/>
                <w:szCs w:val="22"/>
                <w:color w:val="auto"/>
              </w:rPr>
            </w:pPr>
          </w:p>
        </w:tc>
        <w:tc>
          <w:tcPr>
            <w:tcW w:w="13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69</w:t>
            </w:r>
          </w:p>
        </w:tc>
        <w:tc>
          <w:tcPr>
            <w:tcW w:w="840" w:type="dxa"/>
            <w:vAlign w:val="bottom"/>
            <w:tcBorders>
              <w:bottom w:val="single" w:sz="8" w:color="00C08A"/>
            </w:tcBorders>
          </w:tcPr>
          <w:p>
            <w:pPr>
              <w:spacing w:after="0"/>
              <w:rPr>
                <w:sz w:val="22"/>
                <w:szCs w:val="22"/>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is our founder and has served as a member and Chairman Emeritus of our board of directors since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July 2017. From November 2013 until July 2017, Mr. Viola served as our Executive Chairman and Chairman of our</w:t>
      </w:r>
    </w:p>
    <w:p>
      <w:pPr>
        <w:ind w:left="760"/>
        <w:spacing w:after="0" w:line="234" w:lineRule="auto"/>
        <w:rPr>
          <w:sz w:val="20"/>
          <w:szCs w:val="20"/>
          <w:color w:val="auto"/>
        </w:rPr>
      </w:pPr>
      <w:r>
        <w:rPr>
          <w:rFonts w:ascii="Arial" w:cs="Arial" w:eastAsia="Arial" w:hAnsi="Arial"/>
          <w:sz w:val="18"/>
          <w:szCs w:val="18"/>
          <w:color w:val="auto"/>
        </w:rPr>
        <w:t>board of directors. He previously served as Chief Executive Officer and Chairman of the board of directors of Virtu</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its predecessors since April 2008. Mr. Viola is one of the nation’s foremost leaders in electronic trading. He was</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founder of Virtu Financial Operating LLC (“</w:t>
      </w:r>
      <w:r>
        <w:rPr>
          <w:rFonts w:ascii="Arial" w:cs="Arial" w:eastAsia="Arial" w:hAnsi="Arial"/>
          <w:sz w:val="18"/>
          <w:szCs w:val="18"/>
          <w:b w:val="1"/>
          <w:bCs w:val="1"/>
          <w:color w:val="auto"/>
        </w:rPr>
        <w:t>Virtu East</w:t>
      </w:r>
      <w:r>
        <w:rPr>
          <w:rFonts w:ascii="Arial" w:cs="Arial" w:eastAsia="Arial" w:hAnsi="Arial"/>
          <w:sz w:val="18"/>
          <w:szCs w:val="18"/>
          <w:color w:val="auto"/>
        </w:rPr>
        <w:t>”) in 2008, a founder of Madison Tyler Holdings, LLC</w:t>
      </w:r>
    </w:p>
    <w:p>
      <w:pPr>
        <w:ind w:left="76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Madison Tyler Holdings</w:t>
      </w:r>
      <w:r>
        <w:rPr>
          <w:rFonts w:ascii="Arial" w:cs="Arial" w:eastAsia="Arial" w:hAnsi="Arial"/>
          <w:sz w:val="18"/>
          <w:szCs w:val="18"/>
          <w:color w:val="auto"/>
        </w:rPr>
        <w:t>”) in 2002 and is the former Chairman of the New York Mercantile Exchange (“</w:t>
      </w:r>
      <w:r>
        <w:rPr>
          <w:rFonts w:ascii="Arial" w:cs="Arial" w:eastAsia="Arial" w:hAnsi="Arial"/>
          <w:sz w:val="18"/>
          <w:szCs w:val="18"/>
          <w:b w:val="1"/>
          <w:bCs w:val="1"/>
          <w:color w:val="auto"/>
        </w:rPr>
        <w:t>NYMEX</w:t>
      </w:r>
      <w:r>
        <w:rPr>
          <w:rFonts w:ascii="Arial" w:cs="Arial" w:eastAsia="Arial" w:hAnsi="Arial"/>
          <w:sz w:val="18"/>
          <w:szCs w:val="18"/>
          <w:color w:val="auto"/>
        </w:rPr>
        <w: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commodities exchange. Mr. Viola started his career in the financial services industry on the floor of the NYMEX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became Vice Chairman from 1993 to 1996 and Chairman from 2001 to 2004. Mr. Viola has launched a number of</w:t>
      </w:r>
    </w:p>
    <w:p>
      <w:pPr>
        <w:ind w:left="760"/>
        <w:spacing w:after="0"/>
        <w:rPr>
          <w:sz w:val="20"/>
          <w:szCs w:val="20"/>
          <w:color w:val="auto"/>
        </w:rPr>
      </w:pPr>
      <w:r>
        <w:rPr>
          <w:rFonts w:ascii="Arial" w:cs="Arial" w:eastAsia="Arial" w:hAnsi="Arial"/>
          <w:sz w:val="17"/>
          <w:szCs w:val="17"/>
          <w:color w:val="auto"/>
        </w:rPr>
        <w:t>successful businesses during his career, including Virtu and Independent Bank Group Inc., a regional banking group</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Texas that was listed on Nasdaq (IBTX) until its merger with SouthState Corporation. Shortly after September 11,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2001, Mr. Viola was instrumental in founding the Combating Terrorism Center at West Point. Mr. Viola is currently the</w:t>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principal owner and serves as the Chairman and Governor for the Florida Panthers Hockey Club and its parent</w:t>
      </w:r>
    </w:p>
    <w:p>
      <w:pPr>
        <w:ind w:left="760"/>
        <w:spacing w:after="0"/>
        <w:rPr>
          <w:sz w:val="20"/>
          <w:szCs w:val="20"/>
          <w:color w:val="auto"/>
        </w:rPr>
      </w:pPr>
      <w:r>
        <w:rPr>
          <w:rFonts w:ascii="Arial" w:cs="Arial" w:eastAsia="Arial" w:hAnsi="Arial"/>
          <w:sz w:val="17"/>
          <w:szCs w:val="17"/>
          <w:color w:val="auto"/>
        </w:rPr>
        <w:t>company, Sunrise Sports &amp; Entertainment LLC. Mr. Viola graduated from the U.S. Military Academy at West Point in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1977. He later graduated from the U.S. Army Airborne, Infantry and Ranger Schools and served in the 101st</w:t>
      </w:r>
    </w:p>
    <w:p>
      <w:pPr>
        <w:ind w:left="760"/>
        <w:spacing w:after="0"/>
        <w:rPr>
          <w:sz w:val="20"/>
          <w:szCs w:val="20"/>
          <w:color w:val="auto"/>
        </w:rPr>
      </w:pPr>
      <w:r>
        <w:rPr>
          <w:rFonts w:ascii="Arial" w:cs="Arial" w:eastAsia="Arial" w:hAnsi="Arial"/>
          <w:sz w:val="18"/>
          <w:szCs w:val="18"/>
          <w:color w:val="auto"/>
        </w:rPr>
        <w:t>Airborne Division. In 1983, he graduated from New York Law School.</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520"/>
        <w:spacing w:after="0" w:line="252" w:lineRule="auto"/>
        <w:rPr>
          <w:sz w:val="20"/>
          <w:szCs w:val="20"/>
          <w:color w:val="auto"/>
        </w:rPr>
      </w:pPr>
      <w:r>
        <w:rPr>
          <w:rFonts w:ascii="Arial" w:cs="Arial" w:eastAsia="Arial" w:hAnsi="Arial"/>
          <w:sz w:val="18"/>
          <w:szCs w:val="18"/>
          <w:color w:val="auto"/>
        </w:rPr>
        <w:t>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-16510</wp:posOffset>
            </wp:positionV>
            <wp:extent cx="58293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II Directors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three Class II directors will expire at the 2026 Annual Meeting.</w:t>
      </w:r>
    </w:p>
    <w:p>
      <w:pPr>
        <w:spacing w:after="0" w:line="378"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120" w:type="dxa"/>
            <w:vAlign w:val="bottom"/>
          </w:tcPr>
          <w:p>
            <w:pPr>
              <w:spacing w:after="0"/>
              <w:rPr>
                <w:sz w:val="20"/>
                <w:szCs w:val="20"/>
                <w:color w:val="auto"/>
              </w:rPr>
            </w:pPr>
            <w:r>
              <w:rPr>
                <w:rFonts w:ascii="Arial" w:cs="Arial" w:eastAsia="Arial" w:hAnsi="Arial"/>
                <w:sz w:val="36"/>
                <w:szCs w:val="36"/>
                <w:color w:val="00C08A"/>
              </w:rPr>
              <w:t>Douglas A.</w:t>
            </w:r>
          </w:p>
        </w:tc>
        <w:tc>
          <w:tcPr>
            <w:tcW w:w="2560" w:type="dxa"/>
            <w:vAlign w:val="bottom"/>
          </w:tcPr>
          <w:p>
            <w:pPr>
              <w:ind w:left="580"/>
              <w:spacing w:after="0"/>
              <w:rPr>
                <w:sz w:val="20"/>
                <w:szCs w:val="20"/>
                <w:color w:val="auto"/>
              </w:rPr>
            </w:pPr>
            <w:r>
              <w:rPr>
                <w:rFonts w:ascii="Arial" w:cs="Arial" w:eastAsia="Arial" w:hAnsi="Arial"/>
                <w:sz w:val="18"/>
                <w:szCs w:val="18"/>
                <w:b w:val="1"/>
                <w:bCs w:val="1"/>
                <w:color w:val="00C08A"/>
                <w:w w:val="99"/>
              </w:rPr>
              <w:t>Chief Executive Officer</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120" w:type="dxa"/>
            <w:vAlign w:val="bottom"/>
          </w:tcPr>
          <w:p>
            <w:pPr>
              <w:spacing w:after="0" w:line="181" w:lineRule="exact"/>
              <w:rPr>
                <w:sz w:val="20"/>
                <w:szCs w:val="20"/>
                <w:color w:val="auto"/>
              </w:rPr>
            </w:pPr>
            <w:r>
              <w:rPr>
                <w:rFonts w:ascii="Arial" w:cs="Arial" w:eastAsia="Arial" w:hAnsi="Arial"/>
                <w:sz w:val="18"/>
                <w:szCs w:val="18"/>
                <w:b w:val="1"/>
                <w:bCs w:val="1"/>
                <w:color w:val="00C08A"/>
              </w:rPr>
              <w:t>​</w:t>
            </w:r>
          </w:p>
        </w:tc>
        <w:tc>
          <w:tcPr>
            <w:tcW w:w="2560" w:type="dxa"/>
            <w:vAlign w:val="bottom"/>
          </w:tcPr>
          <w:p>
            <w:pPr>
              <w:ind w:left="360"/>
              <w:spacing w:after="0" w:line="181" w:lineRule="exact"/>
              <w:rPr>
                <w:sz w:val="20"/>
                <w:szCs w:val="20"/>
                <w:color w:val="auto"/>
              </w:rPr>
            </w:pPr>
            <w:r>
              <w:rPr>
                <w:rFonts w:ascii="Arial" w:cs="Arial" w:eastAsia="Arial" w:hAnsi="Arial"/>
                <w:sz w:val="20"/>
                <w:szCs w:val="20"/>
                <w:b w:val="1"/>
                <w:bCs w:val="1"/>
                <w:color w:val="00C08A"/>
                <w:vertAlign w:val="subscript"/>
              </w:rPr>
              <w:t>​ ​</w:t>
            </w:r>
            <w:r>
              <w:rPr>
                <w:rFonts w:ascii="Arial" w:cs="Arial" w:eastAsia="Arial" w:hAnsi="Arial"/>
                <w:sz w:val="12"/>
                <w:szCs w:val="12"/>
                <w:b w:val="1"/>
                <w:bCs w:val="1"/>
                <w:color w:val="00C08A"/>
              </w:rPr>
              <w:t xml:space="preserve"> and Director</w:t>
            </w:r>
          </w:p>
        </w:tc>
        <w:tc>
          <w:tcPr>
            <w:tcW w:w="220" w:type="dxa"/>
            <w:vAlign w:val="bottom"/>
          </w:tcPr>
          <w:p>
            <w:pPr>
              <w:ind w:left="40"/>
              <w:spacing w:after="0" w:line="181" w:lineRule="exact"/>
              <w:rPr>
                <w:sz w:val="20"/>
                <w:szCs w:val="20"/>
                <w:color w:val="auto"/>
              </w:rPr>
            </w:pPr>
            <w:r>
              <w:rPr>
                <w:rFonts w:ascii="Arial" w:cs="Arial" w:eastAsia="Arial" w:hAnsi="Arial"/>
                <w:sz w:val="18"/>
                <w:szCs w:val="18"/>
                <w:b w:val="1"/>
                <w:bCs w:val="1"/>
                <w:color w:val="00C08A"/>
              </w:rPr>
              <w:t>​ ​</w:t>
            </w:r>
          </w:p>
        </w:tc>
        <w:tc>
          <w:tcPr>
            <w:tcW w:w="1840" w:type="dxa"/>
            <w:vAlign w:val="bottom"/>
          </w:tcPr>
          <w:p>
            <w:pPr>
              <w:ind w:left="20"/>
              <w:spacing w:after="0" w:line="181" w:lineRule="exact"/>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ind w:left="200"/>
              <w:spacing w:after="0" w:line="181" w:lineRule="exact"/>
              <w:rPr>
                <w:sz w:val="20"/>
                <w:szCs w:val="20"/>
                <w:color w:val="auto"/>
              </w:rPr>
            </w:pPr>
            <w:r>
              <w:rPr>
                <w:rFonts w:ascii="Arial" w:cs="Arial" w:eastAsia="Arial" w:hAnsi="Arial"/>
                <w:sz w:val="18"/>
                <w:szCs w:val="18"/>
                <w:b w:val="1"/>
                <w:bCs w:val="1"/>
                <w:color w:val="00C08A"/>
              </w:rPr>
              <w:t>​ ​</w:t>
            </w:r>
          </w:p>
        </w:tc>
        <w:tc>
          <w:tcPr>
            <w:tcW w:w="1660" w:type="dxa"/>
            <w:vAlign w:val="bottom"/>
          </w:tcPr>
          <w:p>
            <w:pPr>
              <w:ind w:left="40"/>
              <w:spacing w:after="0" w:line="181" w:lineRule="exact"/>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56"/>
        </w:trPr>
        <w:tc>
          <w:tcPr>
            <w:tcW w:w="212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Cifu</w:t>
            </w:r>
          </w:p>
        </w:tc>
        <w:tc>
          <w:tcPr>
            <w:tcW w:w="2560" w:type="dxa"/>
            <w:vAlign w:val="bottom"/>
            <w:tcBorders>
              <w:bottom w:val="single" w:sz="8" w:color="00C08A"/>
            </w:tcBorders>
          </w:tcPr>
          <w:p>
            <w:pPr>
              <w:ind w:left="580"/>
              <w:spacing w:after="0"/>
              <w:rPr>
                <w:sz w:val="20"/>
                <w:szCs w:val="20"/>
                <w:color w:val="auto"/>
              </w:rPr>
            </w:pPr>
            <w:r>
              <w:rPr>
                <w:rFonts w:ascii="Arial" w:cs="Arial" w:eastAsia="Arial" w:hAnsi="Arial"/>
                <w:sz w:val="18"/>
                <w:szCs w:val="18"/>
                <w:color w:val="auto"/>
              </w:rPr>
              <w:t>Age: 59</w:t>
            </w:r>
          </w:p>
        </w:tc>
        <w:tc>
          <w:tcPr>
            <w:tcW w:w="220" w:type="dxa"/>
            <w:vAlign w:val="bottom"/>
            <w:tcBorders>
              <w:bottom w:val="single" w:sz="8" w:color="00C08A"/>
            </w:tcBorders>
          </w:tcPr>
          <w:p>
            <w:pPr>
              <w:spacing w:after="0"/>
              <w:rPr>
                <w:sz w:val="22"/>
                <w:szCs w:val="22"/>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1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120" w:type="dxa"/>
            <w:vAlign w:val="bottom"/>
          </w:tcPr>
          <w:p>
            <w:pPr>
              <w:spacing w:after="0"/>
              <w:rPr>
                <w:sz w:val="20"/>
                <w:szCs w:val="20"/>
                <w:color w:val="auto"/>
              </w:rPr>
            </w:pPr>
            <w:r>
              <w:rPr>
                <w:rFonts w:ascii="Arial" w:cs="Arial" w:eastAsia="Arial" w:hAnsi="Arial"/>
                <w:sz w:val="18"/>
                <w:szCs w:val="18"/>
                <w:color w:val="00C08A"/>
              </w:rPr>
              <w:t>BACKGROUND</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Mr. Cifu has been our Chief Executive Officer and a member of our board of directors since November 2013. He previously served as Virtu’s President and Chief Operating Officer and has served on its board of directors or the boards of its predecessors since co-founding the firm in April 2008. Prior to co-founding Virtu, Mr. Cifu was a partner at the international law firm of Paul, Weiss, Rifkind, Wharton &amp; Garrison LLP, where he practiced corporate law from 1990 to 2008 and served as a member of the Management Committee and Deputy Chairman of the firm’s corporate department. Mr. Cifu also previously served on the board of directors of Independent Bank Group, Inc. (Nasdaq: IBTX), a regional bank holding company and the U.S. Chamber of Commerce. Mr. Cifu also serves as Vice Chairman, Partner and Alternate Governor for the Florida Panthers Hockey Club and its parent company, Sunrise Sports &amp; Entertainment LLC. Mr. Cifu completed his J.D. at Columbia Law School in 1990 and received his B.A. from Columbia University in 1987, from which he graduated magna cum laude.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04" w:lineRule="exact"/>
        <w:rPr>
          <w:sz w:val="20"/>
          <w:szCs w:val="20"/>
          <w:color w:val="auto"/>
        </w:rPr>
      </w:pPr>
    </w:p>
    <w:p>
      <w:pPr>
        <w:ind w:left="760" w:right="540"/>
        <w:spacing w:after="0" w:line="252" w:lineRule="auto"/>
        <w:rPr>
          <w:sz w:val="20"/>
          <w:szCs w:val="20"/>
          <w:color w:val="auto"/>
        </w:rPr>
      </w:pPr>
      <w:r>
        <w:rPr>
          <w:rFonts w:ascii="Arial" w:cs="Arial" w:eastAsia="Arial" w:hAnsi="Arial"/>
          <w:sz w:val="18"/>
          <w:szCs w:val="18"/>
          <w:color w:val="auto"/>
        </w:rPr>
        <w:t>Mr. Cifu’s extensive experience in global financial markets and market structure, his leadership acumen and his background as a corporate attorney add significant value to our Company and our board of directors. As a co-founder, Mr. Cifu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171450</wp:posOffset>
            </wp:positionV>
            <wp:extent cx="754380" cy="2311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380"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27"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20" w:type="dxa"/>
            <w:vAlign w:val="bottom"/>
          </w:tcPr>
          <w:p>
            <w:pPr>
              <w:spacing w:after="0"/>
              <w:rPr>
                <w:sz w:val="20"/>
                <w:szCs w:val="20"/>
                <w:color w:val="auto"/>
              </w:rPr>
            </w:pPr>
            <w:r>
              <w:rPr>
                <w:rFonts w:ascii="Arial" w:cs="Arial" w:eastAsia="Arial" w:hAnsi="Arial"/>
                <w:sz w:val="36"/>
                <w:szCs w:val="36"/>
                <w:color w:val="00C08A"/>
              </w:rPr>
              <w:t>Joseph J.</w:t>
            </w:r>
          </w:p>
        </w:tc>
        <w:tc>
          <w:tcPr>
            <w:tcW w:w="660" w:type="dxa"/>
            <w:vAlign w:val="bottom"/>
            <w:vMerge w:val="restart"/>
          </w:tcPr>
          <w:p>
            <w:pPr>
              <w:ind w:left="46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6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840" w:type="dxa"/>
            <w:vAlign w:val="bottom"/>
          </w:tcPr>
          <w:p>
            <w:pPr>
              <w:ind w:left="20"/>
              <w:spacing w:after="0" w:line="149" w:lineRule="exact"/>
              <w:rPr>
                <w:sz w:val="20"/>
                <w:szCs w:val="20"/>
                <w:color w:val="auto"/>
              </w:rPr>
            </w:pPr>
            <w:r>
              <w:rPr>
                <w:rFonts w:ascii="Arial" w:cs="Arial" w:eastAsia="Arial" w:hAnsi="Arial"/>
                <w:sz w:val="17"/>
                <w:szCs w:val="17"/>
                <w:color w:val="002453"/>
              </w:rPr>
              <w:t xml:space="preserve">• </w:t>
            </w:r>
            <w:r>
              <w:rPr>
                <w:rFonts w:ascii="Arial" w:cs="Arial" w:eastAsia="Arial" w:hAnsi="Arial"/>
                <w:sz w:val="17"/>
                <w:szCs w:val="17"/>
                <w:color w:val="000000"/>
              </w:rPr>
              <w:t>Audit</w:t>
            </w:r>
          </w:p>
        </w:tc>
        <w:tc>
          <w:tcPr>
            <w:tcW w:w="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2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Grano, Jr.</w:t>
            </w:r>
          </w:p>
        </w:tc>
        <w:tc>
          <w:tcPr>
            <w:tcW w:w="66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77</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Compensation</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00C08A"/>
              </w:rPr>
              <w:t>BACKGROUND</w:t>
            </w:r>
          </w:p>
        </w:tc>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60" w:right="280"/>
        <w:spacing w:after="0" w:line="268" w:lineRule="auto"/>
        <w:rPr>
          <w:sz w:val="20"/>
          <w:szCs w:val="20"/>
          <w:color w:val="auto"/>
        </w:rPr>
      </w:pPr>
      <w:r>
        <w:rPr>
          <w:rFonts w:ascii="Arial" w:cs="Arial" w:eastAsia="Arial" w:hAnsi="Arial"/>
          <w:sz w:val="17"/>
          <w:szCs w:val="17"/>
          <w:color w:val="auto"/>
        </w:rPr>
        <w:t>Mr. Grano, Jr. became a member of our board of directors in October 2017. Mr. Grano has more than 30 years of experience in the securities and financial services industries. Since 2005, Mr. Grano has served as the Principal Partner of the JJG Family Office, which primarily engages in advisory services.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a brokerage firm, including Director of National Sales.</w:t>
      </w:r>
    </w:p>
    <w:p>
      <w:pPr>
        <w:spacing w:after="0" w:line="3" w:lineRule="exact"/>
        <w:rPr>
          <w:sz w:val="20"/>
          <w:szCs w:val="20"/>
          <w:color w:val="auto"/>
        </w:rPr>
      </w:pPr>
    </w:p>
    <w:p>
      <w:pPr>
        <w:ind w:left="760" w:right="100"/>
        <w:spacing w:after="0" w:line="258" w:lineRule="auto"/>
        <w:rPr>
          <w:sz w:val="20"/>
          <w:szCs w:val="20"/>
          <w:color w:val="auto"/>
        </w:rPr>
      </w:pPr>
      <w:r>
        <w:rPr>
          <w:rFonts w:ascii="Arial" w:cs="Arial" w:eastAsia="Arial" w:hAnsi="Arial"/>
          <w:sz w:val="18"/>
          <w:szCs w:val="18"/>
          <w:color w:val="auto"/>
        </w:rPr>
        <w:t>Mr. Grano previously served as Chairman of the Board of Governors of the National Association of Securities Dealers (NASD) (predecessor to the Financial Industry Regulatory Authority (FINRA)) and was formerly a member of the NASD’s Executive Committee.</w:t>
      </w:r>
    </w:p>
    <w:p>
      <w:pPr>
        <w:spacing w:after="0" w:line="43"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In addition to his industry experience, Mr. Grano serves as a member of the City University of New York’s Business Leadership Council and President of the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w:t>
      </w:r>
    </w:p>
    <w:tbl>
      <w:tblPr>
        <w:tblLayout w:type="fixed"/>
        <w:tblInd w:w="760" w:type="dxa"/>
        <w:tblCellMar>
          <w:top w:w="0" w:type="dxa"/>
          <w:left w:w="0" w:type="dxa"/>
          <w:bottom w:w="0" w:type="dxa"/>
          <w:right w:w="0" w:type="dxa"/>
        </w:tblCellMar>
      </w:tblPr>
      <w:tr>
        <w:trPr>
          <w:trHeight w:val="187"/>
        </w:trPr>
        <w:tc>
          <w:tcPr>
            <w:tcW w:w="2080" w:type="dxa"/>
            <w:vAlign w:val="bottom"/>
          </w:tcPr>
          <w:p>
            <w:pPr>
              <w:spacing w:after="0" w:line="188" w:lineRule="exact"/>
              <w:rPr>
                <w:sz w:val="20"/>
                <w:szCs w:val="20"/>
                <w:color w:val="auto"/>
              </w:rPr>
            </w:pPr>
            <w:r>
              <w:rPr>
                <w:rFonts w:ascii="Arial" w:cs="Arial" w:eastAsia="Arial" w:hAnsi="Arial"/>
                <w:sz w:val="18"/>
                <w:szCs w:val="18"/>
                <w:color w:val="auto"/>
              </w:rPr>
              <w:t>​</w:t>
            </w:r>
          </w:p>
        </w:tc>
        <w:tc>
          <w:tcPr>
            <w:tcW w:w="2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9040" w:type="dxa"/>
            <w:vAlign w:val="bottom"/>
            <w:gridSpan w:val="5"/>
          </w:tcPr>
          <w:p>
            <w:pPr>
              <w:spacing w:after="0" w:line="63" w:lineRule="exact"/>
              <w:rPr>
                <w:sz w:val="20"/>
                <w:szCs w:val="20"/>
                <w:color w:val="auto"/>
              </w:rPr>
            </w:pPr>
            <w:r>
              <w:rPr>
                <w:rFonts w:ascii="Arial" w:cs="Arial" w:eastAsia="Arial" w:hAnsi="Arial"/>
                <w:sz w:val="7"/>
                <w:szCs w:val="7"/>
                <w:color w:val="auto"/>
              </w:rPr>
              <w:t>Mr. Grano holds honorary Doctor of Laws degrees from Pepperdine University and Babson College as well as an</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40" w:type="dxa"/>
            <w:vAlign w:val="bottom"/>
            <w:gridSpan w:val="5"/>
          </w:tcPr>
          <w:p>
            <w:pPr>
              <w:spacing w:after="0"/>
              <w:rPr>
                <w:sz w:val="20"/>
                <w:szCs w:val="20"/>
                <w:color w:val="auto"/>
              </w:rPr>
            </w:pPr>
            <w:r>
              <w:rPr>
                <w:rFonts w:ascii="Arial" w:cs="Arial" w:eastAsia="Arial" w:hAnsi="Arial"/>
                <w:sz w:val="18"/>
                <w:szCs w:val="18"/>
                <w:color w:val="auto"/>
                <w:w w:val="99"/>
              </w:rPr>
              <w:t>honorary Doctor of Humane Letters degree from Queens College. In addition to being one of the financial services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040" w:type="dxa"/>
            <w:vAlign w:val="bottom"/>
            <w:gridSpan w:val="5"/>
          </w:tcPr>
          <w:p>
            <w:pPr>
              <w:spacing w:after="0"/>
              <w:rPr>
                <w:sz w:val="20"/>
                <w:szCs w:val="20"/>
                <w:color w:val="auto"/>
              </w:rPr>
            </w:pPr>
            <w:r>
              <w:rPr>
                <w:rFonts w:ascii="Arial" w:cs="Arial" w:eastAsia="Arial" w:hAnsi="Arial"/>
                <w:sz w:val="18"/>
                <w:szCs w:val="18"/>
                <w:color w:val="auto"/>
              </w:rPr>
              <w:t>industry’s leading executives, Mr. Grano is involved in a wide range of educational and philanthropic endeavors.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040" w:type="dxa"/>
            <w:vAlign w:val="bottom"/>
            <w:gridSpan w:val="5"/>
          </w:tcPr>
          <w:p>
            <w:pPr>
              <w:spacing w:after="0"/>
              <w:rPr>
                <w:sz w:val="20"/>
                <w:szCs w:val="20"/>
                <w:color w:val="auto"/>
              </w:rPr>
            </w:pPr>
            <w:r>
              <w:rPr>
                <w:rFonts w:ascii="Arial" w:cs="Arial" w:eastAsia="Arial" w:hAnsi="Arial"/>
                <w:sz w:val="18"/>
                <w:szCs w:val="18"/>
                <w:color w:val="auto"/>
                <w:w w:val="99"/>
              </w:rPr>
              <w:t>Mr. Grano also served in the U.S. Special Forces (Green Berets). He also won a Tony Award as a producer of the</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040" w:type="dxa"/>
            <w:vAlign w:val="bottom"/>
            <w:gridSpan w:val="5"/>
          </w:tcPr>
          <w:p>
            <w:pPr>
              <w:spacing w:after="0"/>
              <w:rPr>
                <w:sz w:val="20"/>
                <w:szCs w:val="20"/>
                <w:color w:val="auto"/>
              </w:rPr>
            </w:pPr>
            <w:r>
              <w:rPr>
                <w:rFonts w:ascii="Arial" w:cs="Arial" w:eastAsia="Arial" w:hAnsi="Arial"/>
                <w:sz w:val="18"/>
                <w:szCs w:val="18"/>
                <w:color w:val="auto"/>
              </w:rPr>
              <w:t xml:space="preserve">record-setting musical Jersey Boys. Mr. Grano is the author of the book </w:t>
            </w:r>
            <w:r>
              <w:rPr>
                <w:rFonts w:ascii="Arial" w:cs="Arial" w:eastAsia="Arial" w:hAnsi="Arial"/>
                <w:sz w:val="18"/>
                <w:szCs w:val="18"/>
                <w:i w:val="1"/>
                <w:iCs w:val="1"/>
                <w:color w:val="auto"/>
              </w:rPr>
              <w:t>You Can’t Predict A Hero</w:t>
            </w:r>
            <w:r>
              <w:rPr>
                <w:rFonts w:ascii="Arial" w:cs="Arial" w:eastAsia="Arial" w:hAnsi="Arial"/>
                <w:sz w:val="18"/>
                <w:szCs w:val="18"/>
                <w:color w:val="auto"/>
              </w:rPr>
              <w:t xml:space="preserve"> which was 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spacing w:after="0"/>
              <w:rPr>
                <w:sz w:val="20"/>
                <w:szCs w:val="20"/>
                <w:color w:val="auto"/>
              </w:rPr>
            </w:pPr>
            <w:r>
              <w:rPr>
                <w:rFonts w:ascii="Arial" w:cs="Arial" w:eastAsia="Arial" w:hAnsi="Arial"/>
                <w:sz w:val="18"/>
                <w:szCs w:val="18"/>
                <w:color w:val="auto"/>
              </w:rPr>
              <w:t>Businessweek’s best seller list in 2009.</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0"/>
                <w:szCs w:val="20"/>
                <w:color w:val="auto"/>
              </w:rPr>
            </w:pPr>
            <w:r>
              <w:rPr>
                <w:rFonts w:ascii="Arial" w:cs="Arial" w:eastAsia="Arial" w:hAnsi="Arial"/>
                <w:sz w:val="18"/>
                <w:szCs w:val="18"/>
                <w:color w:val="00C08A"/>
              </w:rPr>
              <w:t>QUALIFICATIONS</w:t>
            </w:r>
          </w:p>
        </w:tc>
        <w:tc>
          <w:tcPr>
            <w:tcW w:w="2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40" w:type="dxa"/>
            <w:vAlign w:val="bottom"/>
            <w:gridSpan w:val="5"/>
          </w:tcPr>
          <w:p>
            <w:pPr>
              <w:spacing w:after="0"/>
              <w:rPr>
                <w:sz w:val="20"/>
                <w:szCs w:val="20"/>
                <w:color w:val="auto"/>
              </w:rPr>
            </w:pPr>
            <w:r>
              <w:rPr>
                <w:rFonts w:ascii="Arial" w:cs="Arial" w:eastAsia="Arial" w:hAnsi="Arial"/>
                <w:sz w:val="18"/>
                <w:szCs w:val="18"/>
                <w:color w:val="auto"/>
              </w:rPr>
              <w:t>Mr. Grano’s previous senior leadership roles in the financial securities industry and public company experience</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040" w:type="dxa"/>
            <w:vAlign w:val="bottom"/>
            <w:gridSpan w:val="5"/>
          </w:tcPr>
          <w:p>
            <w:pPr>
              <w:spacing w:after="0"/>
              <w:rPr>
                <w:sz w:val="20"/>
                <w:szCs w:val="20"/>
                <w:color w:val="auto"/>
              </w:rPr>
            </w:pPr>
            <w:r>
              <w:rPr>
                <w:rFonts w:ascii="Arial" w:cs="Arial" w:eastAsia="Arial" w:hAnsi="Arial"/>
                <w:sz w:val="18"/>
                <w:szCs w:val="18"/>
                <w:color w:val="auto"/>
              </w:rPr>
              <w:t>provide a valuable insight regarding strategic decisions and add value to our board of directors.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80" w:type="dxa"/>
            <w:vAlign w:val="bottom"/>
            <w:tcBorders>
              <w:bottom w:val="single" w:sz="8" w:color="00C08A"/>
            </w:tcBorders>
          </w:tcPr>
          <w:p>
            <w:pPr>
              <w:spacing w:after="0"/>
              <w:rPr>
                <w:sz w:val="5"/>
                <w:szCs w:val="5"/>
                <w:color w:val="auto"/>
              </w:rPr>
            </w:pPr>
          </w:p>
        </w:tc>
        <w:tc>
          <w:tcPr>
            <w:tcW w:w="2520" w:type="dxa"/>
            <w:vAlign w:val="bottom"/>
            <w:tcBorders>
              <w:bottom w:val="single" w:sz="8" w:color="00C08A"/>
            </w:tcBorders>
          </w:tcPr>
          <w:p>
            <w:pPr>
              <w:spacing w:after="0"/>
              <w:rPr>
                <w:sz w:val="5"/>
                <w:szCs w:val="5"/>
                <w:color w:val="auto"/>
              </w:rPr>
            </w:pPr>
          </w:p>
        </w:tc>
        <w:tc>
          <w:tcPr>
            <w:tcW w:w="2140" w:type="dxa"/>
            <w:vAlign w:val="bottom"/>
            <w:tcBorders>
              <w:bottom w:val="single" w:sz="8" w:color="00C08A"/>
            </w:tcBorders>
            <w:gridSpan w:val="2"/>
          </w:tcPr>
          <w:p>
            <w:pPr>
              <w:spacing w:after="0"/>
              <w:rPr>
                <w:sz w:val="5"/>
                <w:szCs w:val="5"/>
                <w:color w:val="auto"/>
              </w:rPr>
            </w:pPr>
          </w:p>
        </w:tc>
        <w:tc>
          <w:tcPr>
            <w:tcW w:w="2300" w:type="dxa"/>
            <w:vAlign w:val="bottom"/>
            <w:tcBorders>
              <w:bottom w:val="single" w:sz="8" w:color="00C08A"/>
            </w:tcBorders>
          </w:tcPr>
          <w:p>
            <w:pPr>
              <w:spacing w:after="0"/>
              <w:rPr>
                <w:sz w:val="5"/>
                <w:szCs w:val="5"/>
                <w:color w:val="auto"/>
              </w:rPr>
            </w:pPr>
          </w:p>
        </w:tc>
        <w:tc>
          <w:tcPr>
            <w:tcW w:w="140" w:type="dxa"/>
            <w:vAlign w:val="bottom"/>
            <w:tcBorders>
              <w:bottom w:val="single" w:sz="8" w:color="00C08A"/>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4"/>
        </w:trPr>
        <w:tc>
          <w:tcPr>
            <w:tcW w:w="2080" w:type="dxa"/>
            <w:vAlign w:val="bottom"/>
          </w:tcPr>
          <w:p>
            <w:pPr>
              <w:spacing w:after="0"/>
              <w:rPr>
                <w:sz w:val="20"/>
                <w:szCs w:val="20"/>
                <w:color w:val="auto"/>
              </w:rPr>
            </w:pPr>
            <w:r>
              <w:rPr>
                <w:rFonts w:ascii="Arial" w:cs="Arial" w:eastAsia="Arial" w:hAnsi="Arial"/>
                <w:sz w:val="36"/>
                <w:szCs w:val="36"/>
                <w:color w:val="00C08A"/>
              </w:rPr>
              <w:t>Joanne M.</w:t>
            </w:r>
          </w:p>
        </w:tc>
        <w:tc>
          <w:tcPr>
            <w:tcW w:w="2520" w:type="dxa"/>
            <w:vAlign w:val="bottom"/>
            <w:vMerge w:val="restart"/>
          </w:tcPr>
          <w:p>
            <w:pPr>
              <w:ind w:left="40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Independent Director</w:t>
            </w:r>
          </w:p>
        </w:tc>
        <w:tc>
          <w:tcPr>
            <w:tcW w:w="2140" w:type="dxa"/>
            <w:vAlign w:val="bottom"/>
            <w:gridSpan w:val="2"/>
          </w:tcPr>
          <w:p>
            <w:pPr>
              <w:ind w:left="320"/>
              <w:spacing w:after="0"/>
              <w:rPr>
                <w:sz w:val="20"/>
                <w:szCs w:val="20"/>
                <w:color w:val="auto"/>
              </w:rPr>
            </w:pPr>
            <w:r>
              <w:rPr>
                <w:rFonts w:ascii="Arial" w:cs="Arial" w:eastAsia="Arial" w:hAnsi="Arial"/>
                <w:sz w:val="18"/>
                <w:szCs w:val="18"/>
                <w:b w:val="1"/>
                <w:bCs w:val="1"/>
                <w:color w:val="00C08A"/>
              </w:rPr>
              <w:t>Board Committees</w:t>
            </w:r>
          </w:p>
        </w:tc>
        <w:tc>
          <w:tcPr>
            <w:tcW w:w="2300" w:type="dxa"/>
            <w:vAlign w:val="bottom"/>
            <w:vMerge w:val="restart"/>
          </w:tcPr>
          <w:p>
            <w:pPr>
              <w:jc w:val="right"/>
              <w:ind w:right="57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Director Since</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2520" w:type="dxa"/>
            <w:vAlign w:val="bottom"/>
            <w:vMerge w:val="continue"/>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0"/>
                <w:szCs w:val="20"/>
                <w:color w:val="002453"/>
                <w:vertAlign w:val="superscript"/>
              </w:rPr>
              <w:t>•</w:t>
            </w:r>
          </w:p>
        </w:tc>
        <w:tc>
          <w:tcPr>
            <w:tcW w:w="1680" w:type="dxa"/>
            <w:vAlign w:val="bottom"/>
          </w:tcPr>
          <w:p>
            <w:pPr>
              <w:ind w:left="40"/>
              <w:spacing w:after="0" w:line="176" w:lineRule="exact"/>
              <w:rPr>
                <w:sz w:val="20"/>
                <w:szCs w:val="20"/>
                <w:color w:val="auto"/>
              </w:rPr>
            </w:pPr>
            <w:r>
              <w:rPr>
                <w:rFonts w:ascii="Arial" w:cs="Arial" w:eastAsia="Arial" w:hAnsi="Arial"/>
                <w:sz w:val="18"/>
                <w:szCs w:val="18"/>
                <w:color w:val="auto"/>
              </w:rPr>
              <w:t>Audit</w:t>
            </w:r>
          </w:p>
        </w:tc>
        <w:tc>
          <w:tcPr>
            <w:tcW w:w="23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Minieri</w:t>
            </w:r>
          </w:p>
        </w:tc>
        <w:tc>
          <w:tcPr>
            <w:tcW w:w="2520" w:type="dxa"/>
            <w:vAlign w:val="bottom"/>
            <w:tcBorders>
              <w:bottom w:val="single" w:sz="8" w:color="00C08A"/>
            </w:tcBorders>
          </w:tcPr>
          <w:p>
            <w:pPr>
              <w:ind w:left="620"/>
              <w:spacing w:after="0"/>
              <w:rPr>
                <w:sz w:val="20"/>
                <w:szCs w:val="20"/>
                <w:color w:val="auto"/>
              </w:rPr>
            </w:pPr>
            <w:r>
              <w:rPr>
                <w:rFonts w:ascii="Arial" w:cs="Arial" w:eastAsia="Arial" w:hAnsi="Arial"/>
                <w:sz w:val="18"/>
                <w:szCs w:val="18"/>
                <w:color w:val="auto"/>
              </w:rPr>
              <w:t>Age: 64</w:t>
            </w:r>
          </w:p>
        </w:tc>
        <w:tc>
          <w:tcPr>
            <w:tcW w:w="4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N&amp;CG</w:t>
            </w:r>
          </w:p>
        </w:tc>
        <w:tc>
          <w:tcPr>
            <w:tcW w:w="2300" w:type="dxa"/>
            <w:vAlign w:val="bottom"/>
            <w:tcBorders>
              <w:bottom w:val="single" w:sz="8" w:color="00C08A"/>
            </w:tcBorders>
          </w:tcPr>
          <w:p>
            <w:pPr>
              <w:jc w:val="right"/>
              <w:ind w:right="139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00C08A"/>
              </w:rPr>
              <w:t>BACKGROUND</w:t>
            </w:r>
          </w:p>
        </w:tc>
        <w:tc>
          <w:tcPr>
            <w:tcW w:w="2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60" w:right="100"/>
        <w:spacing w:after="0" w:line="254" w:lineRule="auto"/>
        <w:rPr>
          <w:sz w:val="20"/>
          <w:szCs w:val="20"/>
          <w:color w:val="auto"/>
        </w:rPr>
      </w:pPr>
      <w:r>
        <w:rPr>
          <w:rFonts w:ascii="Arial" w:cs="Arial" w:eastAsia="Arial" w:hAnsi="Arial"/>
          <w:sz w:val="18"/>
          <w:szCs w:val="18"/>
          <w:color w:val="auto"/>
        </w:rPr>
        <w:t>Ms. Minieri became a member of our board of directors in April 2021. She has more than 35 years’ experience in senior leadership positions in real estate and financial services. She previously served as Chief Operating Officer of Development and Constructive Services and as Senior Executive Vice President and Senior Managing Director at RXR Realty (“RXR”) from October 2018 until February 2024. Earlier in her career, she served as President and Chief Operating Officer of Forest City Ratner Companies, overseeing billions of dollars of development, and as Deputy County Executive and Commissioner for Suffolk County Economic Development and Planning, as well as in leadership roles in professional accounting, tax and consulting services. Since 2024 she has served as the founder and principal of JONEE 1212, a consulting and advisory firm. Ms. Minieri has served on the board of local government development organizations and currently serves on numerous public and private boards including Trinity Place Holdings, Inc. and the Girl Scouts of Greater NY. She is a Certified Public Accountant and holds a B.B.A. from Hofstra University.</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180"/>
        <w:spacing w:after="0" w:line="287" w:lineRule="auto"/>
        <w:rPr>
          <w:sz w:val="20"/>
          <w:szCs w:val="20"/>
          <w:color w:val="auto"/>
        </w:rPr>
      </w:pPr>
      <w:r>
        <w:rPr>
          <w:rFonts w:ascii="Arial" w:cs="Arial" w:eastAsia="Arial" w:hAnsi="Arial"/>
          <w:sz w:val="18"/>
          <w:szCs w:val="18"/>
          <w:color w:val="auto"/>
        </w:rPr>
        <w:t>Ms. Minieri’s previous experience in senior leadership positions in financial services and public company experience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PROPOSAL 1: ELECTION OF DIRECTORS</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III Directors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four Class III directors will expire at the 2027 Annual Meeting.</w:t>
      </w:r>
    </w:p>
    <w:p>
      <w:pPr>
        <w:spacing w:after="0" w:line="395" w:lineRule="exact"/>
        <w:rPr>
          <w:sz w:val="20"/>
          <w:szCs w:val="20"/>
          <w:color w:val="auto"/>
        </w:rPr>
      </w:pPr>
    </w:p>
    <w:tbl>
      <w:tblPr>
        <w:tblLayout w:type="fixed"/>
        <w:tblInd w:w="760" w:type="dxa"/>
        <w:tblCellMar>
          <w:top w:w="0" w:type="dxa"/>
          <w:left w:w="0" w:type="dxa"/>
          <w:bottom w:w="0" w:type="dxa"/>
          <w:right w:w="0" w:type="dxa"/>
        </w:tblCellMar>
      </w:tblPr>
      <w:tr>
        <w:trPr>
          <w:trHeight w:val="478"/>
        </w:trPr>
        <w:tc>
          <w:tcPr>
            <w:tcW w:w="1960" w:type="dxa"/>
            <w:vAlign w:val="bottom"/>
          </w:tcPr>
          <w:p>
            <w:pPr>
              <w:spacing w:after="0"/>
              <w:rPr>
                <w:sz w:val="20"/>
                <w:szCs w:val="20"/>
                <w:color w:val="auto"/>
              </w:rPr>
            </w:pPr>
            <w:r>
              <w:rPr>
                <w:rFonts w:ascii="Arial" w:cs="Arial" w:eastAsia="Arial" w:hAnsi="Arial"/>
                <w:sz w:val="36"/>
                <w:szCs w:val="36"/>
                <w:color w:val="00C08A"/>
              </w:rPr>
              <w:t>Virginia</w:t>
            </w:r>
          </w:p>
        </w:tc>
        <w:tc>
          <w:tcPr>
            <w:tcW w:w="720" w:type="dxa"/>
            <w:vAlign w:val="bottom"/>
            <w:vMerge w:val="restart"/>
          </w:tcPr>
          <w:p>
            <w:pPr>
              <w:ind w:left="520"/>
              <w:spacing w:after="0"/>
              <w:rPr>
                <w:sz w:val="20"/>
                <w:szCs w:val="20"/>
                <w:color w:val="auto"/>
              </w:rPr>
            </w:pPr>
            <w:r>
              <w:rPr>
                <w:rFonts w:ascii="Arial" w:cs="Arial" w:eastAsia="Arial" w:hAnsi="Arial"/>
                <w:sz w:val="18"/>
                <w:szCs w:val="18"/>
                <w:color w:val="00C08A"/>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00C08A"/>
              </w:rPr>
              <w:t>​ ​</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C08A"/>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00C08A"/>
              </w:rPr>
              <w:t>​</w:t>
            </w:r>
          </w:p>
        </w:tc>
        <w:tc>
          <w:tcPr>
            <w:tcW w:w="0" w:type="dxa"/>
            <w:vAlign w:val="bottom"/>
          </w:tcPr>
          <w:p>
            <w:pPr>
              <w:spacing w:after="0"/>
              <w:rPr>
                <w:sz w:val="1"/>
                <w:szCs w:val="1"/>
                <w:color w:val="auto"/>
              </w:rPr>
            </w:pPr>
          </w:p>
        </w:tc>
      </w:tr>
      <w:tr>
        <w:trPr>
          <w:trHeight w:val="33"/>
        </w:trPr>
        <w:tc>
          <w:tcPr>
            <w:tcW w:w="1960" w:type="dxa"/>
            <w:vAlign w:val="bottom"/>
          </w:tcPr>
          <w:p>
            <w:pPr>
              <w:spacing w:after="0" w:line="33" w:lineRule="exact"/>
              <w:rPr>
                <w:sz w:val="20"/>
                <w:szCs w:val="20"/>
                <w:color w:val="auto"/>
              </w:rPr>
            </w:pPr>
            <w:r>
              <w:rPr>
                <w:rFonts w:ascii="Arial" w:cs="Arial" w:eastAsia="Arial" w:hAnsi="Arial"/>
                <w:sz w:val="3"/>
                <w:szCs w:val="3"/>
                <w:color w:val="00C08A"/>
              </w:rPr>
              <w:t>​</w:t>
            </w:r>
          </w:p>
        </w:tc>
        <w:tc>
          <w:tcPr>
            <w:tcW w:w="72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84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96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Gambale</w:t>
            </w:r>
          </w:p>
        </w:tc>
        <w:tc>
          <w:tcPr>
            <w:tcW w:w="72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65</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9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r>
              <w:rPr>
                <w:rFonts w:ascii="Arial" w:cs="Arial" w:eastAsia="Arial" w:hAnsi="Arial"/>
                <w:sz w:val="18"/>
                <w:szCs w:val="18"/>
                <w:color w:val="00C08A"/>
              </w:rPr>
              <w:t>BACKGROUND</w:t>
            </w:r>
          </w:p>
        </w:tc>
        <w:tc>
          <w:tcPr>
            <w:tcW w:w="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280"/>
        <w:spacing w:after="0" w:line="270" w:lineRule="auto"/>
        <w:rPr>
          <w:sz w:val="20"/>
          <w:szCs w:val="20"/>
          <w:color w:val="auto"/>
        </w:rPr>
      </w:pPr>
      <w:r>
        <w:rPr>
          <w:rFonts w:ascii="Arial" w:cs="Arial" w:eastAsia="Arial" w:hAnsi="Arial"/>
          <w:sz w:val="17"/>
          <w:szCs w:val="17"/>
          <w:color w:val="auto"/>
        </w:rPr>
        <w:t>Ms. Gambale became a member of our board of directors in January 2020. Ms. Gambale is Managing Partner of Azimuth Partners LLC, a technology advisory firm facilitating the growth and adoption of emerging technologies for financial services, consumer and technology companies. Prior to starting Azimuth Partners in 2003, Ms. Gambale was an Investment Partner at investment bank Deutsche Bank Capital and ABS Ventures, a venture capital firm, from 1999 to 2003. Prior to that, Ms. Gambale held the position of Chief Information Officer at Bankers Trust Alex Brown, an investment banking firm, and Merrill Lynch. Ms. Gambale currently serves on the board of Nutanix, Inc, (Nasdaq: NTNX), Jamf Holding Corp., (Nasdaq: JAMF) and Evertec Inc. (NYSE: EVTC) and serves on the NACD Risk Oversight Advisory Council and the Juilliard School Board of Trustees. She has also served on numerous international public and private boards including First Derivatives, a financial technology company, JetBlue Airways Corp., an airline company, Piper Jaffray Companies, an investment bank, Regis Corp., a hair salon operator, IQ Financial, a wealth management firm, and technology companies Synchronoss Technologies, Motive, Inc., and Workbrain, among others. Ms. Gambale holds a B.S. from New York Institute of Technology-Old Westbury.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280"/>
        <w:spacing w:after="0" w:line="287" w:lineRule="auto"/>
        <w:rPr>
          <w:sz w:val="20"/>
          <w:szCs w:val="20"/>
          <w:color w:val="auto"/>
        </w:rPr>
      </w:pPr>
      <w:r>
        <w:rPr>
          <w:rFonts w:ascii="Arial" w:cs="Arial" w:eastAsia="Arial" w:hAnsi="Arial"/>
          <w:sz w:val="18"/>
          <w:szCs w:val="18"/>
          <w:color w:val="auto"/>
        </w:rPr>
        <w:t>Ms. Gambale’s previous experience in senior leadership positions in finance and technology and previous services on the boards of other public companies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08A"/>
              </w:rPr>
              <w:t>John D.</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4"/>
        </w:trPr>
        <w:tc>
          <w:tcPr>
            <w:tcW w:w="1880" w:type="dxa"/>
            <w:vAlign w:val="bottom"/>
          </w:tcPr>
          <w:p>
            <w:pPr>
              <w:spacing w:after="0" w:line="154" w:lineRule="exact"/>
              <w:rPr>
                <w:sz w:val="20"/>
                <w:szCs w:val="20"/>
                <w:color w:val="auto"/>
              </w:rPr>
            </w:pPr>
            <w:r>
              <w:rPr>
                <w:rFonts w:ascii="Arial" w:cs="Arial" w:eastAsia="Arial" w:hAnsi="Arial"/>
                <w:sz w:val="17"/>
                <w:szCs w:val="17"/>
                <w:color w:val="auto"/>
              </w:rPr>
              <w:t>​</w:t>
            </w:r>
          </w:p>
        </w:tc>
        <w:tc>
          <w:tcPr>
            <w:tcW w:w="80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40" w:type="dxa"/>
            <w:vAlign w:val="bottom"/>
          </w:tcPr>
          <w:p>
            <w:pPr>
              <w:ind w:left="20"/>
              <w:spacing w:after="0" w:line="154" w:lineRule="exact"/>
              <w:rPr>
                <w:sz w:val="20"/>
                <w:szCs w:val="20"/>
                <w:color w:val="auto"/>
              </w:rPr>
            </w:pPr>
            <w:r>
              <w:rPr>
                <w:rFonts w:ascii="Arial" w:cs="Arial" w:eastAsia="Arial" w:hAnsi="Arial"/>
                <w:sz w:val="17"/>
                <w:szCs w:val="17"/>
                <w:color w:val="002453"/>
              </w:rPr>
              <w:t xml:space="preserve">• </w:t>
            </w:r>
            <w:r>
              <w:rPr>
                <w:rFonts w:ascii="Arial" w:cs="Arial" w:eastAsia="Arial" w:hAnsi="Arial"/>
                <w:sz w:val="17"/>
                <w:szCs w:val="17"/>
                <w:color w:val="000000"/>
              </w:rPr>
              <w:t>Audit</w:t>
            </w:r>
          </w:p>
        </w:tc>
        <w:tc>
          <w:tcPr>
            <w:tcW w:w="3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18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Nixon</w:t>
            </w:r>
          </w:p>
        </w:tc>
        <w:tc>
          <w:tcPr>
            <w:tcW w:w="80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69</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N&amp;CG</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Mr. Nixon became a member of our board of directors in May 2015. Mr. Nixon has more than 30 years of international experience in the interdealer broker industry with ICAP plc (“</w:t>
      </w:r>
      <w:r>
        <w:rPr>
          <w:rFonts w:ascii="Arial" w:cs="Arial" w:eastAsia="Arial" w:hAnsi="Arial"/>
          <w:sz w:val="18"/>
          <w:szCs w:val="18"/>
          <w:b w:val="1"/>
          <w:bCs w:val="1"/>
          <w:color w:val="auto"/>
        </w:rPr>
        <w:t>ICAP</w:t>
      </w:r>
      <w:r>
        <w:rPr>
          <w:rFonts w:ascii="Arial" w:cs="Arial" w:eastAsia="Arial" w:hAnsi="Arial"/>
          <w:sz w:val="18"/>
          <w:szCs w:val="18"/>
          <w:color w:val="auto"/>
        </w:rPr>
        <w:t>”)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In addition to serving on our board, Mr. Nixon serves as our representative on the board of Eris Innovations Holdings LLC, a financial technology company, as a senior financial services advisor to Temasek USA, a global investment company and as a member of the board of directors of Eastdil Secured, global real estate investment bank, on behalf of Temasek. Mr. Nixon holds a degree in Commerce from Queen’s University, Ontario.</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240"/>
        <w:spacing w:after="0" w:line="287" w:lineRule="auto"/>
        <w:rPr>
          <w:sz w:val="20"/>
          <w:szCs w:val="20"/>
          <w:color w:val="auto"/>
        </w:rPr>
      </w:pPr>
      <w:r>
        <w:rPr>
          <w:rFonts w:ascii="Arial" w:cs="Arial" w:eastAsia="Arial" w:hAnsi="Arial"/>
          <w:sz w:val="18"/>
          <w:szCs w:val="18"/>
          <w:color w:val="auto"/>
        </w:rPr>
        <w:t>Mr. Nixon’s extensive business experience in the interdealer broker industry as well as his operational and strategic expertise in the financial services industry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820420</wp:posOffset>
            </wp:positionV>
            <wp:extent cx="75438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2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08A"/>
              </w:rPr>
              <w:t>David J.</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tcPr>
          <w:p>
            <w:pPr>
              <w:ind w:left="20"/>
              <w:spacing w:after="0" w:line="181" w:lineRule="exact"/>
              <w:rPr>
                <w:sz w:val="20"/>
                <w:szCs w:val="20"/>
                <w:color w:val="auto"/>
              </w:rPr>
            </w:pPr>
            <w:r>
              <w:rPr>
                <w:rFonts w:ascii="Arial" w:cs="Arial" w:eastAsia="Arial" w:hAnsi="Arial"/>
                <w:sz w:val="18"/>
                <w:szCs w:val="18"/>
                <w:color w:val="002453"/>
              </w:rPr>
              <w:t>•</w:t>
            </w:r>
          </w:p>
        </w:tc>
        <w:tc>
          <w:tcPr>
            <w:tcW w:w="1680" w:type="dxa"/>
            <w:vAlign w:val="bottom"/>
          </w:tcPr>
          <w:p>
            <w:pPr>
              <w:ind w:left="40"/>
              <w:spacing w:after="0" w:line="181" w:lineRule="exact"/>
              <w:rPr>
                <w:sz w:val="20"/>
                <w:szCs w:val="20"/>
                <w:color w:val="auto"/>
              </w:rPr>
            </w:pPr>
            <w:r>
              <w:rPr>
                <w:rFonts w:ascii="Arial" w:cs="Arial" w:eastAsia="Arial" w:hAnsi="Arial"/>
                <w:sz w:val="18"/>
                <w:szCs w:val="18"/>
                <w:color w:val="auto"/>
              </w:rPr>
              <w:t>Compensation</w:t>
            </w:r>
          </w:p>
        </w:tc>
        <w:tc>
          <w:tcPr>
            <w:tcW w:w="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Urban</w:t>
            </w:r>
          </w:p>
        </w:tc>
        <w:tc>
          <w:tcPr>
            <w:tcW w:w="800" w:type="dxa"/>
            <w:vAlign w:val="bottom"/>
            <w:tcBorders>
              <w:bottom w:val="single" w:sz="8" w:color="00C08A"/>
            </w:tcBorders>
          </w:tcPr>
          <w:p>
            <w:pPr>
              <w:spacing w:after="0"/>
              <w:rPr>
                <w:sz w:val="22"/>
                <w:szCs w:val="22"/>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61</w:t>
            </w:r>
          </w:p>
        </w:tc>
        <w:tc>
          <w:tcPr>
            <w:tcW w:w="300" w:type="dxa"/>
            <w:vAlign w:val="bottom"/>
            <w:tcBorders>
              <w:bottom w:val="single" w:sz="8" w:color="00C08A"/>
            </w:tcBorders>
          </w:tcPr>
          <w:p>
            <w:pPr>
              <w:spacing w:after="0"/>
              <w:rPr>
                <w:sz w:val="22"/>
                <w:szCs w:val="22"/>
                <w:color w:val="auto"/>
              </w:rPr>
            </w:pPr>
          </w:p>
        </w:tc>
        <w:tc>
          <w:tcPr>
            <w:tcW w:w="1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Risk</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Mr. Urban has more than 20 years’ experience in senior leadership positions in business and governmental roles, currently serving as Managing Director to BGR Group, a bi-partisan lobbying, strategic communications and business solutions firm, and Senior Advisor to Gothams, a firm designed to augment emergency management response capabilities, since April 2022 and January 2022, respectively and Of Counsel at Torridon Law, a high-profile boutique law-firm since June 2024. Previously, from July 2020 to January 2022, he served as Executive Vice President, North American Corporate Affairs at ByteDance, the parent company of TikTok, a leading social network, and from January 2002 to July 2020, as President of the American Continental Group, a leading bi-partisan government affairs and strategic consulting firm which provided consulting services to diverse organizations including those across the financial services and technology sectors. Mr. Urban previously served as the Chief of Staff for a U.S. Senator, a lawyer in private practice and as an officer in the U.S. Army’s 101st Airborne Division where he was awarded the Bronze Star. Mr. Urban is a member of the National Association of Corporate Directors and serves as a board member at SubCom, a communications systems, Eos Energy Enterprises Inc., an energy storage company (NASDAQ: EOSE) and services company and the Johnny Mac Soldiers Fund. Mr. Urban holds a B.S. from the United States Military Academy at West Point, a J.D. from the Beasley School of Law, Temple University, an M.P.A. from the Fels Institute of Government, University of Pennsylvania, a Certificate in Leading Sustainable Corporations from the Saide Business School, University of Oxford, and a Certificate in Geopolitical Analysis from Stratfor/Florida Atlantic University.</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160"/>
        <w:spacing w:after="0" w:line="287" w:lineRule="auto"/>
        <w:rPr>
          <w:sz w:val="20"/>
          <w:szCs w:val="20"/>
          <w:color w:val="auto"/>
        </w:rPr>
      </w:pPr>
      <w:r>
        <w:rPr>
          <w:rFonts w:ascii="Arial" w:cs="Arial" w:eastAsia="Arial" w:hAnsi="Arial"/>
          <w:sz w:val="18"/>
          <w:szCs w:val="18"/>
          <w:color w:val="auto"/>
        </w:rPr>
        <w:t>Mr. Urban’s governmental relations experience and his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5"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2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Director</w:t>
            </w:r>
          </w:p>
        </w:tc>
        <w:tc>
          <w:tcPr>
            <w:tcW w:w="840" w:type="dxa"/>
            <w:vAlign w:val="bottom"/>
          </w:tcPr>
          <w:p>
            <w:pPr>
              <w:spacing w:after="0"/>
              <w:rPr>
                <w:sz w:val="21"/>
                <w:szCs w:val="21"/>
                <w:color w:val="auto"/>
              </w:rPr>
            </w:pP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1"/>
                <w:szCs w:val="21"/>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480" w:type="dxa"/>
            <w:vAlign w:val="bottom"/>
          </w:tcPr>
          <w:p>
            <w:pPr>
              <w:spacing w:after="0" w:line="154" w:lineRule="exact"/>
              <w:rPr>
                <w:sz w:val="20"/>
                <w:szCs w:val="20"/>
                <w:color w:val="auto"/>
              </w:rPr>
            </w:pPr>
            <w:r>
              <w:rPr>
                <w:rFonts w:ascii="Arial" w:cs="Arial" w:eastAsia="Arial" w:hAnsi="Arial"/>
                <w:sz w:val="17"/>
                <w:szCs w:val="17"/>
                <w:color w:val="auto"/>
              </w:rPr>
              <w:t>​</w:t>
            </w:r>
          </w:p>
        </w:tc>
        <w:tc>
          <w:tcPr>
            <w:tcW w:w="200" w:type="dxa"/>
            <w:vAlign w:val="bottom"/>
          </w:tcPr>
          <w:p>
            <w:pPr>
              <w:spacing w:after="0" w:line="154" w:lineRule="exact"/>
              <w:rPr>
                <w:sz w:val="20"/>
                <w:szCs w:val="20"/>
                <w:color w:val="auto"/>
              </w:rPr>
            </w:pPr>
            <w:r>
              <w:rPr>
                <w:rFonts w:ascii="Arial" w:cs="Arial" w:eastAsia="Arial" w:hAnsi="Arial"/>
                <w:sz w:val="17"/>
                <w:szCs w:val="17"/>
                <w:color w:val="auto"/>
              </w:rPr>
              <w:t>​ ​</w:t>
            </w:r>
          </w:p>
        </w:tc>
        <w:tc>
          <w:tcPr>
            <w:tcW w:w="1380" w:type="dxa"/>
            <w:vAlign w:val="bottom"/>
            <w:vMerge w:val="continue"/>
          </w:tcPr>
          <w:p>
            <w:pPr>
              <w:spacing w:after="0"/>
              <w:rPr>
                <w:sz w:val="13"/>
                <w:szCs w:val="13"/>
                <w:color w:val="auto"/>
              </w:rPr>
            </w:pPr>
          </w:p>
        </w:tc>
        <w:tc>
          <w:tcPr>
            <w:tcW w:w="840" w:type="dxa"/>
            <w:vAlign w:val="bottom"/>
          </w:tcPr>
          <w:p>
            <w:pPr>
              <w:ind w:left="660"/>
              <w:spacing w:after="0" w:line="154" w:lineRule="exact"/>
              <w:rPr>
                <w:sz w:val="20"/>
                <w:szCs w:val="20"/>
                <w:color w:val="auto"/>
              </w:rPr>
            </w:pPr>
            <w:r>
              <w:rPr>
                <w:rFonts w:ascii="Arial" w:cs="Arial" w:eastAsia="Arial" w:hAnsi="Arial"/>
                <w:sz w:val="17"/>
                <w:szCs w:val="17"/>
                <w:color w:val="auto"/>
              </w:rPr>
              <w:t>​ ​</w:t>
            </w:r>
          </w:p>
        </w:tc>
        <w:tc>
          <w:tcPr>
            <w:tcW w:w="1840" w:type="dxa"/>
            <w:vAlign w:val="bottom"/>
          </w:tcPr>
          <w:p>
            <w:pPr>
              <w:ind w:left="20"/>
              <w:spacing w:after="0" w:line="154" w:lineRule="exact"/>
              <w:rPr>
                <w:sz w:val="20"/>
                <w:szCs w:val="20"/>
                <w:color w:val="auto"/>
              </w:rPr>
            </w:pPr>
            <w:r>
              <w:rPr>
                <w:rFonts w:ascii="Arial" w:cs="Arial" w:eastAsia="Arial" w:hAnsi="Arial"/>
                <w:sz w:val="17"/>
                <w:szCs w:val="17"/>
                <w:color w:val="002453"/>
              </w:rPr>
              <w:t xml:space="preserve">• </w:t>
            </w:r>
            <w:r>
              <w:rPr>
                <w:rFonts w:ascii="Arial" w:cs="Arial" w:eastAsia="Arial" w:hAnsi="Arial"/>
                <w:sz w:val="17"/>
                <w:szCs w:val="17"/>
                <w:color w:val="000000"/>
              </w:rPr>
              <w:t>N&amp;CG</w:t>
            </w:r>
          </w:p>
        </w:tc>
        <w:tc>
          <w:tcPr>
            <w:tcW w:w="380" w:type="dxa"/>
            <w:vAlign w:val="bottom"/>
          </w:tcPr>
          <w:p>
            <w:pPr>
              <w:ind w:left="200"/>
              <w:spacing w:after="0" w:line="154" w:lineRule="exact"/>
              <w:rPr>
                <w:sz w:val="20"/>
                <w:szCs w:val="20"/>
                <w:color w:val="auto"/>
              </w:rPr>
            </w:pPr>
            <w:r>
              <w:rPr>
                <w:rFonts w:ascii="Arial" w:cs="Arial" w:eastAsia="Arial" w:hAnsi="Arial"/>
                <w:sz w:val="17"/>
                <w:szCs w:val="17"/>
                <w:color w:val="auto"/>
              </w:rPr>
              <w:t>​ ​</w:t>
            </w:r>
          </w:p>
        </w:tc>
        <w:tc>
          <w:tcPr>
            <w:tcW w:w="1660" w:type="dxa"/>
            <w:vAlign w:val="bottom"/>
            <w:vMerge w:val="continue"/>
          </w:tcPr>
          <w:p>
            <w:pPr>
              <w:spacing w:after="0"/>
              <w:rPr>
                <w:sz w:val="13"/>
                <w:szCs w:val="13"/>
                <w:color w:val="auto"/>
              </w:rPr>
            </w:pPr>
          </w:p>
        </w:tc>
        <w:tc>
          <w:tcPr>
            <w:tcW w:w="440" w:type="dxa"/>
            <w:vAlign w:val="bottom"/>
            <w:gridSpan w:val="2"/>
          </w:tcPr>
          <w:p>
            <w:pPr>
              <w:jc w:val="right"/>
              <w:spacing w:after="0" w:line="15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24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Michael T. Viola</w:t>
            </w:r>
          </w:p>
        </w:tc>
        <w:tc>
          <w:tcPr>
            <w:tcW w:w="200" w:type="dxa"/>
            <w:vAlign w:val="bottom"/>
            <w:tcBorders>
              <w:bottom w:val="single" w:sz="8" w:color="00C08A"/>
            </w:tcBorders>
          </w:tcPr>
          <w:p>
            <w:pPr>
              <w:spacing w:after="0"/>
              <w:rPr>
                <w:sz w:val="24"/>
                <w:szCs w:val="24"/>
                <w:color w:val="auto"/>
              </w:rPr>
            </w:pPr>
          </w:p>
        </w:tc>
        <w:tc>
          <w:tcPr>
            <w:tcW w:w="13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38</w:t>
            </w:r>
          </w:p>
        </w:tc>
        <w:tc>
          <w:tcPr>
            <w:tcW w:w="84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4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Arial" w:cs="Arial" w:eastAsia="Arial" w:hAnsi="Arial"/>
                <w:sz w:val="18"/>
                <w:szCs w:val="18"/>
                <w:color w:val="00C08A"/>
              </w:rPr>
              <w:t>BACKGROUND</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became a member of our board of directors in April 2016 and was appointed Chairman in April 2023.</w:t>
      </w:r>
    </w:p>
    <w:p>
      <w:pPr>
        <w:spacing w:after="0" w:line="27"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Mr. Viola previously served the Company in a variety of roles since 2011, most recently as a senior trader focused on foreign exchange products and global commodities. Since 2016, Mr. Viola has served as the President of the Viola family’s private investment office, located in New York City. In addition, Mr. Viola previously served as a member of the board of directors of Independent Bank Group, Inc., a bank holding company, (Nasdaq: IBTX), prior to its merger with SouthState Corporation in 2025, and serves on the boards of several other private companies and non-profit organizations. Mr. Viola holds a B.S. in Finance from Pepperdine University.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420"/>
        <w:spacing w:after="0" w:line="287" w:lineRule="auto"/>
        <w:rPr>
          <w:sz w:val="20"/>
          <w:szCs w:val="20"/>
          <w:color w:val="auto"/>
        </w:rPr>
      </w:pPr>
      <w:r>
        <w:rPr>
          <w:rFonts w:ascii="Arial" w:cs="Arial" w:eastAsia="Arial" w:hAnsi="Arial"/>
          <w:sz w:val="18"/>
          <w:szCs w:val="18"/>
          <w:color w:val="auto"/>
        </w:rPr>
        <w:t>Mr. Viola’s significant experience in electronic market making and his experience as the director of another public company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PROPOSAL 1: ELECTION OF DIRECTORS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executive officers.</w:t>
      </w:r>
    </w:p>
    <w:p>
      <w:pPr>
        <w:spacing w:after="0" w:line="117"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On August 1, 2024, Cindy Lee succeeded Sean Galvin as Chief Financial Officer effective. Mr. Galvin remained in a senior role with the Company until April 11, 2025. For additional information, please see the Company’s Form 8-K filed with the SEC on April 29, 2024.</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00" w:type="dxa"/>
            <w:vAlign w:val="bottom"/>
          </w:tcPr>
          <w:p>
            <w:pPr>
              <w:spacing w:after="0"/>
              <w:rPr>
                <w:sz w:val="20"/>
                <w:szCs w:val="20"/>
                <w:color w:val="auto"/>
              </w:rPr>
            </w:pPr>
            <w:r>
              <w:rPr>
                <w:rFonts w:ascii="Arial" w:cs="Arial" w:eastAsia="Arial" w:hAnsi="Arial"/>
                <w:sz w:val="36"/>
                <w:szCs w:val="36"/>
                <w:color w:val="00C08A"/>
              </w:rPr>
              <w:t>Stephen</w:t>
            </w:r>
          </w:p>
        </w:tc>
        <w:tc>
          <w:tcPr>
            <w:tcW w:w="780" w:type="dxa"/>
            <w:vAlign w:val="bottom"/>
            <w:vMerge w:val="restart"/>
          </w:tcPr>
          <w:p>
            <w:pPr>
              <w:ind w:left="580"/>
              <w:spacing w:after="0"/>
              <w:rPr>
                <w:sz w:val="20"/>
                <w:szCs w:val="20"/>
                <w:color w:val="auto"/>
              </w:rPr>
            </w:pPr>
            <w:r>
              <w:rPr>
                <w:rFonts w:ascii="Arial" w:cs="Arial" w:eastAsia="Arial" w:hAnsi="Arial"/>
                <w:sz w:val="18"/>
                <w:szCs w:val="18"/>
                <w:b w:val="1"/>
                <w:bCs w:val="1"/>
                <w:color w:val="00C08A"/>
              </w:rPr>
              <w:t>​ ​</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00C08A"/>
              </w:rPr>
              <w:t>Executive Vice</w:t>
            </w:r>
          </w:p>
        </w:tc>
        <w:tc>
          <w:tcPr>
            <w:tcW w:w="1460" w:type="dxa"/>
            <w:vAlign w:val="bottom"/>
            <w:vMerge w:val="restart"/>
          </w:tcPr>
          <w:p>
            <w:pPr>
              <w:ind w:left="2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8"/>
        </w:trPr>
        <w:tc>
          <w:tcPr>
            <w:tcW w:w="190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780" w:type="dxa"/>
            <w:vAlign w:val="bottom"/>
            <w:vMerge w:val="continue"/>
          </w:tcPr>
          <w:p>
            <w:pPr>
              <w:spacing w:after="0"/>
              <w:rPr>
                <w:sz w:val="12"/>
                <w:szCs w:val="12"/>
                <w:color w:val="auto"/>
              </w:rPr>
            </w:pPr>
          </w:p>
        </w:tc>
        <w:tc>
          <w:tcPr>
            <w:tcW w:w="18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President, Markets</w:t>
            </w:r>
          </w:p>
        </w:tc>
        <w:tc>
          <w:tcPr>
            <w:tcW w:w="14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90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Cavoli</w:t>
            </w:r>
          </w:p>
        </w:tc>
        <w:tc>
          <w:tcPr>
            <w:tcW w:w="780" w:type="dxa"/>
            <w:vAlign w:val="bottom"/>
            <w:tcBorders>
              <w:bottom w:val="single" w:sz="8" w:color="00C08A"/>
            </w:tcBorders>
          </w:tcPr>
          <w:p>
            <w:pPr>
              <w:spacing w:after="0"/>
              <w:rPr>
                <w:sz w:val="24"/>
                <w:szCs w:val="24"/>
                <w:color w:val="auto"/>
              </w:rPr>
            </w:pPr>
          </w:p>
        </w:tc>
        <w:tc>
          <w:tcPr>
            <w:tcW w:w="18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56</w:t>
            </w:r>
          </w:p>
        </w:tc>
        <w:tc>
          <w:tcPr>
            <w:tcW w:w="14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90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00C08A"/>
              </w:rPr>
              <w:t>BACKGROUND</w:t>
            </w: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260"/>
        <w:spacing w:after="0" w:line="256" w:lineRule="auto"/>
        <w:rPr>
          <w:sz w:val="20"/>
          <w:szCs w:val="20"/>
          <w:color w:val="auto"/>
        </w:rPr>
      </w:pPr>
      <w:r>
        <w:rPr>
          <w:rFonts w:ascii="Arial" w:cs="Arial" w:eastAsia="Arial" w:hAnsi="Arial"/>
          <w:sz w:val="18"/>
          <w:szCs w:val="18"/>
          <w:color w:val="auto"/>
        </w:rPr>
        <w:t>Mr. Cavoli has been our Executive Vice President, Markets since December 2017, and previously served as our Senior Vice President, Strategy and Market Development since September 2015. Prior to joining Virtu, Mr. Cavoli was a Managing Director at Morgan Stanley, an investment bank and financial services company in the electronic trading group, where he served in various roles from April 2004 to September 2015. Mr. Cavoli previously held positions at Instinet, an institutional, agency-only broker, where he focused on U.S. equities trading and execution. Mr. Cavoli graduated from the U.S. Military Academy at West Point in 1992 and has served as an Infantry Officer in the United States Army.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08A"/>
              </w:rPr>
              <w:t>Brett</w:t>
            </w:r>
          </w:p>
        </w:tc>
        <w:tc>
          <w:tcPr>
            <w:tcW w:w="600" w:type="dxa"/>
            <w:vAlign w:val="bottom"/>
            <w:vMerge w:val="restart"/>
          </w:tcPr>
          <w:p>
            <w:pPr>
              <w:ind w:left="400"/>
              <w:spacing w:after="0"/>
              <w:rPr>
                <w:sz w:val="20"/>
                <w:szCs w:val="20"/>
                <w:color w:val="auto"/>
              </w:rPr>
            </w:pPr>
            <w:r>
              <w:rPr>
                <w:rFonts w:ascii="Arial" w:cs="Arial" w:eastAsia="Arial" w:hAnsi="Arial"/>
                <w:sz w:val="18"/>
                <w:szCs w:val="18"/>
                <w:b w:val="1"/>
                <w:bCs w:val="1"/>
                <w:color w:val="00C08A"/>
              </w:rPr>
              <w:t>​ ​</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00C08A"/>
              </w:rPr>
              <w:t>Co-President and Co-</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600" w:type="dxa"/>
            <w:vAlign w:val="bottom"/>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Chief Operating Officer</w:t>
            </w: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Fairclough</w:t>
            </w:r>
          </w:p>
        </w:tc>
        <w:tc>
          <w:tcPr>
            <w:tcW w:w="600" w:type="dxa"/>
            <w:vAlign w:val="bottom"/>
            <w:tcBorders>
              <w:bottom w:val="single" w:sz="8" w:color="00C08A"/>
            </w:tcBorders>
          </w:tcPr>
          <w:p>
            <w:pPr>
              <w:spacing w:after="0"/>
              <w:rPr>
                <w:sz w:val="24"/>
                <w:szCs w:val="24"/>
                <w:color w:val="auto"/>
              </w:rPr>
            </w:pPr>
          </w:p>
        </w:tc>
        <w:tc>
          <w:tcPr>
            <w:tcW w:w="20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42</w:t>
            </w:r>
          </w:p>
        </w:tc>
        <w:tc>
          <w:tcPr>
            <w:tcW w:w="12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00C08A"/>
              </w:rPr>
              <w:t>BACKGROUND</w:t>
            </w: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auto"/>
        </w:rPr>
        <w:t>Mr. Fairclough was appointed our Co-President and Co-Chief Operating Officer in May 2020. Mr. Fairclough has been an employee of the Company and its predecessors since 2007, previously serving as the Company’s Executive Vice President, Chief Operating Officer and Global Head of Business Development in 2019, as well as Managing Director of Asia Pacific and Chief Executive Officer of Virtu Financial Singapore Pte. Ltd., the Company’s Singapore-based subsidiary, since 2014. Prior to that, he served as Chief Compliance Officer of the Company’s broker-dealer subsidiaries. He has also worked closely with exchanges and other industry participants to foster the growth and development of securities markets globally. Mr. Fairclough received a B.A. from the University of California at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29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40" w:type="dxa"/>
            <w:vAlign w:val="bottom"/>
          </w:tcPr>
          <w:p>
            <w:pPr>
              <w:spacing w:after="0"/>
              <w:rPr>
                <w:sz w:val="20"/>
                <w:szCs w:val="20"/>
                <w:color w:val="auto"/>
              </w:rPr>
            </w:pPr>
            <w:r>
              <w:rPr>
                <w:rFonts w:ascii="Arial" w:cs="Arial" w:eastAsia="Arial" w:hAnsi="Arial"/>
                <w:sz w:val="36"/>
                <w:szCs w:val="36"/>
                <w:color w:val="00C08A"/>
              </w:rPr>
              <w:t>Joseph A.</w:t>
            </w:r>
          </w:p>
        </w:tc>
        <w:tc>
          <w:tcPr>
            <w:tcW w:w="640" w:type="dxa"/>
            <w:vAlign w:val="bottom"/>
            <w:vMerge w:val="restart"/>
          </w:tcPr>
          <w:p>
            <w:pPr>
              <w:ind w:left="440"/>
              <w:spacing w:after="0"/>
              <w:rPr>
                <w:sz w:val="20"/>
                <w:szCs w:val="20"/>
                <w:color w:val="auto"/>
              </w:rPr>
            </w:pPr>
            <w:r>
              <w:rPr>
                <w:rFonts w:ascii="Arial" w:cs="Arial" w:eastAsia="Arial" w:hAnsi="Arial"/>
                <w:sz w:val="18"/>
                <w:szCs w:val="18"/>
                <w:b w:val="1"/>
                <w:bCs w:val="1"/>
                <w:color w:val="00C08A"/>
              </w:rPr>
              <w:t>​ ​</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00C08A"/>
              </w:rPr>
              <w:t>Co-President and Co-</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640" w:type="dxa"/>
            <w:vAlign w:val="bottom"/>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Chief Operating Officer</w:t>
            </w: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4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Molluso</w:t>
            </w:r>
          </w:p>
        </w:tc>
        <w:tc>
          <w:tcPr>
            <w:tcW w:w="640" w:type="dxa"/>
            <w:vAlign w:val="bottom"/>
            <w:tcBorders>
              <w:bottom w:val="single" w:sz="8" w:color="00C08A"/>
            </w:tcBorders>
          </w:tcPr>
          <w:p>
            <w:pPr>
              <w:spacing w:after="0"/>
              <w:rPr>
                <w:sz w:val="24"/>
                <w:szCs w:val="24"/>
                <w:color w:val="auto"/>
              </w:rPr>
            </w:pPr>
          </w:p>
        </w:tc>
        <w:tc>
          <w:tcPr>
            <w:tcW w:w="20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56</w:t>
            </w:r>
          </w:p>
        </w:tc>
        <w:tc>
          <w:tcPr>
            <w:tcW w:w="12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Arial" w:cs="Arial" w:eastAsia="Arial" w:hAnsi="Arial"/>
                <w:sz w:val="18"/>
                <w:szCs w:val="18"/>
                <w:color w:val="00C08A"/>
              </w:rPr>
              <w:t>BACKGROUND</w:t>
            </w:r>
          </w:p>
        </w:tc>
        <w:tc>
          <w:tcPr>
            <w:tcW w:w="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72" w:lineRule="auto"/>
        <w:rPr>
          <w:sz w:val="20"/>
          <w:szCs w:val="20"/>
          <w:color w:val="auto"/>
        </w:rPr>
      </w:pPr>
      <w:r>
        <w:rPr>
          <w:rFonts w:ascii="Arial" w:cs="Arial" w:eastAsia="Arial" w:hAnsi="Arial"/>
          <w:sz w:val="17"/>
          <w:szCs w:val="17"/>
          <w:color w:val="auto"/>
        </w:rPr>
        <w:t>Mr. Molluso was appointed our Co-President and Co-Chief Operating Officer in May 2020. Mr. Molluso joined Virtu in November 2013 as Chief Financial Officer. After a brief departure in September 2019 to serve as Chief Financial Officer of Capitolis, a financial technology company, Mr. Molluso rejoined Virtu in 2020. Prior to joining Virtu,</w:t>
      </w:r>
    </w:p>
    <w:p>
      <w:pPr>
        <w:spacing w:after="0" w:line="1" w:lineRule="exact"/>
        <w:rPr>
          <w:sz w:val="20"/>
          <w:szCs w:val="20"/>
          <w:color w:val="auto"/>
        </w:rPr>
      </w:pPr>
    </w:p>
    <w:p>
      <w:pPr>
        <w:jc w:val="both"/>
        <w:ind w:left="760" w:right="360"/>
        <w:spacing w:after="0" w:line="265" w:lineRule="auto"/>
        <w:rPr>
          <w:sz w:val="20"/>
          <w:szCs w:val="20"/>
          <w:color w:val="auto"/>
        </w:rPr>
      </w:pPr>
      <w:r>
        <w:rPr>
          <w:rFonts w:ascii="Arial" w:cs="Arial" w:eastAsia="Arial" w:hAnsi="Arial"/>
          <w:sz w:val="17"/>
          <w:szCs w:val="17"/>
          <w:color w:val="auto"/>
        </w:rPr>
        <w:t>Mr. Molluso was a Managing Director in Investment Banking at J.P. Morgan from March 2006 to November 2013, where he provided strategic advice to financial institutions with a focus on market structure related companies. He previously served as a member of the Board of Directors of The Depository Trust &amp; Clearing Corporation.</w:t>
      </w:r>
    </w:p>
    <w:p>
      <w:pPr>
        <w:ind w:left="760" w:right="100"/>
        <w:spacing w:after="0" w:line="255" w:lineRule="auto"/>
        <w:rPr>
          <w:sz w:val="20"/>
          <w:szCs w:val="20"/>
          <w:color w:val="auto"/>
        </w:rPr>
      </w:pPr>
      <w:r>
        <w:rPr>
          <w:rFonts w:ascii="Arial" w:cs="Arial" w:eastAsia="Arial" w:hAnsi="Arial"/>
          <w:sz w:val="18"/>
          <w:szCs w:val="18"/>
          <w:color w:val="auto"/>
        </w:rPr>
        <w:t>Mr. Molluso started his career as an investment banker specializing in financial services companies in 1997 at Donaldson, Lufkin &amp; Jenrette, an investment bank, and its successor, Credit Suisse, a global investment bank, where he helped establish the global financial technology group. Mr. Molluso received his M.B.A. from New York University in 1997 and his B.B.A. from Pace University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213360</wp:posOffset>
            </wp:positionV>
            <wp:extent cx="75438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08A"/>
              </w:rPr>
              <w:t>Executive Vice</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08A"/>
              </w:rPr>
              <w:t>President and Chief</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line="181" w:lineRule="exact"/>
              <w:rPr>
                <w:sz w:val="20"/>
                <w:szCs w:val="20"/>
                <w:color w:val="auto"/>
              </w:rPr>
            </w:pPr>
            <w:r>
              <w:rPr>
                <w:rFonts w:ascii="Arial" w:cs="Arial" w:eastAsia="Arial" w:hAnsi="Arial"/>
                <w:sz w:val="18"/>
                <w:szCs w:val="18"/>
                <w:b w:val="1"/>
                <w:bCs w:val="1"/>
                <w:color w:val="00C08A"/>
              </w:rPr>
              <w:t>​</w:t>
            </w:r>
          </w:p>
        </w:tc>
        <w:tc>
          <w:tcPr>
            <w:tcW w:w="640" w:type="dxa"/>
            <w:vAlign w:val="bottom"/>
          </w:tcPr>
          <w:p>
            <w:pPr>
              <w:ind w:left="440"/>
              <w:spacing w:after="0" w:line="181" w:lineRule="exact"/>
              <w:rPr>
                <w:sz w:val="20"/>
                <w:szCs w:val="20"/>
                <w:color w:val="auto"/>
              </w:rPr>
            </w:pPr>
            <w:r>
              <w:rPr>
                <w:rFonts w:ascii="Arial" w:cs="Arial" w:eastAsia="Arial" w:hAnsi="Arial"/>
                <w:sz w:val="18"/>
                <w:szCs w:val="18"/>
                <w:b w:val="1"/>
                <w:bCs w:val="1"/>
                <w:color w:val="00C08A"/>
              </w:rPr>
              <w:t>​ ​</w:t>
            </w:r>
          </w:p>
        </w:tc>
        <w:tc>
          <w:tcPr>
            <w:tcW w:w="1860" w:type="dxa"/>
            <w:vAlign w:val="bottom"/>
          </w:tcPr>
          <w:p>
            <w:pPr>
              <w:ind w:left="20"/>
              <w:spacing w:after="0" w:line="181" w:lineRule="exact"/>
              <w:rPr>
                <w:sz w:val="20"/>
                <w:szCs w:val="20"/>
                <w:color w:val="auto"/>
              </w:rPr>
            </w:pPr>
            <w:r>
              <w:rPr>
                <w:rFonts w:ascii="Arial" w:cs="Arial" w:eastAsia="Arial" w:hAnsi="Arial"/>
                <w:sz w:val="18"/>
                <w:szCs w:val="18"/>
                <w:b w:val="1"/>
                <w:bCs w:val="1"/>
                <w:color w:val="00C08A"/>
              </w:rPr>
              <w:t>Financial Officer</w:t>
            </w:r>
          </w:p>
        </w:tc>
        <w:tc>
          <w:tcPr>
            <w:tcW w:w="1420" w:type="dxa"/>
            <w:vAlign w:val="bottom"/>
          </w:tcPr>
          <w:p>
            <w:pPr>
              <w:ind w:left="180"/>
              <w:spacing w:after="0" w:line="181" w:lineRule="exact"/>
              <w:rPr>
                <w:sz w:val="20"/>
                <w:szCs w:val="20"/>
                <w:color w:val="auto"/>
              </w:rPr>
            </w:pPr>
            <w:r>
              <w:rPr>
                <w:rFonts w:ascii="Arial" w:cs="Arial" w:eastAsia="Arial" w:hAnsi="Arial"/>
                <w:sz w:val="18"/>
                <w:szCs w:val="18"/>
                <w:b w:val="1"/>
                <w:bCs w:val="1"/>
                <w:color w:val="00C08A"/>
              </w:rPr>
              <w:t>​ ​ ​</w:t>
            </w:r>
          </w:p>
        </w:tc>
        <w:tc>
          <w:tcPr>
            <w:tcW w:w="1160" w:type="dxa"/>
            <w:vAlign w:val="bottom"/>
          </w:tcPr>
          <w:p>
            <w:pPr>
              <w:ind w:left="980"/>
              <w:spacing w:after="0" w:line="181" w:lineRule="exact"/>
              <w:rPr>
                <w:sz w:val="20"/>
                <w:szCs w:val="20"/>
                <w:color w:val="auto"/>
              </w:rPr>
            </w:pPr>
            <w:r>
              <w:rPr>
                <w:rFonts w:ascii="Arial" w:cs="Arial" w:eastAsia="Arial" w:hAnsi="Arial"/>
                <w:sz w:val="18"/>
                <w:szCs w:val="18"/>
                <w:b w:val="1"/>
                <w:bCs w:val="1"/>
                <w:color w:val="00C08A"/>
              </w:rPr>
              <w:t>​ ​</w:t>
            </w:r>
          </w:p>
        </w:tc>
        <w:tc>
          <w:tcPr>
            <w:tcW w:w="1600" w:type="dxa"/>
            <w:vAlign w:val="bottom"/>
          </w:tcPr>
          <w:p>
            <w:pPr>
              <w:ind w:left="40"/>
              <w:spacing w:after="0" w:line="181" w:lineRule="exact"/>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84"/>
        </w:trPr>
        <w:tc>
          <w:tcPr>
            <w:tcW w:w="204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Cindy Lee</w:t>
            </w:r>
          </w:p>
        </w:tc>
        <w:tc>
          <w:tcPr>
            <w:tcW w:w="640" w:type="dxa"/>
            <w:vAlign w:val="bottom"/>
            <w:tcBorders>
              <w:bottom w:val="single" w:sz="8" w:color="00C08A"/>
            </w:tcBorders>
          </w:tcPr>
          <w:p>
            <w:pPr>
              <w:spacing w:after="0"/>
              <w:rPr>
                <w:sz w:val="24"/>
                <w:szCs w:val="24"/>
                <w:color w:val="auto"/>
              </w:rPr>
            </w:pPr>
          </w:p>
        </w:tc>
        <w:tc>
          <w:tcPr>
            <w:tcW w:w="18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40</w:t>
            </w:r>
          </w:p>
        </w:tc>
        <w:tc>
          <w:tcPr>
            <w:tcW w:w="142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Arial" w:cs="Arial" w:eastAsia="Arial" w:hAnsi="Arial"/>
                <w:sz w:val="18"/>
                <w:szCs w:val="18"/>
                <w:color w:val="00C08A"/>
              </w:rPr>
              <w:t>BACKGROUND</w:t>
            </w:r>
          </w:p>
        </w:tc>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Ms. Lee was appointed our Executive Vice President and Chief Financial Officer in August 2024. Ms. Lee joined Virtu in 2011 and has served as the Global Controller and Deputy Chief Financial Officer at Virtu. She holds a Master of Science in Accounting and a Bachelor of Science in Accounting from the University of Connecticut School of Business. Prior to joining Virtu, Ms. Lee started her career at Deloitte &amp; Touche as an Audit Accountant. Ms. Lee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Corporate Governance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320"/>
        <w:spacing w:after="0" w:line="268" w:lineRule="auto"/>
        <w:rPr>
          <w:sz w:val="20"/>
          <w:szCs w:val="20"/>
          <w:color w:val="auto"/>
        </w:rPr>
      </w:pPr>
      <w:r>
        <w:rPr>
          <w:rFonts w:ascii="Arial" w:cs="Arial" w:eastAsia="Arial" w:hAnsi="Arial"/>
          <w:sz w:val="18"/>
          <w:szCs w:val="18"/>
          <w:color w:val="auto"/>
        </w:rPr>
        <w:t>Our board of directors consists of 10 directors. In accordance with our amended and restated certificate of incorporation and bylaws, the number of directors on our board of directors will be determined from time to time by the board of directors but shall neither be fewer than three persons nor more than 20 persons.</w:t>
      </w:r>
    </w:p>
    <w:p>
      <w:pPr>
        <w:spacing w:after="0" w:line="63"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TJMT Holdings LLC (the “</w:t>
      </w:r>
      <w:r>
        <w:rPr>
          <w:rFonts w:ascii="Arial" w:cs="Arial" w:eastAsia="Arial" w:hAnsi="Arial"/>
          <w:sz w:val="18"/>
          <w:szCs w:val="18"/>
          <w:b w:val="1"/>
          <w:bCs w:val="1"/>
          <w:color w:val="auto"/>
        </w:rPr>
        <w:t>Founder Member</w:t>
      </w:r>
      <w:r>
        <w:rPr>
          <w:rFonts w:ascii="Arial" w:cs="Arial" w:eastAsia="Arial" w:hAnsi="Arial"/>
          <w:sz w:val="18"/>
          <w:szCs w:val="18"/>
          <w:color w:val="auto"/>
        </w:rPr>
        <w:t>”), an affiliate of Mr. Vincent Viola, our founder and Chairman Emeritus, or any of its affiliates or permitted transferees, no longer beneficially own shares representing 25% of our issued and outstanding common stock (the “</w:t>
      </w:r>
      <w:r>
        <w:rPr>
          <w:rFonts w:ascii="Arial" w:cs="Arial" w:eastAsia="Arial" w:hAnsi="Arial"/>
          <w:sz w:val="18"/>
          <w:szCs w:val="18"/>
          <w:b w:val="1"/>
          <w:bCs w:val="1"/>
          <w:color w:val="auto"/>
        </w:rPr>
        <w:t>Triggering Event</w:t>
      </w:r>
      <w:r>
        <w:rPr>
          <w:rFonts w:ascii="Arial" w:cs="Arial" w:eastAsia="Arial" w:hAnsi="Arial"/>
          <w:sz w:val="18"/>
          <w:szCs w:val="18"/>
          <w:color w:val="auto"/>
        </w:rPr>
        <w:t>”), vacancies on the board of directors may also be filled by the affirmative vote of a majority of our outstanding shares of common stock.</w:t>
      </w:r>
    </w:p>
    <w:p>
      <w:pPr>
        <w:spacing w:after="0" w:line="75"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71" w:lineRule="exact"/>
        <w:rPr>
          <w:sz w:val="20"/>
          <w:szCs w:val="20"/>
          <w:color w:val="auto"/>
        </w:rPr>
      </w:pPr>
    </w:p>
    <w:p>
      <w:pPr>
        <w:ind w:left="760" w:right="60"/>
        <w:spacing w:after="0" w:line="268" w:lineRule="auto"/>
        <w:rPr>
          <w:sz w:val="20"/>
          <w:szCs w:val="20"/>
          <w:color w:val="auto"/>
        </w:rPr>
      </w:pPr>
      <w:r>
        <w:rPr>
          <w:rFonts w:ascii="Arial" w:cs="Arial" w:eastAsia="Arial" w:hAnsi="Arial"/>
          <w:sz w:val="18"/>
          <w:szCs w:val="18"/>
          <w:color w:val="auto"/>
        </w:rPr>
        <w:t>Our amended and restated certificate of incorporation provides that the board of directors is divided into three classes of directors, with staggered three-year terms, with the classes to be as nearly equal in number as possible. As a result, approximately one third of the board of directors will be elected each year.</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The Founder Member currently controls more than 50% of our combined voting power, and as a result, we are considered a “controlled company” for the purposes of Nasdaq rules and corporate governance standards. As a “controlled company,” we are permitted and may from time to time elect (and in certain cases have elected)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is determined or recommended to the board of directors by the independent members of the board of directors. Notwithstanding the foregoing, our board of directors has determined that a majority of current directors are “independent directors” and that all members of the board’s Compensation Committee are independent directors as further detailed below under “Director Independence”.</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ind w:left="760" w:right="300"/>
        <w:spacing w:after="0" w:line="268" w:lineRule="auto"/>
        <w:rPr>
          <w:sz w:val="20"/>
          <w:szCs w:val="20"/>
          <w:color w:val="auto"/>
        </w:rPr>
      </w:pPr>
      <w:r>
        <w:rPr>
          <w:rFonts w:ascii="Arial" w:cs="Arial" w:eastAsia="Arial" w:hAnsi="Arial"/>
          <w:sz w:val="18"/>
          <w:szCs w:val="18"/>
          <w:color w:val="auto"/>
        </w:rPr>
        <w:t>Our board of directors has determined that Mmes. Gambale and Minieri, and Messrs. Cruger, Grano, Nixon, Quick and Urban are each “independent directors”, as such term is defined by the applicable rules and regulations of Nasdaq.</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Family Relationships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420"/>
        <w:spacing w:after="0" w:line="268" w:lineRule="auto"/>
        <w:rPr>
          <w:sz w:val="20"/>
          <w:szCs w:val="20"/>
          <w:color w:val="auto"/>
        </w:rPr>
      </w:pPr>
      <w:r>
        <w:rPr>
          <w:rFonts w:ascii="Arial" w:cs="Arial" w:eastAsia="Arial" w:hAnsi="Arial"/>
          <w:sz w:val="18"/>
          <w:szCs w:val="18"/>
          <w:color w:val="auto"/>
        </w:rPr>
        <w:t>Other than our Chairman,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334645</wp:posOffset>
            </wp:positionV>
            <wp:extent cx="75438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We currently separate the roles of chairman of the board of directors and chief executive officer. Mr. Michael T. Viola serves as Chairman of our board of directors. This structure enables the board of directors to effectively exercise its role in oversight of Virtu and its corporate governance while allowing our Chief Executive Officer to focus on the management of the day-to-day conduct of our business. The board of directors may review and change its leadership structure in the future.</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of Directors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140"/>
        <w:spacing w:after="0" w:line="287" w:lineRule="auto"/>
        <w:rPr>
          <w:sz w:val="20"/>
          <w:szCs w:val="20"/>
          <w:color w:val="auto"/>
        </w:rPr>
      </w:pPr>
      <w:r>
        <w:rPr>
          <w:rFonts w:ascii="Arial" w:cs="Arial" w:eastAsia="Arial" w:hAnsi="Arial"/>
          <w:sz w:val="18"/>
          <w:szCs w:val="18"/>
          <w:color w:val="auto"/>
        </w:rPr>
        <w:t>It is the duty of our board of directors to serve as a prudent fiduciary for stockholders and to oversee the management of our Company.</w:t>
      </w:r>
    </w:p>
    <w:p>
      <w:pPr>
        <w:spacing w:after="0" w:line="45" w:lineRule="exact"/>
        <w:rPr>
          <w:sz w:val="20"/>
          <w:szCs w:val="20"/>
          <w:color w:val="auto"/>
        </w:rPr>
      </w:pPr>
    </w:p>
    <w:p>
      <w:pPr>
        <w:ind w:left="760" w:right="80"/>
        <w:spacing w:after="0" w:line="271" w:lineRule="auto"/>
        <w:rPr>
          <w:sz w:val="20"/>
          <w:szCs w:val="20"/>
          <w:color w:val="auto"/>
        </w:rPr>
      </w:pPr>
      <w:r>
        <w:rPr>
          <w:rFonts w:ascii="Arial" w:cs="Arial" w:eastAsia="Arial" w:hAnsi="Arial"/>
          <w:sz w:val="17"/>
          <w:szCs w:val="17"/>
          <w:color w:val="auto"/>
        </w:rPr>
        <w:t>Our Audit Committee, under powers delegated to it by our board of directors, is responsible for discussing with management the major financial, legal, compliance and other significant risks of the Company.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66"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Our Risk Committee, under powers delegated to it by our board of directors, is responsible for overseeing areas of risk that are not the primary responsibility of another committee of our board of directors or retained for oversight of the full board of directors, including (i) cybersecurity, information security and information technology risk, (ii) trading, capital, and liquidity risk, and (iii) enterprise risk.</w:t>
      </w:r>
    </w:p>
    <w:p>
      <w:pPr>
        <w:spacing w:after="0" w:line="68"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Our Compensation Committee is responsible for overseeing and managing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71" w:lineRule="exact"/>
        <w:rPr>
          <w:sz w:val="20"/>
          <w:szCs w:val="20"/>
          <w:color w:val="auto"/>
        </w:rPr>
      </w:pPr>
    </w:p>
    <w:p>
      <w:pPr>
        <w:ind w:left="760" w:right="600"/>
        <w:spacing w:after="0" w:line="287" w:lineRule="auto"/>
        <w:rPr>
          <w:sz w:val="20"/>
          <w:szCs w:val="20"/>
          <w:color w:val="auto"/>
        </w:rPr>
      </w:pPr>
      <w:r>
        <w:rPr>
          <w:rFonts w:ascii="Arial" w:cs="Arial" w:eastAsia="Arial" w:hAnsi="Arial"/>
          <w:sz w:val="18"/>
          <w:szCs w:val="18"/>
          <w:color w:val="auto"/>
        </w:rPr>
        <w:t>The Nominating and Corporate Governance Committee is responsible for overseeing the management of risks relating to our corporate governance structure and director selection process.</w:t>
      </w:r>
    </w:p>
    <w:p>
      <w:pPr>
        <w:spacing w:after="0" w:line="45"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Our board of directors as a whole also engages in the oversight of risk in various ways. It sets goals and standards for our employees, officers, and directors. During the course of each year, our board of directors reviews the structure and operation of our various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potential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77" w:lineRule="exact"/>
        <w:rPr>
          <w:sz w:val="20"/>
          <w:szCs w:val="20"/>
          <w:color w:val="auto"/>
        </w:rPr>
      </w:pPr>
    </w:p>
    <w:p>
      <w:pPr>
        <w:ind w:left="760" w:right="200"/>
        <w:spacing w:after="0" w:line="257" w:lineRule="auto"/>
        <w:rPr>
          <w:sz w:val="20"/>
          <w:szCs w:val="20"/>
          <w:color w:val="auto"/>
        </w:rPr>
      </w:pPr>
      <w:r>
        <w:rPr>
          <w:rFonts w:ascii="Arial" w:cs="Arial" w:eastAsia="Arial" w:hAnsi="Arial"/>
          <w:sz w:val="18"/>
          <w:szCs w:val="18"/>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CORPORATE GOVERNANCE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and Committee Meetings;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2024:</w:t>
      </w:r>
    </w:p>
    <w:p>
      <w:pPr>
        <w:spacing w:after="0" w:line="117" w:lineRule="exact"/>
        <w:rPr>
          <w:sz w:val="20"/>
          <w:szCs w:val="20"/>
          <w:color w:val="auto"/>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board of directors held five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Audit Committee held nine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Risk Committee held five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Nominating and Corporate Governance Committee held four meetings; and</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Compensation Committee held three meetings.</w:t>
      </w:r>
    </w:p>
    <w:p>
      <w:pPr>
        <w:spacing w:after="0" w:line="117" w:lineRule="exact"/>
        <w:rPr>
          <w:sz w:val="20"/>
          <w:szCs w:val="20"/>
          <w:color w:val="auto"/>
        </w:rPr>
      </w:pPr>
    </w:p>
    <w:p>
      <w:pPr>
        <w:ind w:left="760" w:right="260"/>
        <w:spacing w:after="0" w:line="269" w:lineRule="auto"/>
        <w:rPr>
          <w:sz w:val="20"/>
          <w:szCs w:val="20"/>
          <w:color w:val="auto"/>
        </w:rPr>
      </w:pPr>
      <w:r>
        <w:rPr>
          <w:rFonts w:ascii="Arial" w:cs="Arial" w:eastAsia="Arial" w:hAnsi="Arial"/>
          <w:sz w:val="17"/>
          <w:szCs w:val="17"/>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In the year ended December 31, 2024, no member of our board of directors attended fewer than 75% of the aggregate of: (i) the total number of meetings of the board of directors (held during the period for which he or she has been a director), and</w:t>
      </w:r>
    </w:p>
    <w:p>
      <w:pPr>
        <w:spacing w:after="0" w:line="3" w:lineRule="exact"/>
        <w:rPr>
          <w:sz w:val="20"/>
          <w:szCs w:val="20"/>
          <w:color w:val="auto"/>
        </w:rPr>
      </w:pPr>
    </w:p>
    <w:p>
      <w:pPr>
        <w:ind w:left="760" w:right="160" w:firstLine="2"/>
        <w:spacing w:after="0" w:line="253" w:lineRule="auto"/>
        <w:tabs>
          <w:tab w:leader="none" w:pos="10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meetings held by all committees of the board of directors (during the periods that he or she served on such committees). Three of our directors attended our 2024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00"/>
        <w:spacing w:after="0" w:line="257" w:lineRule="auto"/>
        <w:rPr>
          <w:sz w:val="20"/>
          <w:szCs w:val="20"/>
          <w:color w:val="auto"/>
        </w:rPr>
      </w:pPr>
      <w:r>
        <w:rPr>
          <w:rFonts w:ascii="Arial" w:cs="Arial" w:eastAsia="Arial" w:hAnsi="Arial"/>
          <w:sz w:val="18"/>
          <w:szCs w:val="18"/>
          <w:color w:val="auto"/>
        </w:rPr>
        <w:t>Our board of directors has four standing committees: the Audit Committee, the Risk Committee, the Compensation Committee, and the Nominating and Corporate Governance Committee. Under the rules of Nasdaq, the membership of the Audit Committee is required to consist entirely of independent directors. As a controlled company (see “Controlled Company Status” on page 12 of this proxy statement), we are not required to have fully independent Compensation and Nominating and Corporate Governance Committees, although our Compensation Committee is fully independent. The following is a brief description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3084830</wp:posOffset>
            </wp:positionV>
            <wp:extent cx="754380"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68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08A"/>
        </w:rPr>
        <w:t>AUDIT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08A"/>
        </w:rPr>
        <w:t>COMMITTEE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Joanne M. Minieri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2024: 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Audit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50" w:lineRule="exact"/>
        <w:rPr>
          <w:sz w:val="20"/>
          <w:szCs w:val="20"/>
          <w:color w:val="auto"/>
        </w:rPr>
      </w:pPr>
    </w:p>
    <w:p>
      <w:pPr>
        <w:ind w:left="220" w:right="140"/>
        <w:spacing w:after="0" w:line="251" w:lineRule="auto"/>
        <w:rPr>
          <w:sz w:val="20"/>
          <w:szCs w:val="20"/>
          <w:color w:val="auto"/>
        </w:rPr>
      </w:pPr>
      <w:r>
        <w:rPr>
          <w:rFonts w:ascii="Arial" w:cs="Arial" w:eastAsia="Arial" w:hAnsi="Arial"/>
          <w:sz w:val="18"/>
          <w:szCs w:val="18"/>
          <w:color w:val="auto"/>
        </w:rPr>
        <w:t>We have a separately designated standing Audit Committee established in accordance with section 3(a)(58)(A) of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ir.virtu.com/corporate-governance/default.aspx.</w:t>
      </w:r>
    </w:p>
    <w:p>
      <w:pPr>
        <w:spacing w:after="0" w:line="84" w:lineRule="exact"/>
        <w:rPr>
          <w:sz w:val="20"/>
          <w:szCs w:val="20"/>
          <w:color w:val="auto"/>
        </w:rPr>
      </w:pPr>
    </w:p>
    <w:p>
      <w:pPr>
        <w:ind w:left="220" w:right="80"/>
        <w:spacing w:after="0" w:line="254" w:lineRule="auto"/>
        <w:rPr>
          <w:sz w:val="20"/>
          <w:szCs w:val="20"/>
          <w:color w:val="auto"/>
        </w:rPr>
      </w:pPr>
      <w:r>
        <w:rPr>
          <w:rFonts w:ascii="Arial" w:cs="Arial" w:eastAsia="Arial" w:hAnsi="Arial"/>
          <w:sz w:val="18"/>
          <w:szCs w:val="18"/>
          <w:color w:val="auto"/>
        </w:rPr>
        <w:t>Ms. Minieri, and Messrs. Cruger, Grano and Nixon are the members of our Audit Committee. The board of directors has determined that Mr. Cruger qualifies as an “audit committee financial expert” as such term is defined in Item 407(d)(5)(ii) of Regulation S-K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that Mr. Cruger thereby meets the applicable financial sophistication requirement of the Nasdaq listed company rules. The board of directors has also determined that each of Ms. Minieri, and Messrs. Cruger, Grano and Nixon is “independent” for purposes of Rule 10A-3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p>
    <w:p>
      <w:pPr>
        <w:spacing w:after="0" w:line="74" w:lineRule="exact"/>
        <w:rPr>
          <w:sz w:val="20"/>
          <w:szCs w:val="20"/>
          <w:color w:val="auto"/>
        </w:rPr>
      </w:pPr>
    </w:p>
    <w:p>
      <w:pPr>
        <w:ind w:left="220" w:right="200"/>
        <w:spacing w:after="0" w:line="287" w:lineRule="auto"/>
        <w:rPr>
          <w:sz w:val="20"/>
          <w:szCs w:val="20"/>
          <w:color w:val="auto"/>
        </w:rPr>
      </w:pPr>
      <w:r>
        <w:rPr>
          <w:rFonts w:ascii="Arial" w:cs="Arial" w:eastAsia="Arial" w:hAnsi="Arial"/>
          <w:sz w:val="18"/>
          <w:szCs w:val="18"/>
          <w:color w:val="auto"/>
        </w:rPr>
        <w:t>There were four regular meetings and five special meetings of the Audit Committee held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57785</wp:posOffset>
            </wp:positionV>
            <wp:extent cx="58293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08A"/>
        </w:rPr>
        <w:t>RISK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08A"/>
        </w:rPr>
        <w:t>COMMITTEE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Virginia Gambale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6033770</wp:posOffset>
            </wp:positionV>
            <wp:extent cx="75438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Risk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72" w:lineRule="exact"/>
        <w:rPr>
          <w:sz w:val="20"/>
          <w:szCs w:val="20"/>
          <w:color w:val="auto"/>
        </w:rPr>
      </w:pPr>
    </w:p>
    <w:p>
      <w:pPr>
        <w:ind w:left="220" w:right="460"/>
        <w:spacing w:after="0" w:line="260" w:lineRule="auto"/>
        <w:rPr>
          <w:sz w:val="20"/>
          <w:szCs w:val="20"/>
          <w:color w:val="auto"/>
        </w:rPr>
      </w:pPr>
      <w:r>
        <w:rPr>
          <w:rFonts w:ascii="Arial" w:cs="Arial" w:eastAsia="Arial" w:hAnsi="Arial"/>
          <w:sz w:val="18"/>
          <w:szCs w:val="18"/>
          <w:color w:val="auto"/>
        </w:rPr>
        <w:t>Our Risk Committee was established in 2017 and assists our board of directors in its oversight of the Company’s risk management activities, with particular focus on</w:t>
      </w:r>
    </w:p>
    <w:p>
      <w:pPr>
        <w:spacing w:after="0" w:line="2" w:lineRule="exact"/>
        <w:rPr>
          <w:sz w:val="20"/>
          <w:szCs w:val="20"/>
          <w:color w:val="auto"/>
        </w:rPr>
      </w:pPr>
    </w:p>
    <w:p>
      <w:pPr>
        <w:ind w:left="220" w:right="80" w:firstLine="2"/>
        <w:spacing w:after="0" w:line="27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cybersecurity, information security and information technology risk, (ii) trading, capital and liquidity risk, and (iii) enterprise risk. Our Risk Committee also oversees and receives reports from the Company’s management team on the Company’s risk assessment and risk management activities and may conduct or oversee stress testing or scenario testing. Our board of directors has adopted a written charter for the Risk Committee, which is available on our corporate website at ir.virtu.com/corporate-governance/default.aspx.</w:t>
      </w:r>
    </w:p>
    <w:p>
      <w:pPr>
        <w:spacing w:after="0" w:line="62" w:lineRule="exact"/>
        <w:rPr>
          <w:sz w:val="20"/>
          <w:szCs w:val="20"/>
          <w:color w:val="auto"/>
        </w:rPr>
      </w:pPr>
    </w:p>
    <w:p>
      <w:pPr>
        <w:ind w:left="220" w:right="80"/>
        <w:spacing w:after="0" w:line="259" w:lineRule="auto"/>
        <w:rPr>
          <w:sz w:val="20"/>
          <w:szCs w:val="20"/>
          <w:color w:val="auto"/>
        </w:rPr>
      </w:pPr>
      <w:r>
        <w:rPr>
          <w:rFonts w:ascii="Arial" w:cs="Arial" w:eastAsia="Arial" w:hAnsi="Arial"/>
          <w:sz w:val="18"/>
          <w:szCs w:val="18"/>
          <w:color w:val="auto"/>
        </w:rPr>
        <w:t>Ms. Gambale, and Messrs. Cruger, Urban and Michael Viola are the members of our Risk Committee. Our Risk Committee is not required to be fully independent, although if our Risk Committee becomes subject to any such independence requirement in the future, we will adjust the composition of the Risk Committee accordingly in order to comply with such requirement. Mr. Michael Viola is not independent.</w:t>
      </w:r>
    </w:p>
    <w:p>
      <w:pPr>
        <w:spacing w:after="0" w:line="71" w:lineRule="exact"/>
        <w:rPr>
          <w:sz w:val="20"/>
          <w:szCs w:val="20"/>
          <w:color w:val="auto"/>
        </w:rPr>
      </w:pPr>
    </w:p>
    <w:p>
      <w:pPr>
        <w:ind w:left="220" w:right="320"/>
        <w:spacing w:after="0" w:line="287" w:lineRule="auto"/>
        <w:rPr>
          <w:sz w:val="20"/>
          <w:szCs w:val="20"/>
          <w:color w:val="auto"/>
        </w:rPr>
      </w:pPr>
      <w:r>
        <w:rPr>
          <w:rFonts w:ascii="Arial" w:cs="Arial" w:eastAsia="Arial" w:hAnsi="Arial"/>
          <w:sz w:val="18"/>
          <w:szCs w:val="18"/>
          <w:color w:val="auto"/>
        </w:rPr>
        <w:t>There were four regular meetings and one special meeting of the Risk Committee held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57785</wp:posOffset>
            </wp:positionV>
            <wp:extent cx="5829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68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38" w:lineRule="auto"/>
        <w:rPr>
          <w:sz w:val="20"/>
          <w:szCs w:val="20"/>
          <w:color w:val="auto"/>
        </w:rPr>
      </w:pPr>
      <w:r>
        <w:rPr>
          <w:rFonts w:ascii="Arial" w:cs="Arial" w:eastAsia="Arial" w:hAnsi="Arial"/>
          <w:sz w:val="21"/>
          <w:szCs w:val="21"/>
          <w:color w:val="00C08A"/>
        </w:rPr>
        <w:t>COMPENSATION COMMITTEE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2024: 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Compensation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50" w:lineRule="exact"/>
        <w:rPr>
          <w:sz w:val="20"/>
          <w:szCs w:val="20"/>
          <w:color w:val="auto"/>
        </w:rPr>
      </w:pPr>
    </w:p>
    <w:p>
      <w:pPr>
        <w:ind w:left="220" w:right="140"/>
        <w:spacing w:after="0" w:line="251"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2024 director and executive compensation arrangements based on the Compensation Committee’s recommendations, the recommendations of the Compensation Committee’s compensation consultant (described below) and the collective judgment of the directors. Our board of directors has adopted a written charter for the Compensation Committee, which is available on our corporate website at ir.virtu.com/corporate-governance/default.aspx.</w:t>
      </w:r>
    </w:p>
    <w:p>
      <w:pPr>
        <w:spacing w:after="0" w:line="83" w:lineRule="exact"/>
        <w:rPr>
          <w:sz w:val="20"/>
          <w:szCs w:val="20"/>
          <w:color w:val="auto"/>
        </w:rPr>
      </w:pPr>
    </w:p>
    <w:p>
      <w:pPr>
        <w:ind w:left="220" w:right="180"/>
        <w:spacing w:after="0" w:line="272" w:lineRule="auto"/>
        <w:rPr>
          <w:sz w:val="20"/>
          <w:szCs w:val="20"/>
          <w:color w:val="auto"/>
        </w:rPr>
      </w:pPr>
      <w:r>
        <w:rPr>
          <w:rFonts w:ascii="Arial" w:cs="Arial" w:eastAsia="Arial" w:hAnsi="Arial"/>
          <w:sz w:val="17"/>
          <w:szCs w:val="17"/>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w:t>
      </w:r>
    </w:p>
    <w:p>
      <w:pPr>
        <w:spacing w:after="0" w:line="64" w:lineRule="exact"/>
        <w:rPr>
          <w:sz w:val="20"/>
          <w:szCs w:val="20"/>
          <w:color w:val="auto"/>
        </w:rPr>
      </w:pPr>
    </w:p>
    <w:p>
      <w:pPr>
        <w:jc w:val="both"/>
        <w:ind w:left="220" w:right="280"/>
        <w:spacing w:after="0" w:line="273" w:lineRule="auto"/>
        <w:rPr>
          <w:sz w:val="20"/>
          <w:szCs w:val="20"/>
          <w:color w:val="auto"/>
        </w:rPr>
      </w:pPr>
      <w:r>
        <w:rPr>
          <w:rFonts w:ascii="Arial" w:cs="Arial" w:eastAsia="Arial" w:hAnsi="Arial"/>
          <w:sz w:val="18"/>
          <w:szCs w:val="18"/>
          <w:color w:val="auto"/>
        </w:rPr>
        <w:t>Our Compensation Committee also administers the issuance of awards under the Virtu Financial, Inc. Amended and Restated 2015 Management Incentive Plan (as amended from time to time, the “</w:t>
      </w:r>
      <w:r>
        <w:rPr>
          <w:rFonts w:ascii="Arial" w:cs="Arial" w:eastAsia="Arial" w:hAnsi="Arial"/>
          <w:sz w:val="18"/>
          <w:szCs w:val="18"/>
          <w:b w:val="1"/>
          <w:bCs w:val="1"/>
          <w:color w:val="auto"/>
        </w:rPr>
        <w:t>2015 Plan</w:t>
      </w:r>
      <w:r>
        <w:rPr>
          <w:rFonts w:ascii="Arial" w:cs="Arial" w:eastAsia="Arial" w:hAnsi="Arial"/>
          <w:sz w:val="18"/>
          <w:szCs w:val="18"/>
          <w:color w:val="auto"/>
        </w:rPr>
        <w:t>”).</w:t>
      </w:r>
    </w:p>
    <w:p>
      <w:pPr>
        <w:spacing w:after="0" w:line="50" w:lineRule="exact"/>
        <w:rPr>
          <w:sz w:val="20"/>
          <w:szCs w:val="20"/>
          <w:color w:val="auto"/>
        </w:rPr>
      </w:pPr>
    </w:p>
    <w:p>
      <w:pPr>
        <w:ind w:left="220" w:right="200"/>
        <w:spacing w:after="0" w:line="255" w:lineRule="auto"/>
        <w:rPr>
          <w:sz w:val="20"/>
          <w:szCs w:val="20"/>
          <w:color w:val="auto"/>
        </w:rPr>
      </w:pPr>
      <w:r>
        <w:rPr>
          <w:rFonts w:ascii="Arial" w:cs="Arial" w:eastAsia="Arial" w:hAnsi="Arial"/>
          <w:sz w:val="18"/>
          <w:szCs w:val="18"/>
          <w:color w:val="auto"/>
        </w:rPr>
        <w:t>Messrs. Grano, Quick and Urban are the members of our Compensation Committee. Because we are a “controlled company” under the rules of Nasdaq (see “Controlled Company Status” on page 12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to the extent necessary in order to comply with such rules. However, our Compensation Committee is currently comprised entirely of independent directors.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three regular meetings of the Compensation Committee held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103505</wp:posOffset>
            </wp:positionV>
            <wp:extent cx="5829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26" w:lineRule="auto"/>
        <w:rPr>
          <w:sz w:val="20"/>
          <w:szCs w:val="20"/>
          <w:color w:val="auto"/>
        </w:rPr>
      </w:pPr>
      <w:r>
        <w:rPr>
          <w:rFonts w:ascii="Arial" w:cs="Arial" w:eastAsia="Arial" w:hAnsi="Arial"/>
          <w:sz w:val="21"/>
          <w:szCs w:val="21"/>
          <w:color w:val="00C08A"/>
        </w:rPr>
        <w:t>NOMINATING AND CORPORATE GOVERNANCE COMMITTEE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Joanne M. Minieri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80" w:lineRule="exact"/>
        <w:rPr>
          <w:sz w:val="20"/>
          <w:szCs w:val="20"/>
          <w:color w:val="auto"/>
        </w:rPr>
      </w:pPr>
    </w:p>
    <w:p>
      <w:pPr>
        <w:ind w:left="760" w:right="140"/>
        <w:spacing w:after="0" w:line="328" w:lineRule="auto"/>
        <w:rPr>
          <w:sz w:val="20"/>
          <w:szCs w:val="20"/>
          <w:color w:val="auto"/>
        </w:rPr>
      </w:pPr>
      <w:r>
        <w:rPr>
          <w:rFonts w:ascii="Arial" w:cs="Arial" w:eastAsia="Arial" w:hAnsi="Arial"/>
          <w:sz w:val="17"/>
          <w:szCs w:val="17"/>
          <w:b w:val="1"/>
          <w:bCs w:val="1"/>
          <w:color w:val="auto"/>
        </w:rPr>
        <w:t>Number of Meetings Held in 2024: 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Nominating and Corporate Governance Committee’s responsibilities include: </w:t>
      </w:r>
      <w:r>
        <w:rPr>
          <w:rFonts w:ascii="Arial" w:cs="Arial" w:eastAsia="Arial" w:hAnsi="Arial"/>
          <w:sz w:val="35"/>
          <w:szCs w:val="35"/>
          <w:color w:val="auto"/>
          <w:vertAlign w:val="superscript"/>
        </w:rPr>
        <w:t>​</w:t>
      </w:r>
    </w:p>
    <w:p>
      <w:pPr>
        <w:spacing w:after="0" w:line="61" w:lineRule="exact"/>
        <w:rPr>
          <w:sz w:val="20"/>
          <w:szCs w:val="20"/>
          <w:color w:val="auto"/>
        </w:rPr>
      </w:pPr>
    </w:p>
    <w:p>
      <w:pPr>
        <w:ind w:left="220" w:right="220"/>
        <w:spacing w:after="0" w:line="252" w:lineRule="auto"/>
        <w:rPr>
          <w:sz w:val="20"/>
          <w:szCs w:val="20"/>
          <w:color w:val="auto"/>
        </w:rPr>
      </w:pPr>
      <w:r>
        <w:rPr>
          <w:rFonts w:ascii="Arial" w:cs="Arial" w:eastAsia="Arial" w:hAnsi="Arial"/>
          <w:sz w:val="18"/>
          <w:szCs w:val="18"/>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directors and management evaluations. In addition, our Nominating and Corporate Governance Committee recommends to our board of directors for approval director nominees, consistent with our director qualifications criteria and any obligations under certain contractual arrangements. Our board of directors has adopted a written charter for the Nominating and Corporate Governance Committee, which is available on our corporate website at ir.virtu.com/​ corporate-governance/default.aspx.</w:t>
      </w:r>
    </w:p>
    <w:p>
      <w:pPr>
        <w:spacing w:after="0" w:line="77" w:lineRule="exact"/>
        <w:rPr>
          <w:sz w:val="20"/>
          <w:szCs w:val="20"/>
          <w:color w:val="auto"/>
        </w:rPr>
      </w:pPr>
    </w:p>
    <w:p>
      <w:pPr>
        <w:ind w:left="220" w:right="160"/>
        <w:spacing w:after="0" w:line="255" w:lineRule="auto"/>
        <w:rPr>
          <w:sz w:val="20"/>
          <w:szCs w:val="20"/>
          <w:color w:val="auto"/>
        </w:rPr>
      </w:pPr>
      <w:r>
        <w:rPr>
          <w:rFonts w:ascii="Arial" w:cs="Arial" w:eastAsia="Arial" w:hAnsi="Arial"/>
          <w:sz w:val="18"/>
          <w:szCs w:val="18"/>
          <w:color w:val="auto"/>
        </w:rPr>
        <w:t>Ms. Minieri, and Messrs. Nixon, Quick and Michael Viola are the members of our Nominating and Corporate Governance Committee. Because we are a “controlled company” under the rules of Nasdaq (see “Controlled Company Status” on page 14 of this proxy statement),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 As described elsewhere in this proxy statement, Mr. Michael Viola is not independent.</w:t>
      </w:r>
    </w:p>
    <w:p>
      <w:pPr>
        <w:spacing w:after="0" w:line="73" w:lineRule="exact"/>
        <w:rPr>
          <w:sz w:val="20"/>
          <w:szCs w:val="20"/>
          <w:color w:val="auto"/>
        </w:rPr>
      </w:pPr>
    </w:p>
    <w:p>
      <w:pPr>
        <w:ind w:left="220" w:right="820"/>
        <w:spacing w:after="0" w:line="287" w:lineRule="auto"/>
        <w:rPr>
          <w:sz w:val="20"/>
          <w:szCs w:val="20"/>
          <w:color w:val="auto"/>
        </w:rPr>
      </w:pPr>
      <w:r>
        <w:rPr>
          <w:rFonts w:ascii="Arial" w:cs="Arial" w:eastAsia="Arial" w:hAnsi="Arial"/>
          <w:sz w:val="18"/>
          <w:szCs w:val="18"/>
          <w:color w:val="auto"/>
        </w:rPr>
        <w:t>There were four regular meetings of the Nominating and Corporate Governance Committee held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57785</wp:posOffset>
            </wp:positionV>
            <wp:extent cx="5829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80"/>
            <w:col w:w="7300"/>
          </w:cols>
          <w:pgMar w:left="580" w:top="97" w:right="1319" w:bottom="1440" w:gutter="0" w:footer="0" w:header="0"/>
          <w:type w:val="continuous"/>
        </w:sectPr>
      </w:pPr>
    </w:p>
    <w:p>
      <w:pPr>
        <w:spacing w:after="0" w:line="18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Policy Regarding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75565</wp:posOffset>
            </wp:positionV>
            <wp:extent cx="58293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9" w:lineRule="exact"/>
        <w:rPr>
          <w:sz w:val="20"/>
          <w:szCs w:val="20"/>
          <w:color w:val="auto"/>
        </w:rPr>
      </w:pPr>
    </w:p>
    <w:p>
      <w:pPr>
        <w:ind w:left="760" w:right="140"/>
        <w:spacing w:after="0" w:line="264" w:lineRule="auto"/>
        <w:rPr>
          <w:sz w:val="20"/>
          <w:szCs w:val="20"/>
          <w:color w:val="auto"/>
        </w:rPr>
      </w:pPr>
      <w:r>
        <w:rPr>
          <w:rFonts w:ascii="Arial" w:cs="Arial" w:eastAsia="Arial" w:hAnsi="Arial"/>
          <w:sz w:val="18"/>
          <w:szCs w:val="18"/>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considers specific characteristics and expertise that it believes will enhance the diversity of knowledge, expertise, background and personal characteristics of our board of directors, which assessment is aided by a Board skills and experience matrix which is maintained by the Committee and disclosed above on page 3. Specifically, the Nominating and Corporate Governance Committee charter provides that, in performing its responsibilities for identifying, recruiting and recommending candidates to the board of directors, the Nominating and Corporate Governance Committee shall actively seek to include in each candidate search qualified candidates who reflect diverse backgrounds, including diversity of gender, race and ethnicity.</w:t>
      </w:r>
    </w:p>
    <w:p>
      <w:pPr>
        <w:spacing w:after="0" w:line="79" w:lineRule="exact"/>
        <w:rPr>
          <w:sz w:val="20"/>
          <w:szCs w:val="20"/>
          <w:color w:val="auto"/>
        </w:rPr>
      </w:pPr>
    </w:p>
    <w:p>
      <w:pPr>
        <w:ind w:left="760" w:right="80"/>
        <w:spacing w:after="0" w:line="264" w:lineRule="auto"/>
        <w:rPr>
          <w:sz w:val="20"/>
          <w:szCs w:val="20"/>
          <w:color w:val="auto"/>
        </w:rPr>
      </w:pPr>
      <w:r>
        <w:rPr>
          <w:rFonts w:ascii="Arial" w:cs="Arial" w:eastAsia="Arial" w:hAnsi="Arial"/>
          <w:sz w:val="18"/>
          <w:szCs w:val="18"/>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p>
    <w:p>
      <w:pPr>
        <w:spacing w:after="0" w:line="82" w:lineRule="exact"/>
        <w:rPr>
          <w:sz w:val="20"/>
          <w:szCs w:val="20"/>
          <w:color w:val="auto"/>
        </w:rPr>
      </w:pPr>
    </w:p>
    <w:p>
      <w:pPr>
        <w:ind w:left="760" w:right="620"/>
        <w:spacing w:after="0" w:line="303" w:lineRule="auto"/>
        <w:rPr>
          <w:sz w:val="20"/>
          <w:szCs w:val="20"/>
          <w:color w:val="auto"/>
        </w:rPr>
      </w:pPr>
      <w:r>
        <w:rPr>
          <w:rFonts w:ascii="Arial" w:cs="Arial" w:eastAsia="Arial" w:hAnsi="Arial"/>
          <w:sz w:val="18"/>
          <w:szCs w:val="18"/>
          <w:color w:val="auto"/>
        </w:rPr>
        <w:t>In its discretion, the Nominating and Corporate Governance Committee will also consider recommendations of qualified nominees by stockholders by evaluating the same factors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177165</wp:posOffset>
            </wp:positionV>
            <wp:extent cx="754380" cy="2311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120"/>
        <w:spacing w:after="0" w:line="259" w:lineRule="auto"/>
        <w:rPr>
          <w:sz w:val="20"/>
          <w:szCs w:val="20"/>
          <w:color w:val="auto"/>
        </w:rPr>
      </w:pPr>
      <w:r>
        <w:rPr>
          <w:rFonts w:ascii="Arial" w:cs="Arial" w:eastAsia="Arial" w:hAnsi="Arial"/>
          <w:sz w:val="18"/>
          <w:szCs w:val="18"/>
          <w:color w:val="auto"/>
        </w:rPr>
        <w:t>In addition to the board of directors’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75 of this proxy statement.</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1633 Broadway, New York, New York 10019.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100"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002453"/>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20"/>
        <w:spacing w:after="0" w:line="262" w:lineRule="auto"/>
        <w:rPr>
          <w:sz w:val="20"/>
          <w:szCs w:val="20"/>
          <w:color w:val="auto"/>
        </w:rPr>
      </w:pPr>
      <w:r>
        <w:rPr>
          <w:rFonts w:ascii="Arial" w:cs="Arial" w:eastAsia="Arial" w:hAnsi="Arial"/>
          <w:sz w:val="18"/>
          <w:szCs w:val="18"/>
          <w:color w:val="auto"/>
        </w:rPr>
        <w:t>During the year ended December 31, 2024, no member of the Compensation Committee was one of our officers or employees. None of our executive officers serves on the Compensation Committee or board of directors of any other company of which any of the members of our Compensation Committee or any of our directors is an executive officer.</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Code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380"/>
        <w:spacing w:after="0" w:line="268" w:lineRule="auto"/>
        <w:rPr>
          <w:sz w:val="20"/>
          <w:szCs w:val="20"/>
          <w:color w:val="auto"/>
        </w:rPr>
      </w:pPr>
      <w:r>
        <w:rPr>
          <w:rFonts w:ascii="Arial" w:cs="Arial" w:eastAsia="Arial" w:hAnsi="Arial"/>
          <w:sz w:val="18"/>
          <w:szCs w:val="18"/>
          <w:color w:val="auto"/>
        </w:rPr>
        <w:t>We have adopted a code of conduct and ethics applicable to our employees, officers and directors. A copy of that code is available on our corporate website at ir.virtu.com/corporate-governance/default.aspx. We expect that any amendments to the code, or any waivers of its requirements, will be disclosed on our website.</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We have adopted insider trading policies and procedures applicable to our directors, officers and employees, and their respective related persons, and have implemented processes (including a pre-clearance process) that we believe are reasonably designed to promote compliance with insider trading laws, rules and regulations, including applicable NASDAQ listing standards. Our policy prohibits engaging in transactions in securities of Virtu while in possession of material nonpublic information about Virtu also prohibits our employees from disclosing material, nonpublic information of Virtu to others who may trade on the basis of that information. Our policy requires that covered persons only transact in securities of Virtu during an open window period, subject to limited exceptions. The foregoing summary of our insider trading policies and procedures does not purport to be complete and is qualified by reference to our Insider Trading Policy, a copy of which can be found as an exhibit to our Annual Report on Form 10-K for the fiscal year ended December 31, 2024.</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Option Grant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60"/>
        <w:spacing w:after="0" w:line="259" w:lineRule="auto"/>
        <w:rPr>
          <w:sz w:val="20"/>
          <w:szCs w:val="20"/>
          <w:color w:val="auto"/>
        </w:rPr>
      </w:pPr>
      <w:r>
        <w:rPr>
          <w:rFonts w:ascii="Arial" w:cs="Arial" w:eastAsia="Arial" w:hAnsi="Arial"/>
          <w:sz w:val="17"/>
          <w:szCs w:val="17"/>
          <w:color w:val="auto"/>
        </w:rPr>
        <w:t>As a general matter, options and equivalent awards are not part of the Company’s ordinary course equity compensation strategy. Equity-based awards, namely RSUs and PSUs, are granted with a fair market value based on The Nasdaq Global Select Market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volume-weighted average closing price of shares of our Class A common stock on the three trading days preceding the grant date. The Compensation Committee approves equity-based grants to the NEOs. Other employee awards may be authorized by either the Compensation Committee or the CEO pursuant to delegated authority. The annual equity-based awards to the NEOs are typically reviewed and approved by the Compensation Committee in January. The grant date for the annual equity-based awards is typically close in time to the Compensation Committee meeting at which they are approved and during an open trading window under the Company’s Insider Trading Policy following the Company’s publication of its fourth quarter earnings. In certain cases, the Compensation Committee or the CEO approves the use of equity-based grants to new hires or</w:t>
      </w:r>
    </w:p>
    <w:p>
      <w:pPr>
        <w:spacing w:after="0" w:line="30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current NEOs as an incentive to attract or retain executive officers or other senior management. In the event of equity-based grants for new hires, the date of grant is typically close in time to the new employee’s date of hire. Virtu has no intention, plan or practice to select annual grant dates for equity-based awards in coordination with the release of material, non-public information or to time the release of such information because of award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7084695</wp:posOffset>
            </wp:positionV>
            <wp:extent cx="754380" cy="240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440"/>
        <w:spacing w:after="0"/>
        <w:rPr>
          <w:sz w:val="20"/>
          <w:szCs w:val="20"/>
          <w:color w:val="auto"/>
        </w:rPr>
      </w:pPr>
      <w:r>
        <w:rPr>
          <w:rFonts w:ascii="Arial" w:cs="Arial" w:eastAsia="Arial" w:hAnsi="Arial"/>
          <w:sz w:val="54"/>
          <w:szCs w:val="54"/>
          <w:color w:val="002453"/>
        </w:rPr>
        <w:t>Proposal 2: Advisory Vote to Approve Compensation of Named Executive Officers</w:t>
      </w:r>
    </w:p>
    <w:p>
      <w:pPr>
        <w:spacing w:after="0" w:line="65" w:lineRule="exact"/>
        <w:rPr>
          <w:sz w:val="20"/>
          <w:szCs w:val="20"/>
          <w:color w:val="auto"/>
        </w:rPr>
      </w:pPr>
    </w:p>
    <w:p>
      <w:pPr>
        <w:ind w:left="760" w:right="200"/>
        <w:spacing w:after="0" w:line="265" w:lineRule="auto"/>
        <w:rPr>
          <w:sz w:val="20"/>
          <w:szCs w:val="20"/>
          <w:color w:val="auto"/>
        </w:rPr>
      </w:pPr>
      <w:r>
        <w:rPr>
          <w:rFonts w:ascii="Arial" w:cs="Arial" w:eastAsia="Arial" w:hAnsi="Arial"/>
          <w:sz w:val="18"/>
          <w:szCs w:val="18"/>
          <w:color w:val="auto"/>
        </w:rPr>
        <w:t>In accordance with the requirements of Section 14A of the Exchange Act and Exchange Act Rule 14a-21(a), we are including in this proxy statement a separate resolution to approve, in a non-binding, stockholder advisory vote, the compensation paid to our named executive officers as disclosed in “Executive Compensation” below (the “</w:t>
      </w:r>
      <w:r>
        <w:rPr>
          <w:rFonts w:ascii="Arial" w:cs="Arial" w:eastAsia="Arial" w:hAnsi="Arial"/>
          <w:sz w:val="18"/>
          <w:szCs w:val="18"/>
          <w:b w:val="1"/>
          <w:bCs w:val="1"/>
          <w:color w:val="auto"/>
        </w:rPr>
        <w:t>say-on-pay vote</w:t>
      </w:r>
      <w:r>
        <w:rPr>
          <w:rFonts w:ascii="Arial" w:cs="Arial" w:eastAsia="Arial" w:hAnsi="Arial"/>
          <w:sz w:val="18"/>
          <w:szCs w:val="18"/>
          <w:color w:val="auto"/>
        </w:rPr>
        <w:t>”).</w:t>
      </w:r>
    </w:p>
    <w:p>
      <w:pPr>
        <w:spacing w:after="0" w:line="58"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While the results of the say-on-pay vote are non-binding and advisory in nature, our board of directors and Compensation Committee intend to consider the results of this vote in making future compensation decisions.</w:t>
      </w:r>
    </w:p>
    <w:p>
      <w:pPr>
        <w:spacing w:after="0" w:line="22" w:lineRule="exact"/>
        <w:rPr>
          <w:sz w:val="20"/>
          <w:szCs w:val="20"/>
          <w:color w:val="auto"/>
        </w:rPr>
      </w:pPr>
    </w:p>
    <w:p>
      <w:pPr>
        <w:ind w:left="760" w:right="200"/>
        <w:spacing w:after="0" w:line="262" w:lineRule="auto"/>
        <w:rPr>
          <w:sz w:val="20"/>
          <w:szCs w:val="20"/>
          <w:color w:val="auto"/>
        </w:rPr>
      </w:pPr>
      <w:r>
        <w:rPr>
          <w:rFonts w:ascii="Arial" w:cs="Arial" w:eastAsia="Arial" w:hAnsi="Arial"/>
          <w:sz w:val="18"/>
          <w:szCs w:val="18"/>
          <w:color w:val="auto"/>
        </w:rPr>
        <w:t>Our board of directors currently intends to conduct advisory votes on executive compensation every year, subject to any input from our shareholders as a result of the advisory vote on the frequency of future say-on-pay votes in proposal 3. As a result, our next advisory say-on-pay vote will take place at our annual meeting of stockholders next year.</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language of the resolution is as follows:</w:t>
      </w:r>
    </w:p>
    <w:p>
      <w:pPr>
        <w:spacing w:after="0" w:line="117" w:lineRule="exact"/>
        <w:rPr>
          <w:sz w:val="20"/>
          <w:szCs w:val="20"/>
          <w:color w:val="auto"/>
        </w:rPr>
      </w:pPr>
    </w:p>
    <w:p>
      <w:pPr>
        <w:ind w:left="760" w:right="180"/>
        <w:spacing w:after="0" w:line="262" w:lineRule="auto"/>
        <w:rPr>
          <w:sz w:val="20"/>
          <w:szCs w:val="20"/>
          <w:color w:val="auto"/>
        </w:rPr>
      </w:pPr>
      <w:r>
        <w:rPr>
          <w:rFonts w:ascii="Arial" w:cs="Arial" w:eastAsia="Arial" w:hAnsi="Arial"/>
          <w:sz w:val="18"/>
          <w:szCs w:val="18"/>
          <w:color w:val="auto"/>
        </w:rPr>
        <w:t>“RESOLVED, that the compensation paid to the Company’s named executive officers for the fiscal year ended December 31, 2024, as discussed pursuant to the compensation disclosure rules of the Securities and Exchange Commission, including the compensation discussion and analysis, the summary compensation table and the related compensation tables and narrative in this proxy statement, is hereby APPROVED, on an advisory basis.”</w:t>
      </w:r>
    </w:p>
    <w:p>
      <w:pPr>
        <w:spacing w:after="0" w:line="68"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In considering their vote, stockholders are encouraged to read the compensation discussion and analysis, the accompanying compensation tables, and the related narrative disclosure included in this proxy statement.</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60"/>
        <w:spacing w:after="0" w:line="262"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on an advisory basis, the compensation of our named executive officers. Broker non-votes have no effect on the proposal, and abstentions have the same effect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287020</wp:posOffset>
            </wp:positionV>
            <wp:extent cx="5829300" cy="480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the approval, on an advisory basis, of the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453"/>
                <w:w w:val="99"/>
              </w:rPr>
              <w:t>compensation of our named executive officers.</w:t>
            </w:r>
          </w:p>
        </w:tc>
        <w:tc>
          <w:tcPr>
            <w:tcW w:w="220" w:type="dxa"/>
            <w:vAlign w:val="bottom"/>
            <w:vMerge w:val="restart"/>
          </w:tcPr>
          <w:p>
            <w:pPr>
              <w:ind w:left="16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87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780"/>
        <w:spacing w:after="0" w:line="236" w:lineRule="auto"/>
        <w:rPr>
          <w:sz w:val="20"/>
          <w:szCs w:val="20"/>
          <w:color w:val="auto"/>
        </w:rPr>
      </w:pPr>
      <w:r>
        <w:rPr>
          <w:rFonts w:ascii="Arial" w:cs="Arial" w:eastAsia="Arial" w:hAnsi="Arial"/>
          <w:sz w:val="54"/>
          <w:szCs w:val="54"/>
          <w:color w:val="002453"/>
        </w:rPr>
        <w:t>Proposal 3: Advisory Vote on the Frequency of Future Advisory Votes on Compensation of Named Executive Officers</w:t>
      </w:r>
    </w:p>
    <w:p>
      <w:pPr>
        <w:spacing w:after="0" w:line="52" w:lineRule="exact"/>
        <w:rPr>
          <w:sz w:val="20"/>
          <w:szCs w:val="20"/>
          <w:color w:val="auto"/>
        </w:rPr>
      </w:pPr>
    </w:p>
    <w:p>
      <w:pPr>
        <w:ind w:left="760" w:right="220"/>
        <w:spacing w:after="0" w:line="256" w:lineRule="auto"/>
        <w:rPr>
          <w:sz w:val="20"/>
          <w:szCs w:val="20"/>
          <w:color w:val="auto"/>
        </w:rPr>
      </w:pPr>
      <w:r>
        <w:rPr>
          <w:rFonts w:ascii="Arial" w:cs="Arial" w:eastAsia="Arial" w:hAnsi="Arial"/>
          <w:sz w:val="18"/>
          <w:szCs w:val="18"/>
          <w:color w:val="auto"/>
        </w:rPr>
        <w:t>In accordance with the requirements of Section 14A of the Exchange Act and the related rules of the SEC, we are submitting for stockholder consideration a separate resolution to determine, in a non-binding advisory vote, whether say-on-pay votes should occur every one, two or three years. This “say-on-frequency” vote must be submitted to stockholders at least once every six years. We last held an advisory vote on the frequency of the executive compensation advisory vote during our 2019 Annual Meeting of Stockholders. During this meeting, the board recommended, and a majority of stockholders voted for, a frequency of one year. As a result, for the past six years, the board has determined to hold an annual advisory vote on executive compensation.</w:t>
      </w:r>
    </w:p>
    <w:p>
      <w:pPr>
        <w:spacing w:after="0" w:line="75" w:lineRule="exact"/>
        <w:rPr>
          <w:sz w:val="20"/>
          <w:szCs w:val="20"/>
          <w:color w:val="auto"/>
        </w:rPr>
      </w:pPr>
    </w:p>
    <w:p>
      <w:pPr>
        <w:ind w:left="760" w:right="140"/>
        <w:spacing w:after="0" w:line="318" w:lineRule="auto"/>
        <w:rPr>
          <w:sz w:val="20"/>
          <w:szCs w:val="20"/>
          <w:color w:val="auto"/>
        </w:rPr>
      </w:pPr>
      <w:r>
        <w:rPr>
          <w:rFonts w:ascii="Arial" w:cs="Arial" w:eastAsia="Arial" w:hAnsi="Arial"/>
          <w:sz w:val="17"/>
          <w:szCs w:val="17"/>
          <w:color w:val="auto"/>
        </w:rPr>
        <w:t>After careful consideration, our board of directors continues to believe that a frequency of every year for the advisory vote on executive compensation is the optimal interval for conducting and responding to a “say-on-pay” vote.</w:t>
      </w:r>
    </w:p>
    <w:p>
      <w:pPr>
        <w:spacing w:after="0" w:line="22" w:lineRule="exact"/>
        <w:rPr>
          <w:sz w:val="20"/>
          <w:szCs w:val="20"/>
          <w:color w:val="auto"/>
        </w:rPr>
      </w:pPr>
    </w:p>
    <w:p>
      <w:pPr>
        <w:ind w:left="760" w:right="140"/>
        <w:spacing w:after="0" w:line="318" w:lineRule="auto"/>
        <w:rPr>
          <w:sz w:val="20"/>
          <w:szCs w:val="20"/>
          <w:color w:val="auto"/>
        </w:rPr>
      </w:pPr>
      <w:r>
        <w:rPr>
          <w:rFonts w:ascii="Arial" w:cs="Arial" w:eastAsia="Arial" w:hAnsi="Arial"/>
          <w:sz w:val="17"/>
          <w:szCs w:val="17"/>
          <w:color w:val="auto"/>
        </w:rPr>
        <w:t>While the results of the vote are non-binding and advisory in nature, the board of directors intends to carefully consider the results of this vote when considering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257175</wp:posOffset>
            </wp:positionV>
            <wp:extent cx="5829300" cy="514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93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28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on an advisory basis, the approval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280" w:type="dxa"/>
            <w:vAlign w:val="bottom"/>
          </w:tcPr>
          <w:p>
            <w:pPr>
              <w:jc w:val="center"/>
              <w:spacing w:after="0"/>
              <w:rPr>
                <w:sz w:val="20"/>
                <w:szCs w:val="20"/>
                <w:color w:val="auto"/>
              </w:rPr>
            </w:pPr>
            <w:r>
              <w:rPr>
                <w:rFonts w:ascii="Arial" w:cs="Arial" w:eastAsia="Arial" w:hAnsi="Arial"/>
                <w:sz w:val="18"/>
                <w:szCs w:val="18"/>
                <w:b w:val="1"/>
                <w:bCs w:val="1"/>
                <w:color w:val="002453"/>
                <w:w w:val="99"/>
              </w:rPr>
              <w:t>of the option of “1 YEAR” for holding a future advisory say-on-pay vote.</w:t>
            </w:r>
          </w:p>
        </w:tc>
        <w:tc>
          <w:tcPr>
            <w:tcW w:w="440" w:type="dxa"/>
            <w:vAlign w:val="bottom"/>
            <w:vMerge w:val="restart"/>
          </w:tcPr>
          <w:p>
            <w:pPr>
              <w:ind w:left="38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122"/>
        </w:trPr>
        <w:tc>
          <w:tcPr>
            <w:tcW w:w="400" w:type="dxa"/>
            <w:vAlign w:val="bottom"/>
            <w:vMerge w:val="continue"/>
          </w:tcPr>
          <w:p>
            <w:pPr>
              <w:spacing w:after="0"/>
              <w:rPr>
                <w:sz w:val="10"/>
                <w:szCs w:val="10"/>
                <w:color w:val="auto"/>
              </w:rPr>
            </w:pPr>
          </w:p>
        </w:tc>
        <w:tc>
          <w:tcPr>
            <w:tcW w:w="82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3618230</wp:posOffset>
            </wp:positionV>
            <wp:extent cx="75438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Executive Compensation</w:t>
      </w:r>
    </w:p>
    <w:p>
      <w:pPr>
        <w:spacing w:after="0" w:line="214" w:lineRule="exact"/>
        <w:rPr>
          <w:sz w:val="20"/>
          <w:szCs w:val="20"/>
          <w:color w:val="auto"/>
        </w:rPr>
      </w:pPr>
    </w:p>
    <w:p>
      <w:pPr>
        <w:ind w:left="2680"/>
        <w:spacing w:after="0"/>
        <w:rPr>
          <w:sz w:val="20"/>
          <w:szCs w:val="20"/>
          <w:color w:val="auto"/>
        </w:rPr>
      </w:pPr>
      <w:r>
        <w:rPr>
          <w:rFonts w:ascii="Arial" w:cs="Arial" w:eastAsia="Arial" w:hAnsi="Arial"/>
          <w:sz w:val="29"/>
          <w:szCs w:val="29"/>
          <w:color w:val="00C08A"/>
        </w:rPr>
        <w:t>COMPENSATION COMMITTEE REPORT</w:t>
      </w:r>
    </w:p>
    <w:p>
      <w:pPr>
        <w:spacing w:after="0" w:line="112"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following “Compensation Discussion and Analysis.” Based on this review and discussion, the Compensation Committee recommended to the board of directors that the section entitled “Compensation Discussion and Analysis” be included in this proxy statement for the Annual Meeting and incorporated by reference into the Corporation’s annual report on Form 10-K for the fiscal year ended December 31, 2024.</w:t>
      </w:r>
    </w:p>
    <w:p>
      <w:pPr>
        <w:spacing w:after="0" w:line="73" w:lineRule="exact"/>
        <w:rPr>
          <w:sz w:val="20"/>
          <w:szCs w:val="20"/>
          <w:color w:val="auto"/>
        </w:rPr>
      </w:pPr>
    </w:p>
    <w:p>
      <w:pPr>
        <w:ind w:left="7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Christopher C. Quick</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Urban</w:t>
      </w:r>
    </w:p>
    <w:p>
      <w:pPr>
        <w:spacing w:after="0" w:line="194" w:lineRule="exact"/>
        <w:rPr>
          <w:sz w:val="20"/>
          <w:szCs w:val="20"/>
          <w:color w:val="auto"/>
        </w:rPr>
      </w:pPr>
    </w:p>
    <w:p>
      <w:pPr>
        <w:ind w:left="2220"/>
        <w:spacing w:after="0"/>
        <w:rPr>
          <w:sz w:val="20"/>
          <w:szCs w:val="20"/>
          <w:color w:val="auto"/>
        </w:rPr>
      </w:pPr>
      <w:r>
        <w:rPr>
          <w:rFonts w:ascii="Arial" w:cs="Arial" w:eastAsia="Arial" w:hAnsi="Arial"/>
          <w:sz w:val="29"/>
          <w:szCs w:val="29"/>
          <w:color w:val="00C08A"/>
        </w:rPr>
        <w:t>COMPENSATION DISCUSSION AND ANALYSIS</w:t>
      </w:r>
    </w:p>
    <w:p>
      <w:pPr>
        <w:spacing w:after="0" w:line="112" w:lineRule="exact"/>
        <w:rPr>
          <w:sz w:val="20"/>
          <w:szCs w:val="20"/>
          <w:color w:val="auto"/>
        </w:rPr>
      </w:pPr>
    </w:p>
    <w:p>
      <w:pPr>
        <w:ind w:left="760" w:right="260"/>
        <w:spacing w:after="0" w:line="255" w:lineRule="auto"/>
        <w:rPr>
          <w:sz w:val="20"/>
          <w:szCs w:val="20"/>
          <w:color w:val="auto"/>
        </w:rPr>
      </w:pPr>
      <w:r>
        <w:rPr>
          <w:rFonts w:ascii="Arial" w:cs="Arial" w:eastAsia="Arial" w:hAnsi="Arial"/>
          <w:sz w:val="18"/>
          <w:szCs w:val="18"/>
          <w:color w:val="auto"/>
        </w:rPr>
        <w:t>This compensation discussion and analysis discusses our executive compensation programs for our named executive officers in respect of our fiscal year ended December 31, 2024, which we refer to herein as “fiscal year 2024,” and includes a discussion of our compensation objectives and philosophy and the material elements of compensation earned by, awarded, or paid, to our named executive officers in fiscal year 2024.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2024 and describe our intended compensation approach.</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named executive officers for fiscal year 2024 were as follows:</w:t>
      </w:r>
    </w:p>
    <w:p>
      <w:pPr>
        <w:spacing w:after="0" w:line="124" w:lineRule="exact"/>
        <w:rPr>
          <w:sz w:val="20"/>
          <w:szCs w:val="20"/>
          <w:color w:val="auto"/>
        </w:rPr>
      </w:pPr>
    </w:p>
    <w:tbl>
      <w:tblPr>
        <w:tblLayout w:type="fixed"/>
        <w:tblInd w:w="1400" w:type="dxa"/>
        <w:tblCellMar>
          <w:top w:w="0" w:type="dxa"/>
          <w:left w:w="0" w:type="dxa"/>
          <w:bottom w:w="0" w:type="dxa"/>
          <w:right w:w="0" w:type="dxa"/>
        </w:tblCellMar>
      </w:tblPr>
      <w:tr>
        <w:trPr>
          <w:trHeight w:val="181"/>
        </w:trPr>
        <w:tc>
          <w:tcPr>
            <w:tcW w:w="1980" w:type="dxa"/>
            <w:vAlign w:val="bottom"/>
            <w:tcBorders>
              <w:top w:val="single" w:sz="8" w:color="00C08A"/>
            </w:tcBorders>
          </w:tcPr>
          <w:p>
            <w:pPr>
              <w:ind w:left="20"/>
              <w:spacing w:after="0" w:line="18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00C08A"/>
            </w:tcBorders>
          </w:tcPr>
          <w:p>
            <w:pPr>
              <w:ind w:left="740"/>
              <w:spacing w:after="0" w:line="181" w:lineRule="exact"/>
              <w:rPr>
                <w:sz w:val="20"/>
                <w:szCs w:val="20"/>
                <w:color w:val="auto"/>
              </w:rPr>
            </w:pPr>
            <w:r>
              <w:rPr>
                <w:rFonts w:ascii="Arial" w:cs="Arial" w:eastAsia="Arial" w:hAnsi="Arial"/>
                <w:sz w:val="18"/>
                <w:szCs w:val="18"/>
                <w:color w:val="auto"/>
              </w:rPr>
              <w:t>​ ​</w:t>
            </w:r>
          </w:p>
        </w:tc>
        <w:tc>
          <w:tcPr>
            <w:tcW w:w="4980" w:type="dxa"/>
            <w:vAlign w:val="bottom"/>
            <w:tcBorders>
              <w:top w:val="single" w:sz="8" w:color="00C08A"/>
            </w:tcBorders>
            <w:vMerge w:val="restart"/>
          </w:tcPr>
          <w:p>
            <w:pPr>
              <w:ind w:left="20"/>
              <w:spacing w:after="0"/>
              <w:rPr>
                <w:sz w:val="20"/>
                <w:szCs w:val="20"/>
                <w:color w:val="auto"/>
              </w:rPr>
            </w:pPr>
            <w:r>
              <w:rPr>
                <w:rFonts w:ascii="Arial" w:cs="Arial" w:eastAsia="Arial" w:hAnsi="Arial"/>
                <w:sz w:val="18"/>
                <w:szCs w:val="18"/>
                <w:color w:val="auto"/>
              </w:rPr>
              <w:t>Chief Executive Officer</w:t>
            </w:r>
          </w:p>
        </w:tc>
        <w:tc>
          <w:tcPr>
            <w:tcW w:w="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980" w:type="dxa"/>
            <w:vAlign w:val="bottom"/>
            <w:tcBorders>
              <w:bottom w:val="single" w:sz="8" w:color="00C08A"/>
            </w:tcBorders>
          </w:tcPr>
          <w:p>
            <w:pPr>
              <w:ind w:left="20"/>
              <w:spacing w:after="0" w:line="122" w:lineRule="exact"/>
              <w:rPr>
                <w:sz w:val="20"/>
                <w:szCs w:val="20"/>
                <w:color w:val="auto"/>
              </w:rPr>
            </w:pPr>
            <w:r>
              <w:rPr>
                <w:rFonts w:ascii="Arial" w:cs="Arial" w:eastAsia="Arial" w:hAnsi="Arial"/>
                <w:sz w:val="13"/>
                <w:szCs w:val="13"/>
                <w:color w:val="auto"/>
              </w:rPr>
              <w:t>Douglas A. Cifu</w:t>
            </w:r>
          </w:p>
        </w:tc>
        <w:tc>
          <w:tcPr>
            <w:tcW w:w="920" w:type="dxa"/>
            <w:vAlign w:val="bottom"/>
            <w:tcBorders>
              <w:bottom w:val="single" w:sz="8" w:color="00C08A"/>
            </w:tcBorders>
          </w:tcPr>
          <w:p>
            <w:pPr>
              <w:spacing w:after="0"/>
              <w:rPr>
                <w:sz w:val="10"/>
                <w:szCs w:val="10"/>
                <w:color w:val="auto"/>
              </w:rPr>
            </w:pPr>
          </w:p>
        </w:tc>
        <w:tc>
          <w:tcPr>
            <w:tcW w:w="4980" w:type="dxa"/>
            <w:vAlign w:val="bottom"/>
            <w:tcBorders>
              <w:bottom w:val="single" w:sz="8" w:color="00C08A"/>
            </w:tcBorders>
            <w:vMerge w:val="continue"/>
          </w:tcPr>
          <w:p>
            <w:pPr>
              <w:spacing w:after="0"/>
              <w:rPr>
                <w:sz w:val="10"/>
                <w:szCs w:val="10"/>
                <w:color w:val="auto"/>
              </w:rPr>
            </w:pPr>
          </w:p>
        </w:tc>
        <w:tc>
          <w:tcPr>
            <w:tcW w:w="20" w:type="dxa"/>
            <w:vAlign w:val="bottom"/>
            <w:tcBorders>
              <w:bottom w:val="single" w:sz="8" w:color="00C08A"/>
            </w:tcBorders>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42" w:lineRule="exact"/>
              <w:rPr>
                <w:sz w:val="20"/>
                <w:szCs w:val="20"/>
                <w:color w:val="auto"/>
              </w:rPr>
            </w:pPr>
            <w:r>
              <w:rPr>
                <w:rFonts w:ascii="Arial" w:cs="Arial" w:eastAsia="Arial" w:hAnsi="Arial"/>
                <w:sz w:val="16"/>
                <w:szCs w:val="16"/>
                <w:color w:val="auto"/>
              </w:rPr>
              <w:t>​ ​</w:t>
            </w:r>
          </w:p>
        </w:tc>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Joseph Molluso</w:t>
            </w:r>
          </w:p>
        </w:tc>
        <w:tc>
          <w:tcPr>
            <w:tcW w:w="920" w:type="dxa"/>
            <w:vAlign w:val="bottom"/>
            <w:tcBorders>
              <w:bottom w:val="single" w:sz="8" w:color="00C08A"/>
            </w:tcBorders>
          </w:tcPr>
          <w:p>
            <w:pPr>
              <w:spacing w:after="0"/>
              <w:rPr>
                <w:sz w:val="9"/>
                <w:szCs w:val="9"/>
                <w:color w:val="auto"/>
              </w:rPr>
            </w:pPr>
          </w:p>
        </w:tc>
        <w:tc>
          <w:tcPr>
            <w:tcW w:w="4980" w:type="dxa"/>
            <w:vAlign w:val="bottom"/>
            <w:tcBorders>
              <w:bottom w:val="single" w:sz="8" w:color="00C08A"/>
            </w:tcBorders>
            <w:vMerge w:val="continue"/>
          </w:tcPr>
          <w:p>
            <w:pPr>
              <w:spacing w:after="0"/>
              <w:rPr>
                <w:sz w:val="9"/>
                <w:szCs w:val="9"/>
                <w:color w:val="auto"/>
              </w:rPr>
            </w:pPr>
          </w:p>
        </w:tc>
        <w:tc>
          <w:tcPr>
            <w:tcW w:w="20" w:type="dxa"/>
            <w:vAlign w:val="bottom"/>
            <w:tcBorders>
              <w:bottom w:val="single" w:sz="8" w:color="00C08A"/>
            </w:tcBorders>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42" w:lineRule="exact"/>
              <w:rPr>
                <w:sz w:val="20"/>
                <w:szCs w:val="20"/>
                <w:color w:val="auto"/>
              </w:rPr>
            </w:pPr>
            <w:r>
              <w:rPr>
                <w:rFonts w:ascii="Arial" w:cs="Arial" w:eastAsia="Arial" w:hAnsi="Arial"/>
                <w:sz w:val="16"/>
                <w:szCs w:val="16"/>
                <w:color w:val="auto"/>
              </w:rPr>
              <w:t>​ ​</w:t>
            </w:r>
          </w:p>
        </w:tc>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Brett Fairclough</w:t>
            </w:r>
          </w:p>
        </w:tc>
        <w:tc>
          <w:tcPr>
            <w:tcW w:w="920" w:type="dxa"/>
            <w:vAlign w:val="bottom"/>
            <w:tcBorders>
              <w:bottom w:val="single" w:sz="8" w:color="00C08A"/>
            </w:tcBorders>
          </w:tcPr>
          <w:p>
            <w:pPr>
              <w:spacing w:after="0"/>
              <w:rPr>
                <w:sz w:val="9"/>
                <w:szCs w:val="9"/>
                <w:color w:val="auto"/>
              </w:rPr>
            </w:pPr>
          </w:p>
        </w:tc>
        <w:tc>
          <w:tcPr>
            <w:tcW w:w="4980" w:type="dxa"/>
            <w:vAlign w:val="bottom"/>
            <w:tcBorders>
              <w:bottom w:val="single" w:sz="8" w:color="00C08A"/>
            </w:tcBorders>
            <w:vMerge w:val="continue"/>
          </w:tcPr>
          <w:p>
            <w:pPr>
              <w:spacing w:after="0"/>
              <w:rPr>
                <w:sz w:val="9"/>
                <w:szCs w:val="9"/>
                <w:color w:val="auto"/>
              </w:rPr>
            </w:pPr>
          </w:p>
        </w:tc>
        <w:tc>
          <w:tcPr>
            <w:tcW w:w="20" w:type="dxa"/>
            <w:vAlign w:val="bottom"/>
            <w:tcBorders>
              <w:bottom w:val="single" w:sz="8" w:color="00C08A"/>
            </w:tcBorders>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42" w:lineRule="exact"/>
              <w:rPr>
                <w:sz w:val="20"/>
                <w:szCs w:val="20"/>
                <w:color w:val="auto"/>
              </w:rPr>
            </w:pPr>
            <w:r>
              <w:rPr>
                <w:rFonts w:ascii="Arial" w:cs="Arial" w:eastAsia="Arial" w:hAnsi="Arial"/>
                <w:sz w:val="16"/>
                <w:szCs w:val="16"/>
                <w:color w:val="auto"/>
              </w:rPr>
              <w:t>​ ​</w:t>
            </w:r>
          </w:p>
        </w:tc>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Executive Vice President, Markets</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Stephen Cavoli</w:t>
            </w:r>
          </w:p>
        </w:tc>
        <w:tc>
          <w:tcPr>
            <w:tcW w:w="920" w:type="dxa"/>
            <w:vAlign w:val="bottom"/>
            <w:tcBorders>
              <w:bottom w:val="single" w:sz="8" w:color="00C08A"/>
            </w:tcBorders>
          </w:tcPr>
          <w:p>
            <w:pPr>
              <w:spacing w:after="0"/>
              <w:rPr>
                <w:sz w:val="9"/>
                <w:szCs w:val="9"/>
                <w:color w:val="auto"/>
              </w:rPr>
            </w:pPr>
          </w:p>
        </w:tc>
        <w:tc>
          <w:tcPr>
            <w:tcW w:w="4980" w:type="dxa"/>
            <w:vAlign w:val="bottom"/>
            <w:tcBorders>
              <w:bottom w:val="single" w:sz="8" w:color="00C08A"/>
            </w:tcBorders>
            <w:vMerge w:val="continue"/>
          </w:tcPr>
          <w:p>
            <w:pPr>
              <w:spacing w:after="0"/>
              <w:rPr>
                <w:sz w:val="9"/>
                <w:szCs w:val="9"/>
                <w:color w:val="auto"/>
              </w:rPr>
            </w:pPr>
          </w:p>
        </w:tc>
        <w:tc>
          <w:tcPr>
            <w:tcW w:w="20" w:type="dxa"/>
            <w:vAlign w:val="bottom"/>
            <w:tcBorders>
              <w:bottom w:val="single" w:sz="8" w:color="00C08A"/>
            </w:tcBorders>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42" w:lineRule="exact"/>
              <w:rPr>
                <w:sz w:val="20"/>
                <w:szCs w:val="20"/>
                <w:color w:val="auto"/>
              </w:rPr>
            </w:pPr>
            <w:r>
              <w:rPr>
                <w:rFonts w:ascii="Arial" w:cs="Arial" w:eastAsia="Arial" w:hAnsi="Arial"/>
                <w:sz w:val="16"/>
                <w:szCs w:val="16"/>
                <w:color w:val="auto"/>
              </w:rPr>
              <w:t>​ ​</w:t>
            </w:r>
          </w:p>
        </w:tc>
        <w:tc>
          <w:tcPr>
            <w:tcW w:w="4980" w:type="dxa"/>
            <w:vAlign w:val="bottom"/>
          </w:tcPr>
          <w:p>
            <w:pPr>
              <w:ind w:left="410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980" w:type="dxa"/>
            <w:vAlign w:val="bottom"/>
            <w:tcBorders>
              <w:bottom w:val="single" w:sz="8" w:color="00C08A"/>
            </w:tcBorders>
          </w:tcPr>
          <w:p>
            <w:pPr>
              <w:ind w:left="20"/>
              <w:spacing w:after="0" w:line="116" w:lineRule="exact"/>
              <w:rPr>
                <w:sz w:val="20"/>
                <w:szCs w:val="20"/>
                <w:color w:val="auto"/>
              </w:rPr>
            </w:pPr>
            <w:r>
              <w:rPr>
                <w:rFonts w:ascii="Arial" w:cs="Arial" w:eastAsia="Arial" w:hAnsi="Arial"/>
                <w:sz w:val="13"/>
                <w:szCs w:val="13"/>
                <w:color w:val="auto"/>
              </w:rPr>
              <w:t>Cindy Lee</w:t>
            </w:r>
          </w:p>
        </w:tc>
        <w:tc>
          <w:tcPr>
            <w:tcW w:w="920" w:type="dxa"/>
            <w:vAlign w:val="bottom"/>
            <w:tcBorders>
              <w:bottom w:val="single" w:sz="8" w:color="00C08A"/>
            </w:tcBorders>
          </w:tcPr>
          <w:p>
            <w:pPr>
              <w:spacing w:after="0"/>
              <w:rPr>
                <w:sz w:val="11"/>
                <w:szCs w:val="11"/>
                <w:color w:val="auto"/>
              </w:rPr>
            </w:pPr>
          </w:p>
        </w:tc>
        <w:tc>
          <w:tcPr>
            <w:tcW w:w="4980" w:type="dxa"/>
            <w:vAlign w:val="bottom"/>
            <w:tcBorders>
              <w:bottom w:val="single" w:sz="8" w:color="00C08A"/>
            </w:tcBorders>
          </w:tcPr>
          <w:p>
            <w:pPr>
              <w:ind w:left="20"/>
              <w:spacing w:after="0" w:line="116" w:lineRule="exact"/>
              <w:rPr>
                <w:sz w:val="20"/>
                <w:szCs w:val="20"/>
                <w:color w:val="auto"/>
              </w:rPr>
            </w:pPr>
            <w:r>
              <w:rPr>
                <w:rFonts w:ascii="Arial" w:cs="Arial" w:eastAsia="Arial" w:hAnsi="Arial"/>
                <w:sz w:val="13"/>
                <w:szCs w:val="13"/>
                <w:color w:val="auto"/>
              </w:rPr>
              <w:t>Executive Vice President and Chief Financial Officer</w:t>
            </w:r>
          </w:p>
        </w:tc>
        <w:tc>
          <w:tcPr>
            <w:tcW w:w="20" w:type="dxa"/>
            <w:vAlign w:val="bottom"/>
            <w:tcBorders>
              <w:bottom w:val="single" w:sz="8" w:color="00C08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920" w:type="dxa"/>
            <w:vAlign w:val="bottom"/>
          </w:tcPr>
          <w:p>
            <w:pPr>
              <w:ind w:left="740"/>
              <w:spacing w:after="0" w:line="149" w:lineRule="exact"/>
              <w:rPr>
                <w:sz w:val="20"/>
                <w:szCs w:val="20"/>
                <w:color w:val="auto"/>
              </w:rPr>
            </w:pPr>
            <w:r>
              <w:rPr>
                <w:rFonts w:ascii="Arial" w:cs="Arial" w:eastAsia="Arial" w:hAnsi="Arial"/>
                <w:sz w:val="17"/>
                <w:szCs w:val="17"/>
                <w:color w:val="auto"/>
              </w:rPr>
              <w:t>​ ​</w:t>
            </w:r>
          </w:p>
        </w:tc>
        <w:tc>
          <w:tcPr>
            <w:tcW w:w="4980" w:type="dxa"/>
            <w:vAlign w:val="bottom"/>
          </w:tcPr>
          <w:p>
            <w:pPr>
              <w:ind w:left="474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2"/>
                <w:szCs w:val="12"/>
                <w:color w:val="auto"/>
              </w:rPr>
            </w:pPr>
          </w:p>
        </w:tc>
        <w:tc>
          <w:tcPr>
            <w:tcW w:w="4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5"/>
        </w:trPr>
        <w:tc>
          <w:tcPr>
            <w:tcW w:w="1980" w:type="dxa"/>
            <w:vAlign w:val="bottom"/>
            <w:tcBorders>
              <w:bottom w:val="single" w:sz="8" w:color="00C08A"/>
            </w:tcBorders>
          </w:tcPr>
          <w:p>
            <w:pPr>
              <w:ind w:left="20"/>
              <w:spacing w:after="0" w:line="135" w:lineRule="exact"/>
              <w:rPr>
                <w:sz w:val="20"/>
                <w:szCs w:val="20"/>
                <w:color w:val="auto"/>
              </w:rPr>
            </w:pPr>
            <w:r>
              <w:rPr>
                <w:rFonts w:ascii="Arial" w:cs="Arial" w:eastAsia="Arial" w:hAnsi="Arial"/>
                <w:sz w:val="15"/>
                <w:szCs w:val="15"/>
                <w:color w:val="auto"/>
              </w:rPr>
              <w:t>Sean P. Galvin</w:t>
            </w:r>
          </w:p>
        </w:tc>
        <w:tc>
          <w:tcPr>
            <w:tcW w:w="920" w:type="dxa"/>
            <w:vAlign w:val="bottom"/>
            <w:tcBorders>
              <w:bottom w:val="single" w:sz="8" w:color="00C08A"/>
            </w:tcBorders>
          </w:tcPr>
          <w:p>
            <w:pPr>
              <w:spacing w:after="0"/>
              <w:rPr>
                <w:sz w:val="11"/>
                <w:szCs w:val="11"/>
                <w:color w:val="auto"/>
              </w:rPr>
            </w:pPr>
          </w:p>
        </w:tc>
        <w:tc>
          <w:tcPr>
            <w:tcW w:w="4980" w:type="dxa"/>
            <w:vAlign w:val="bottom"/>
            <w:tcBorders>
              <w:bottom w:val="single" w:sz="8" w:color="00C08A"/>
            </w:tcBorders>
          </w:tcPr>
          <w:p>
            <w:pPr>
              <w:ind w:left="20"/>
              <w:spacing w:after="0" w:line="135" w:lineRule="exact"/>
              <w:rPr>
                <w:sz w:val="20"/>
                <w:szCs w:val="20"/>
                <w:color w:val="auto"/>
              </w:rPr>
            </w:pPr>
            <w:r>
              <w:rPr>
                <w:rFonts w:ascii="Arial" w:cs="Arial" w:eastAsia="Arial" w:hAnsi="Arial"/>
                <w:sz w:val="15"/>
                <w:szCs w:val="15"/>
                <w:color w:val="auto"/>
              </w:rPr>
              <w:t>Former Executive Vice President and Chief Financial Officer</w:t>
            </w:r>
          </w:p>
        </w:tc>
        <w:tc>
          <w:tcPr>
            <w:tcW w:w="20" w:type="dxa"/>
            <w:vAlign w:val="bottom"/>
            <w:tcBorders>
              <w:bottom w:val="single" w:sz="8" w:color="00C08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80" w:hanging="218"/>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Ms. Lee was promoted and appointed Executive Vice President and Chief Financial Officer effective August 1, 2024.</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Galvin transitioned into a non-executive senior role effective August 1, 2024 and served in this capacity until April 11, 2025.</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9"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in our industry.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stockholder value, such as the reward of equity compensation which ties a portion of our executive compensation to the performance of our common stock. We believe an appropriate mix of an executive officer’s pay should be variable and performance based in order to promote achievement of our short- and long-term strategic objectives.</w:t>
      </w:r>
    </w:p>
    <w:p>
      <w:pPr>
        <w:spacing w:after="0" w:line="200" w:lineRule="exact"/>
        <w:rPr>
          <w:sz w:val="20"/>
          <w:szCs w:val="20"/>
          <w:color w:val="auto"/>
        </w:rPr>
      </w:pPr>
    </w:p>
    <w:p>
      <w:pPr>
        <w:spacing w:after="0" w:line="32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color w:val="auto"/>
        </w:rPr>
        <w:t>The overall level of total compensation for our named executive officers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considering external market conditions and internal equity issues. With these principles in mind, we structure our compensation program as competitive total pay packages that we believe enable us to attract, retain and motivate executives with the skill and knowledge that we require, and to ensure the stability of our management team, which is vital to the success of our business.</w:t>
      </w:r>
    </w:p>
    <w:p>
      <w:pPr>
        <w:spacing w:after="0" w:line="77" w:lineRule="exact"/>
        <w:rPr>
          <w:sz w:val="20"/>
          <w:szCs w:val="20"/>
          <w:color w:val="auto"/>
        </w:rPr>
      </w:pPr>
    </w:p>
    <w:p>
      <w:pPr>
        <w:ind w:left="760" w:right="840"/>
        <w:spacing w:after="0" w:line="287" w:lineRule="auto"/>
        <w:rPr>
          <w:sz w:val="20"/>
          <w:szCs w:val="20"/>
          <w:color w:val="auto"/>
        </w:rPr>
      </w:pPr>
      <w:r>
        <w:rPr>
          <w:rFonts w:ascii="Arial" w:cs="Arial" w:eastAsia="Arial" w:hAnsi="Arial"/>
          <w:sz w:val="18"/>
          <w:szCs w:val="18"/>
          <w:color w:val="auto"/>
        </w:rPr>
        <w:t>Key features of our compensation policies and practices that aim to drive performance and align our named executive officers with stockholder interests are highlighted below:</w:t>
      </w:r>
    </w:p>
    <w:p>
      <w:pPr>
        <w:spacing w:after="0" w:line="45" w:lineRule="exact"/>
        <w:rPr>
          <w:sz w:val="20"/>
          <w:szCs w:val="20"/>
          <w:color w:val="auto"/>
        </w:rPr>
      </w:pPr>
    </w:p>
    <w:p>
      <w:pPr>
        <w:jc w:val="both"/>
        <w:ind w:left="1200" w:right="580" w:hanging="222"/>
        <w:spacing w:after="0" w:line="268"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Pay for performance</w:t>
      </w:r>
      <w:r>
        <w:rPr>
          <w:rFonts w:ascii="Arial" w:cs="Arial" w:eastAsia="Arial" w:hAnsi="Arial"/>
          <w:sz w:val="18"/>
          <w:szCs w:val="18"/>
          <w:color w:val="auto"/>
        </w:rPr>
        <w:t>. A portion of the compensation program for named executive officers is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our executives to remain focused on both our short- and long-term operational success and to reward outstanding individual performance.</w:t>
      </w:r>
    </w:p>
    <w:p>
      <w:pPr>
        <w:spacing w:after="0" w:line="62" w:lineRule="exact"/>
        <w:rPr>
          <w:rFonts w:ascii="Arial" w:cs="Arial" w:eastAsia="Arial" w:hAnsi="Arial"/>
          <w:sz w:val="18"/>
          <w:szCs w:val="18"/>
          <w:color w:val="002453"/>
        </w:rPr>
      </w:pPr>
    </w:p>
    <w:p>
      <w:pPr>
        <w:ind w:left="1200" w:right="400" w:hanging="222"/>
        <w:spacing w:after="0" w:line="268"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Align incentives with stockholders</w:t>
      </w:r>
      <w:r>
        <w:rPr>
          <w:rFonts w:ascii="Arial" w:cs="Arial" w:eastAsia="Arial" w:hAnsi="Arial"/>
          <w:sz w:val="18"/>
          <w:szCs w:val="18"/>
          <w:color w:val="auto"/>
        </w:rPr>
        <w:t>. Our executive compensation program is designed to focus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on our key strategic, financial and operational goals that will translate into long term value creation for our stockholders.</w:t>
      </w:r>
    </w:p>
    <w:p>
      <w:pPr>
        <w:spacing w:after="0" w:line="62" w:lineRule="exact"/>
        <w:rPr>
          <w:rFonts w:ascii="Arial" w:cs="Arial" w:eastAsia="Arial" w:hAnsi="Arial"/>
          <w:sz w:val="18"/>
          <w:szCs w:val="18"/>
          <w:color w:val="002453"/>
        </w:rPr>
      </w:pPr>
    </w:p>
    <w:p>
      <w:pPr>
        <w:ind w:left="1200" w:right="260" w:hanging="222"/>
        <w:spacing w:after="0" w:line="287"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Limited perquisites</w:t>
      </w:r>
      <w:r>
        <w:rPr>
          <w:rFonts w:ascii="Arial" w:cs="Arial" w:eastAsia="Arial" w:hAnsi="Arial"/>
          <w:sz w:val="18"/>
          <w:szCs w:val="18"/>
          <w:color w:val="auto"/>
        </w:rPr>
        <w:t>. We provide limited, reasonable perquisites that we believe are consistent with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philosophy.</w:t>
      </w:r>
    </w:p>
    <w:p>
      <w:pPr>
        <w:spacing w:after="0" w:line="44" w:lineRule="exact"/>
        <w:rPr>
          <w:rFonts w:ascii="Arial" w:cs="Arial" w:eastAsia="Arial" w:hAnsi="Arial"/>
          <w:sz w:val="18"/>
          <w:szCs w:val="18"/>
          <w:color w:val="002453"/>
        </w:rPr>
      </w:pPr>
    </w:p>
    <w:p>
      <w:pPr>
        <w:ind w:left="1200" w:right="440" w:hanging="222"/>
        <w:spacing w:after="0" w:line="287"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No IRC Section 280G or 409A tax gross ups</w:t>
      </w:r>
      <w:r>
        <w:rPr>
          <w:rFonts w:ascii="Arial" w:cs="Arial" w:eastAsia="Arial" w:hAnsi="Arial"/>
          <w:sz w:val="18"/>
          <w:szCs w:val="18"/>
          <w:color w:val="auto"/>
        </w:rPr>
        <w:t>. We do not provide tax gross ups under our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or deferred compensation programs.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The Process of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The Compensation Committee participates in an annual evaluation of the performance of our Chief Executive Officer and subsequently determines and approves the Chief Executive Officer’s compensation level based on this evaluation. In determining the long-term incentive component of Chief Executive Officer compensation, the Compensation Committee will also consider, among such other factors, the Company’s performance, stockholder returns, the value of similar incentive awards to chief executive officers at comparable companies and the awards given to the Chief Executive Officer in past years. Our Chief Executive Officer reviews each named executive officer’s compensation package, other than his own, annually in light of the performance of each named executive officer. The conclusions reached and recommendations made based on these reviews, including those with respect to salary adjustments and annual award amounts, are then presented to the Compensation Committee and/or our board of directors for review and approval.</w:t>
      </w:r>
    </w:p>
    <w:p>
      <w:pPr>
        <w:spacing w:after="0" w:line="77" w:lineRule="exact"/>
        <w:rPr>
          <w:sz w:val="20"/>
          <w:szCs w:val="20"/>
          <w:color w:val="auto"/>
        </w:rPr>
      </w:pPr>
    </w:p>
    <w:p>
      <w:pPr>
        <w:ind w:left="760" w:right="140"/>
        <w:spacing w:after="0" w:line="268" w:lineRule="auto"/>
        <w:rPr>
          <w:sz w:val="20"/>
          <w:szCs w:val="20"/>
          <w:color w:val="auto"/>
        </w:rPr>
      </w:pPr>
      <w:r>
        <w:rPr>
          <w:rFonts w:ascii="Arial" w:cs="Arial" w:eastAsia="Arial" w:hAnsi="Arial"/>
          <w:sz w:val="18"/>
          <w:szCs w:val="18"/>
          <w:color w:val="auto"/>
        </w:rPr>
        <w:t>Specifically, the Compensation Committee determines and approves the compensation packages of the Chief Executive Officer and approves the compensation packages of each other named executive officer, giving significant deference to the views and recommendations of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2220595</wp:posOffset>
            </wp:positionV>
            <wp:extent cx="75438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196" w:lineRule="exact"/>
        <w:rPr>
          <w:sz w:val="20"/>
          <w:szCs w:val="20"/>
          <w:color w:val="auto"/>
        </w:rPr>
      </w:pPr>
    </w:p>
    <w:p>
      <w:pPr>
        <w:ind w:left="760" w:right="680"/>
        <w:spacing w:after="0" w:line="268" w:lineRule="auto"/>
        <w:rPr>
          <w:sz w:val="20"/>
          <w:szCs w:val="20"/>
          <w:color w:val="auto"/>
        </w:rPr>
      </w:pPr>
      <w:r>
        <w:rPr>
          <w:rFonts w:ascii="Arial" w:cs="Arial" w:eastAsia="Arial" w:hAnsi="Arial"/>
          <w:sz w:val="29"/>
          <w:szCs w:val="29"/>
          <w:b w:val="1"/>
          <w:bCs w:val="1"/>
          <w:color w:val="002453"/>
        </w:rPr>
        <w:t>Elements of Compensation for 2024 and Why We Chose to Pay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8" w:lineRule="exact"/>
        <w:rPr>
          <w:sz w:val="20"/>
          <w:szCs w:val="20"/>
          <w:color w:val="auto"/>
        </w:rPr>
      </w:pPr>
    </w:p>
    <w:p>
      <w:pPr>
        <w:ind w:left="760" w:right="240"/>
        <w:spacing w:after="0" w:line="275" w:lineRule="auto"/>
        <w:rPr>
          <w:sz w:val="20"/>
          <w:szCs w:val="20"/>
          <w:color w:val="auto"/>
        </w:rPr>
      </w:pPr>
      <w:r>
        <w:rPr>
          <w:rFonts w:ascii="Arial" w:cs="Arial" w:eastAsia="Arial" w:hAnsi="Arial"/>
          <w:sz w:val="17"/>
          <w:szCs w:val="17"/>
          <w:color w:val="auto"/>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p>
    <w:p>
      <w:pPr>
        <w:spacing w:after="0" w:line="80"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0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Compensation Element</w:t>
            </w:r>
          </w:p>
        </w:tc>
        <w:tc>
          <w:tcPr>
            <w:tcW w:w="300" w:type="dxa"/>
            <w:vAlign w:val="bottom"/>
            <w:tcBorders>
              <w:bottom w:val="single" w:sz="8" w:color="00C08A"/>
            </w:tcBorders>
          </w:tcPr>
          <w:p>
            <w:pPr>
              <w:ind w:left="140"/>
              <w:spacing w:after="0"/>
              <w:rPr>
                <w:sz w:val="20"/>
                <w:szCs w:val="20"/>
                <w:color w:val="auto"/>
              </w:rPr>
            </w:pPr>
            <w:r>
              <w:rPr>
                <w:rFonts w:ascii="Arial" w:cs="Arial" w:eastAsia="Arial" w:hAnsi="Arial"/>
                <w:sz w:val="14"/>
                <w:szCs w:val="14"/>
                <w:b w:val="1"/>
                <w:bCs w:val="1"/>
                <w:color w:val="002453"/>
              </w:rPr>
              <w:t>​ ​</w:t>
            </w:r>
          </w:p>
        </w:tc>
        <w:tc>
          <w:tcPr>
            <w:tcW w:w="3240" w:type="dxa"/>
            <w:vAlign w:val="bottom"/>
            <w:tcBorders>
              <w:bottom w:val="single" w:sz="8" w:color="00C08A"/>
            </w:tcBorders>
          </w:tcPr>
          <w:p>
            <w:pPr>
              <w:ind w:left="1060"/>
              <w:spacing w:after="0"/>
              <w:rPr>
                <w:sz w:val="20"/>
                <w:szCs w:val="20"/>
                <w:color w:val="auto"/>
              </w:rPr>
            </w:pPr>
            <w:r>
              <w:rPr>
                <w:rFonts w:ascii="Arial" w:cs="Arial" w:eastAsia="Arial" w:hAnsi="Arial"/>
                <w:sz w:val="14"/>
                <w:szCs w:val="14"/>
                <w:b w:val="1"/>
                <w:bCs w:val="1"/>
                <w:color w:val="002453"/>
              </w:rPr>
              <w:t>Brief Description</w:t>
            </w:r>
          </w:p>
        </w:tc>
        <w:tc>
          <w:tcPr>
            <w:tcW w:w="26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002453"/>
              </w:rPr>
              <w:t>​ ​</w:t>
            </w:r>
          </w:p>
        </w:tc>
        <w:tc>
          <w:tcPr>
            <w:tcW w:w="3300" w:type="dxa"/>
            <w:vAlign w:val="bottom"/>
            <w:tcBorders>
              <w:bottom w:val="single" w:sz="8" w:color="00C08A"/>
            </w:tcBorders>
          </w:tcPr>
          <w:p>
            <w:pPr>
              <w:ind w:left="1300"/>
              <w:spacing w:after="0"/>
              <w:rPr>
                <w:sz w:val="20"/>
                <w:szCs w:val="20"/>
                <w:color w:val="auto"/>
              </w:rPr>
            </w:pPr>
            <w:r>
              <w:rPr>
                <w:rFonts w:ascii="Arial" w:cs="Arial" w:eastAsia="Arial" w:hAnsi="Arial"/>
                <w:sz w:val="14"/>
                <w:szCs w:val="14"/>
                <w:b w:val="1"/>
                <w:bCs w:val="1"/>
                <w:color w:val="002453"/>
              </w:rPr>
              <w:t>Objectives</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Base Salary</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Fixed compensation.</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Provide a competitive, fixed level of cash</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compensation to attract and retain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talented and skilled executives.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3540" w:type="dxa"/>
            <w:vAlign w:val="bottom"/>
            <w:tcBorders>
              <w:bottom w:val="single" w:sz="8" w:color="00C08A"/>
            </w:tcBorders>
            <w:gridSpan w:val="2"/>
          </w:tcPr>
          <w:p>
            <w:pPr>
              <w:spacing w:after="0"/>
              <w:rPr>
                <w:sz w:val="2"/>
                <w:szCs w:val="2"/>
                <w:color w:val="auto"/>
              </w:rPr>
            </w:pPr>
          </w:p>
        </w:tc>
        <w:tc>
          <w:tcPr>
            <w:tcW w:w="3560" w:type="dxa"/>
            <w:vAlign w:val="bottom"/>
            <w:tcBorders>
              <w:bottom w:val="single" w:sz="8" w:color="00C08A"/>
            </w:tcBorders>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Cash Bonus</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Variable, performance-based cash</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Retain and motivate executives to</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9"/>
              </w:rPr>
              <w:t>compensation earned based on financial</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achieve or exceed financial goals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and individual performance.</w:t>
            </w: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Company objectives.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3540" w:type="dxa"/>
            <w:vAlign w:val="bottom"/>
            <w:tcBorders>
              <w:bottom w:val="single" w:sz="8" w:color="00C08A"/>
            </w:tcBorders>
            <w:gridSpan w:val="2"/>
          </w:tcPr>
          <w:p>
            <w:pPr>
              <w:spacing w:after="0"/>
              <w:rPr>
                <w:sz w:val="2"/>
                <w:szCs w:val="2"/>
                <w:color w:val="auto"/>
              </w:rPr>
            </w:pPr>
          </w:p>
        </w:tc>
        <w:tc>
          <w:tcPr>
            <w:tcW w:w="3560" w:type="dxa"/>
            <w:vAlign w:val="bottom"/>
            <w:tcBorders>
              <w:bottom w:val="single" w:sz="8" w:color="00C08A"/>
            </w:tcBorders>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Equity Awards</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Equity and equity-based compensation</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The mix of equity and equity-based</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that is subject to vesting based on</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9"/>
              </w:rPr>
              <w:t>awards with time-based vesting assists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 continued employment, and (ii) for</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retention of key talent while also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certain named executive officers,</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rewarding executives for exceptional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achievement of pre-established financial</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performance.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and operational goals.</w:t>
            </w: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7100" w:type="dxa"/>
            <w:vAlign w:val="bottom"/>
            <w:tcBorders>
              <w:bottom w:val="single" w:sz="8" w:color="00C08A"/>
            </w:tcBorders>
            <w:gridSpan w:val="4"/>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Employee Benefits and</w:t>
            </w:r>
          </w:p>
        </w:tc>
        <w:tc>
          <w:tcPr>
            <w:tcW w:w="7100" w:type="dxa"/>
            <w:vAlign w:val="bottom"/>
            <w:gridSpan w:val="4"/>
          </w:tcPr>
          <w:p>
            <w:pPr>
              <w:ind w:left="80"/>
              <w:spacing w:after="0"/>
              <w:rPr>
                <w:sz w:val="20"/>
                <w:szCs w:val="20"/>
                <w:color w:val="auto"/>
              </w:rPr>
            </w:pPr>
            <w:r>
              <w:rPr>
                <w:rFonts w:ascii="Arial" w:cs="Arial" w:eastAsia="Arial" w:hAnsi="Arial"/>
                <w:sz w:val="18"/>
                <w:szCs w:val="18"/>
                <w:color w:val="auto"/>
              </w:rPr>
              <w:t>​ ​ Participation in all broad-based employee ​ ​ Aid in retention of key executives in a</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Perquisites</w:t>
            </w: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health and welfare programs and</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highly competitive market for talent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retirement plans.</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providing an overall competitive benefits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package.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300" w:type="dxa"/>
            <w:vAlign w:val="bottom"/>
            <w:tcBorders>
              <w:bottom w:val="single" w:sz="8" w:color="00C08A"/>
            </w:tcBorders>
          </w:tcPr>
          <w:p>
            <w:pPr>
              <w:spacing w:after="0"/>
              <w:rPr>
                <w:sz w:val="2"/>
                <w:szCs w:val="2"/>
                <w:color w:val="auto"/>
              </w:rPr>
            </w:pPr>
          </w:p>
        </w:tc>
        <w:tc>
          <w:tcPr>
            <w:tcW w:w="3240" w:type="dxa"/>
            <w:vAlign w:val="bottom"/>
            <w:tcBorders>
              <w:bottom w:val="single" w:sz="8" w:color="00C08A"/>
            </w:tcBorders>
          </w:tcPr>
          <w:p>
            <w:pPr>
              <w:spacing w:after="0"/>
              <w:rPr>
                <w:sz w:val="2"/>
                <w:szCs w:val="2"/>
                <w:color w:val="auto"/>
              </w:rPr>
            </w:pPr>
          </w:p>
        </w:tc>
        <w:tc>
          <w:tcPr>
            <w:tcW w:w="260" w:type="dxa"/>
            <w:vAlign w:val="bottom"/>
            <w:tcBorders>
              <w:bottom w:val="single" w:sz="8" w:color="00C08A"/>
            </w:tcBorders>
          </w:tcPr>
          <w:p>
            <w:pPr>
              <w:spacing w:after="0"/>
              <w:rPr>
                <w:sz w:val="2"/>
                <w:szCs w:val="2"/>
                <w:color w:val="auto"/>
              </w:rPr>
            </w:pPr>
          </w:p>
        </w:tc>
        <w:tc>
          <w:tcPr>
            <w:tcW w:w="3300" w:type="dxa"/>
            <w:vAlign w:val="bottom"/>
            <w:tcBorders>
              <w:bottom w:val="single" w:sz="8" w:color="00C08A"/>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Consistent with and in promotion of the compensation program objectives detailed above, a significant percentage of total compensation is allocated to performance incentives in order to motivate the named executive officers to achieve the business goals set by the Company and reward the officers for achieving such goals. There is no pre-established policy or target for allocating compensation between short- or long-term compensation, between cash and non-cash compensation, among different forms of non-cash compensation, or among named executive officers, though historically variable bonus compensation to executive officers has been paid in range of 50% cash and 50% equity compensation. Rather, we look at a named executive officer’s goals and responsibilities to determine the appropriate level and mix of incentive compensation.</w:t>
      </w:r>
    </w:p>
    <w:p>
      <w:pPr>
        <w:spacing w:after="0" w:line="71" w:lineRule="exact"/>
        <w:rPr>
          <w:sz w:val="20"/>
          <w:szCs w:val="20"/>
          <w:color w:val="auto"/>
        </w:rPr>
      </w:pPr>
    </w:p>
    <w:p>
      <w:pPr>
        <w:ind w:left="760" w:right="100"/>
        <w:spacing w:after="0" w:line="261"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We provide our named executive officers with a base salary to compensate them for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rendered during the fiscal year. This process also enables us to attract and retain an appropriate caliber of talent for the position and to provide a base level of monthly income that is not subject to any performance risk. We conduct a review of base salaries annually, and during such review we generally consider each named executive officer’s past performance, the scope of the role and responsibilities of the named executive officer within the Company and the performance of the Company as a whole. We also review the named executive officer’s compensation relative to that of our other executive officers and to the market for executive officers of similar expertise and experience. The base salaries for Messrs. Cifu, Cavoli, Fairclough, Molluso and Galvin were not increased during fiscal year 2024. The base salary for Ms. Lee was increased to $400,000 in connection with her promotion and appointment to CFO.</w:t>
      </w:r>
    </w:p>
    <w:p>
      <w:pPr>
        <w:spacing w:after="0" w:line="58"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b w:val="1"/>
          <w:bCs w:val="1"/>
          <w:i w:val="1"/>
          <w:iCs w:val="1"/>
          <w:color w:val="auto"/>
        </w:rPr>
        <w:t>Variable Incentive Compensation</w:t>
      </w:r>
      <w:r>
        <w:rPr>
          <w:rFonts w:ascii="Arial" w:cs="Arial" w:eastAsia="Arial" w:hAnsi="Arial"/>
          <w:sz w:val="18"/>
          <w:szCs w:val="18"/>
          <w:color w:val="auto"/>
        </w:rPr>
        <w:t>. We award variable incentive compensation to reward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achievements with a time horizon of one year or less. We provide this opportunity to attract and retain an appropriate caliber of talent for the position and to motivate executives to achieve our annual business goals. We review variable incentive compensation awards annually to determine award payments for the last completed fiscal year, as well as to establish award opportunities for the current fiscal year.</w:t>
      </w:r>
    </w:p>
    <w:p>
      <w:pPr>
        <w:spacing w:after="0" w:line="82" w:lineRule="exact"/>
        <w:rPr>
          <w:sz w:val="20"/>
          <w:szCs w:val="20"/>
          <w:color w:val="auto"/>
        </w:rPr>
      </w:pPr>
    </w:p>
    <w:p>
      <w:pPr>
        <w:ind w:left="760" w:right="380"/>
        <w:spacing w:after="0" w:line="262" w:lineRule="auto"/>
        <w:rPr>
          <w:sz w:val="20"/>
          <w:szCs w:val="20"/>
          <w:color w:val="auto"/>
        </w:rPr>
      </w:pPr>
      <w:r>
        <w:rPr>
          <w:rFonts w:ascii="Arial" w:cs="Arial" w:eastAsia="Arial" w:hAnsi="Arial"/>
          <w:sz w:val="17"/>
          <w:szCs w:val="17"/>
          <w:color w:val="auto"/>
        </w:rPr>
        <w:t>To determine the actual amount of variable incentive compensation for each named executive officer, the Compensation Committee reviews quantitative and qualitative criteria. With respect to both types of criteria, attainment of any specific level of performance or specific qualitative goal does not determine the amount of the bonus, except as discussed below regarding Messrs. Cifu’s, Molluso’s, Fairclough’s and Cavoli’s annual bonus. Other than as set forth below with respect to Messrs. Cifu’s, Molluso’s Fairclough’s and Cavoli’s annual bonus, no pre-determined single performance metric is disproportionately weighted in making the determination of a named</w:t>
      </w:r>
    </w:p>
    <w:p>
      <w:pPr>
        <w:spacing w:after="0" w:line="27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760"/>
        <w:spacing w:after="0" w:line="276" w:lineRule="auto"/>
        <w:rPr>
          <w:sz w:val="20"/>
          <w:szCs w:val="20"/>
          <w:color w:val="auto"/>
        </w:rPr>
      </w:pPr>
      <w:r>
        <w:rPr>
          <w:rFonts w:ascii="Arial" w:cs="Arial" w:eastAsia="Arial" w:hAnsi="Arial"/>
          <w:sz w:val="18"/>
          <w:szCs w:val="18"/>
          <w:color w:val="auto"/>
        </w:rPr>
        <w:t>executive officer’s variable incentive compensation payout, which provides discretion to our Compensation Committee to adjust the actual amount paid in respect of variable incentive compensation to reward financial performance and individual performance in the context of our growing and dynamic business.</w:t>
      </w:r>
    </w:p>
    <w:p>
      <w:pPr>
        <w:spacing w:after="0" w:line="69" w:lineRule="exact"/>
        <w:rPr>
          <w:sz w:val="20"/>
          <w:szCs w:val="20"/>
          <w:color w:val="auto"/>
        </w:rPr>
      </w:pPr>
    </w:p>
    <w:p>
      <w:pPr>
        <w:ind w:left="760" w:right="100"/>
        <w:spacing w:after="0" w:line="278" w:lineRule="auto"/>
        <w:rPr>
          <w:sz w:val="20"/>
          <w:szCs w:val="20"/>
          <w:color w:val="auto"/>
        </w:rPr>
      </w:pPr>
      <w:r>
        <w:rPr>
          <w:rFonts w:ascii="Arial" w:cs="Arial" w:eastAsia="Arial" w:hAnsi="Arial"/>
          <w:sz w:val="17"/>
          <w:szCs w:val="17"/>
          <w:color w:val="auto"/>
        </w:rPr>
        <w:t>The amount of the variable incentive compensation award can be paid in a mixture of cash and/or equity. For each of Messrs. Cifu, Molluso, Fairclough and Cavoli, 50% of his 2024 variable incentive compensation was paid in cash and 50% was paid in equity-based compensation, with 30% paid in the form of restricted stock units that vest ratably over a three-year period and 20% paid in fully vested common stock, subject to any voluntary deferrals (see “Employee Benefits and Perquisites” on page 28 of this proxy statement). For Mr. Galvin, 67% of his 2024 variable incentive compensation was paid in cash and 33% was paid in equity-based compensation, with 20% paid in the form of restricted stock units that vest ratably over a three-year period and 13% paid in fully vested common stock. For</w:t>
      </w:r>
    </w:p>
    <w:p>
      <w:pPr>
        <w:spacing w:after="0" w:line="4" w:lineRule="exact"/>
        <w:rPr>
          <w:sz w:val="20"/>
          <w:szCs w:val="20"/>
          <w:color w:val="auto"/>
        </w:rPr>
      </w:pPr>
    </w:p>
    <w:p>
      <w:pPr>
        <w:ind w:left="760" w:right="120"/>
        <w:spacing w:after="0" w:line="265" w:lineRule="auto"/>
        <w:rPr>
          <w:sz w:val="20"/>
          <w:szCs w:val="20"/>
          <w:color w:val="auto"/>
        </w:rPr>
      </w:pPr>
      <w:r>
        <w:rPr>
          <w:rFonts w:ascii="Arial" w:cs="Arial" w:eastAsia="Arial" w:hAnsi="Arial"/>
          <w:sz w:val="18"/>
          <w:szCs w:val="18"/>
          <w:color w:val="auto"/>
        </w:rPr>
        <w:t>Ms. Lee, 67% of her 2024 variable incentive compensation was paid in cash and 33% was paid in equity-based compensation, with 20% paid in the form of restricted stock units that vest ratably over a three-year period and 13% paid in fully vested common stock. We use awards of fully vested common stock and restricted stock units as a long-term incentive vehicle because it aligns the interests of executives with those of stockholders, supports a pay for performance culture, fosters employee stock ownership, and focuses the management team on increasing value for the stockholders and on the Company’s long-term performance.</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year 2024, in accordance with the terms of his employment agreement, Mr. Cifu was eligible to earn an</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annual bonus with a target bonus opportunity equal to $3,000,000 and a maximum bonus opportunity equal to</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$6,000,000. 50% of the annual bonus was based on the achievement of select quantitative goals as determined by</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and the Compensation Committee and 50% of the annual bonus was based on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achievement of qualitative goals and metrics, including debt and capital structure management, select strategic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initiatives, technology integration goals and people, recruiting and talent-related measures. For fiscal year 2024, the</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threshold to earn the target performance-based portion of the annual bonus was achievement of budgeted daily</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adjusted net trading income (“ANTI”), cumulative ANTI, adjusted EBITDA and cumulative EBITDA with a multi-year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lookback. These target amounts were established based on the market environment during the year as measured by</w:t>
      </w:r>
    </w:p>
    <w:p>
      <w:pPr>
        <w:spacing w:after="0" w:line="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market volumes, implied and realized volatility and certain other market and opportunity metrics. Based on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actual market environment applicable to the Company’s businesses, target daily ANTI was approximately $6.1 million</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target adjusted EBITDA was approximately $846 million. As a result of the Company’s actual performance of</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$6.4 million of daily ANTI and $912 million of adjusted EBITDA, Mr. Cifu earned 100% (i.e., $3,000,000) of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maximum performance-based portion of his annual bonus. Additionally, based on the achievement of the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aforementioned qualitative goals, the Compensation Committee determined that Mr. Cifu earned 100% (i.e.,</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$3,000,000) of the maximum qualitative portion of his annual bonus.</w:t>
      </w:r>
    </w:p>
    <w:p>
      <w:pPr>
        <w:spacing w:after="0" w:line="113" w:lineRule="exact"/>
        <w:rPr>
          <w:sz w:val="20"/>
          <w:szCs w:val="20"/>
          <w:color w:val="auto"/>
        </w:rPr>
      </w:pPr>
    </w:p>
    <w:p>
      <w:pPr>
        <w:ind w:left="760" w:right="80"/>
        <w:spacing w:after="0" w:line="263" w:lineRule="auto"/>
        <w:rPr>
          <w:sz w:val="20"/>
          <w:szCs w:val="20"/>
          <w:color w:val="auto"/>
        </w:rPr>
      </w:pPr>
      <w:r>
        <w:rPr>
          <w:rFonts w:ascii="Arial" w:cs="Arial" w:eastAsia="Arial" w:hAnsi="Arial"/>
          <w:sz w:val="18"/>
          <w:szCs w:val="18"/>
          <w:color w:val="auto"/>
        </w:rPr>
        <w:t>The amounts paid to Messrs. Molluso, Fairclough, and Cavoli were also determined in accordance with the terms of their respective employment agreements, which provide for a target bonus opportunity equal to $2,000,000 and a maximum bonus opportunity equal to $3,000,000. 50% of the annual bonus was based on the achievement of select quantitative goals based on the Company’s ANTI and adjusted EBITDA as compared to budgeted amounts in fiscal year 2024 and 50% of the annual bonus was based on the achievement of qualitative goals and metrics determined with the Chief Executive Officer. For fiscal year 2024, the threshold to earn the target performance-based portion of the annual bonus was achievement of budgeted ANTI, specified growth initiatives and adjusted EBITDA. These target amounts were established as ranges dependent on the market environment during the year as measured by total market volumes, implied and realized volatility and certain other market and opportunity metrics. Based on the actual market environment applicable to the Company’s businesses, target daily ANTI was approximately $6.1 million and target adjusted EBITDA was approximately $846 million. As a result of the Company’s actual performance of 6.4 million of daily ANTI and $912 million of adjusted EBITDA, each of Messrs. Molluso, Fairclough and Cavoli earned 100% (i.e., $1,500,000) of the maximum performance-based portion of his annual bonus, and the CEO together with the Compensation Committee, determined that each executive earned 100% (i.e., $1,500,000) of the maximum qualitative portion of his annual bonus.</w:t>
      </w:r>
    </w:p>
    <w:p>
      <w:pPr>
        <w:spacing w:after="0" w:line="81" w:lineRule="exact"/>
        <w:rPr>
          <w:sz w:val="20"/>
          <w:szCs w:val="20"/>
          <w:color w:val="auto"/>
        </w:rPr>
      </w:pPr>
    </w:p>
    <w:p>
      <w:pPr>
        <w:ind w:left="760" w:right="280"/>
        <w:spacing w:after="0" w:line="318" w:lineRule="auto"/>
        <w:rPr>
          <w:sz w:val="20"/>
          <w:szCs w:val="20"/>
          <w:color w:val="auto"/>
        </w:rPr>
      </w:pPr>
      <w:r>
        <w:rPr>
          <w:rFonts w:ascii="Arial" w:cs="Arial" w:eastAsia="Arial" w:hAnsi="Arial"/>
          <w:sz w:val="17"/>
          <w:szCs w:val="17"/>
          <w:color w:val="auto"/>
        </w:rPr>
        <w:t>Ms. Lee’s and Mr. Galvin’s variable incentive compensation was determined by the Chief Executive Officer and the Compensation Committee based on the Company’s financial performance as well as various other objectives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411480</wp:posOffset>
            </wp:positionV>
            <wp:extent cx="754380" cy="2311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420"/>
        <w:spacing w:after="0" w:line="271" w:lineRule="auto"/>
        <w:rPr>
          <w:sz w:val="20"/>
          <w:szCs w:val="20"/>
          <w:color w:val="auto"/>
        </w:rPr>
      </w:pPr>
      <w:r>
        <w:rPr>
          <w:rFonts w:ascii="Arial" w:cs="Arial" w:eastAsia="Arial" w:hAnsi="Arial"/>
          <w:sz w:val="18"/>
          <w:szCs w:val="18"/>
          <w:color w:val="auto"/>
        </w:rPr>
        <w:t>metrics. Accordingly, for fiscal year 2024, the amount of variable incentive compensation form of payments to our named executive officers is described in the table below:</w:t>
      </w:r>
    </w:p>
    <w:p>
      <w:pPr>
        <w:spacing w:after="0" w:line="7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002453"/>
                <w:w w:val="99"/>
              </w:rPr>
              <w:t>Total 2024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002453"/>
              </w:rPr>
              <w:t>Restricted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002453"/>
              </w:rPr>
              <w:t>Variable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002453"/>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180" w:type="dxa"/>
            <w:vAlign w:val="bottom"/>
          </w:tcPr>
          <w:p>
            <w:pPr>
              <w:ind w:left="20"/>
              <w:spacing w:after="0"/>
              <w:rPr>
                <w:sz w:val="20"/>
                <w:szCs w:val="20"/>
                <w:color w:val="auto"/>
              </w:rPr>
            </w:pPr>
            <w:r>
              <w:rPr>
                <w:rFonts w:ascii="Arial" w:cs="Arial" w:eastAsia="Arial" w:hAnsi="Arial"/>
                <w:sz w:val="14"/>
                <w:szCs w:val="14"/>
                <w:b w:val="1"/>
                <w:bCs w:val="1"/>
                <w:color w:val="002453"/>
              </w:rPr>
              <w:t>Name</w:t>
            </w:r>
          </w:p>
        </w:tc>
        <w:tc>
          <w:tcPr>
            <w:tcW w:w="1300" w:type="dxa"/>
            <w:vAlign w:val="bottom"/>
          </w:tcPr>
          <w:p>
            <w:pPr>
              <w:ind w:left="940"/>
              <w:spacing w:after="0"/>
              <w:rPr>
                <w:sz w:val="20"/>
                <w:szCs w:val="20"/>
                <w:color w:val="auto"/>
              </w:rPr>
            </w:pPr>
            <w:r>
              <w:rPr>
                <w:rFonts w:ascii="Arial" w:cs="Arial" w:eastAsia="Arial" w:hAnsi="Arial"/>
                <w:sz w:val="14"/>
                <w:szCs w:val="14"/>
                <w:b w:val="1"/>
                <w:bCs w:val="1"/>
                <w:color w:val="002453"/>
              </w:rPr>
              <w:t>​ ​</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002453"/>
              </w:rPr>
              <w:t>Cash</w:t>
            </w:r>
          </w:p>
        </w:tc>
        <w:tc>
          <w:tcPr>
            <w:tcW w:w="3840" w:type="dxa"/>
            <w:vAlign w:val="bottom"/>
            <w:gridSpan w:val="7"/>
          </w:tcPr>
          <w:p>
            <w:pPr>
              <w:jc w:val="right"/>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Stock Units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Common Stock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Compensation</w:t>
            </w:r>
            <w:r>
              <w:rPr>
                <w:rFonts w:ascii="Arial" w:cs="Arial" w:eastAsia="Arial" w:hAnsi="Arial"/>
                <w:sz w:val="23"/>
                <w:szCs w:val="23"/>
                <w:b w:val="1"/>
                <w:bCs w:val="1"/>
                <w:color w:val="002453"/>
                <w:vertAlign w:val="subscript"/>
              </w:rPr>
              <w:t>​</w:t>
            </w:r>
          </w:p>
        </w:tc>
        <w:tc>
          <w:tcPr>
            <w:tcW w:w="0" w:type="dxa"/>
            <w:vAlign w:val="bottom"/>
          </w:tcPr>
          <w:p>
            <w:pPr>
              <w:spacing w:after="0"/>
              <w:rPr>
                <w:sz w:val="1"/>
                <w:szCs w:val="1"/>
                <w:color w:val="auto"/>
              </w:rPr>
            </w:pPr>
          </w:p>
        </w:tc>
      </w:tr>
      <w:tr>
        <w:trPr>
          <w:trHeight w:val="264"/>
        </w:trPr>
        <w:tc>
          <w:tcPr>
            <w:tcW w:w="2180" w:type="dxa"/>
            <w:vAlign w:val="bottom"/>
            <w:tcBorders>
              <w:top w:val="single" w:sz="8" w:color="00C08A"/>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Douglas A. Cifu</w:t>
            </w:r>
          </w:p>
        </w:tc>
        <w:tc>
          <w:tcPr>
            <w:tcW w:w="3420" w:type="dxa"/>
            <w:vAlign w:val="bottom"/>
            <w:tcBorders>
              <w:top w:val="single" w:sz="8" w:color="00C08A"/>
              <w:bottom w:val="single" w:sz="8" w:color="00C08A"/>
            </w:tcBorders>
            <w:gridSpan w:val="4"/>
            <w:shd w:val="clear" w:color="auto" w:fill="CCEEFF"/>
          </w:tcPr>
          <w:p>
            <w:pPr>
              <w:ind w:left="94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$3,000,000</w:t>
            </w:r>
            <w:r>
              <w:rPr>
                <w:rFonts w:ascii="Arial" w:cs="Arial" w:eastAsia="Arial" w:hAnsi="Arial"/>
                <w:sz w:val="30"/>
                <w:szCs w:val="30"/>
                <w:color w:val="auto"/>
                <w:vertAlign w:val="subscript"/>
              </w:rPr>
              <w:t>​​ ​​</w:t>
            </w:r>
            <w:r>
              <w:rPr>
                <w:rFonts w:ascii="Arial" w:cs="Arial" w:eastAsia="Arial" w:hAnsi="Arial"/>
                <w:sz w:val="16"/>
                <w:szCs w:val="16"/>
                <w:color w:val="auto"/>
              </w:rPr>
              <w:t>$1,800,000</w:t>
            </w:r>
            <w:r>
              <w:rPr>
                <w:rFonts w:ascii="Arial" w:cs="Arial" w:eastAsia="Arial" w:hAnsi="Arial"/>
                <w:sz w:val="30"/>
                <w:szCs w:val="30"/>
                <w:color w:val="auto"/>
                <w:vertAlign w:val="subscript"/>
              </w:rPr>
              <w:t>​​ ​</w:t>
            </w:r>
          </w:p>
        </w:tc>
        <w:tc>
          <w:tcPr>
            <w:tcW w:w="1020" w:type="dxa"/>
            <w:vAlign w:val="bottom"/>
            <w:tcBorders>
              <w:top w:val="single" w:sz="8" w:color="00C08A"/>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$1,200,000</w:t>
            </w:r>
          </w:p>
        </w:tc>
        <w:tc>
          <w:tcPr>
            <w:tcW w:w="420" w:type="dxa"/>
            <w:vAlign w:val="bottom"/>
            <w:tcBorders>
              <w:top w:val="single" w:sz="8" w:color="00C08A"/>
              <w:bottom w:val="single" w:sz="8" w:color="00C08A"/>
            </w:tcBorders>
            <w:shd w:val="clear" w:color="auto" w:fill="CCEEFF"/>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w w:val="97"/>
              </w:rPr>
              <w:t>6,000,000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Joseph Molluso</w:t>
            </w:r>
          </w:p>
        </w:tc>
        <w:tc>
          <w:tcPr>
            <w:tcW w:w="2440" w:type="dxa"/>
            <w:vAlign w:val="bottom"/>
            <w:tcBorders>
              <w:bottom w:val="single" w:sz="8" w:color="00C08A"/>
            </w:tcBorders>
            <w:gridSpan w:val="3"/>
          </w:tcPr>
          <w:p>
            <w:pPr>
              <w:ind w:left="94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240" w:type="dxa"/>
            <w:vAlign w:val="bottom"/>
            <w:tcBorders>
              <w:bottom w:val="single" w:sz="8" w:color="00C08A"/>
            </w:tcBorders>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7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Borders>
              <w:bottom w:val="single" w:sz="8" w:color="00C08A"/>
            </w:tcBorders>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w w:val="97"/>
              </w:rPr>
              <w:t>3,000,000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Brett Fairclough</w:t>
            </w:r>
          </w:p>
        </w:tc>
        <w:tc>
          <w:tcPr>
            <w:tcW w:w="2440" w:type="dxa"/>
            <w:vAlign w:val="bottom"/>
            <w:tcBorders>
              <w:bottom w:val="single" w:sz="8" w:color="00C08A"/>
            </w:tcBorders>
            <w:gridSpan w:val="3"/>
            <w:shd w:val="clear" w:color="auto" w:fill="CCEEFF"/>
          </w:tcPr>
          <w:p>
            <w:pPr>
              <w:ind w:left="94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240" w:type="dxa"/>
            <w:vAlign w:val="bottom"/>
            <w:tcBorders>
              <w:bottom w:val="single" w:sz="8" w:color="00C08A"/>
            </w:tcBorders>
            <w:shd w:val="clear" w:color="auto" w:fill="CCEEFF"/>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Borders>
              <w:bottom w:val="single" w:sz="8" w:color="00C08A"/>
            </w:tcBorders>
            <w:shd w:val="clear" w:color="auto" w:fill="CCEEFF"/>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Stephen Cavoli</w:t>
            </w:r>
          </w:p>
        </w:tc>
        <w:tc>
          <w:tcPr>
            <w:tcW w:w="2440" w:type="dxa"/>
            <w:vAlign w:val="bottom"/>
            <w:tcBorders>
              <w:bottom w:val="single" w:sz="8" w:color="00C08A"/>
            </w:tcBorders>
            <w:gridSpan w:val="3"/>
          </w:tcPr>
          <w:p>
            <w:pPr>
              <w:ind w:left="94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240" w:type="dxa"/>
            <w:vAlign w:val="bottom"/>
            <w:tcBorders>
              <w:bottom w:val="single" w:sz="8" w:color="00C08A"/>
            </w:tcBorders>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Borders>
              <w:bottom w:val="single" w:sz="8" w:color="00C08A"/>
            </w:tcBorders>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w w:val="97"/>
              </w:rPr>
              <w:t>3,000,000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Cindy Lee</w:t>
            </w:r>
          </w:p>
        </w:tc>
        <w:tc>
          <w:tcPr>
            <w:tcW w:w="1300" w:type="dxa"/>
            <w:vAlign w:val="bottom"/>
            <w:tcBorders>
              <w:bottom w:val="single" w:sz="8" w:color="00C08A"/>
            </w:tcBorders>
            <w:shd w:val="clear" w:color="auto" w:fill="CCEEFF"/>
          </w:tcPr>
          <w:p>
            <w:pPr>
              <w:ind w:left="94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4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466,690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140,000</w:t>
            </w:r>
            <w:r>
              <w:rPr>
                <w:rFonts w:ascii="Arial" w:cs="Arial" w:eastAsia="Arial" w:hAnsi="Arial"/>
                <w:sz w:val="30"/>
                <w:szCs w:val="30"/>
                <w:color w:val="auto"/>
                <w:vertAlign w:val="subscript"/>
              </w:rPr>
              <w:t>​​ ​</w:t>
            </w:r>
          </w:p>
        </w:tc>
        <w:tc>
          <w:tcPr>
            <w:tcW w:w="240" w:type="dxa"/>
            <w:vAlign w:val="bottom"/>
            <w:tcBorders>
              <w:bottom w:val="single" w:sz="8" w:color="00C08A"/>
            </w:tcBorders>
            <w:shd w:val="clear" w:color="auto" w:fill="CCEEFF"/>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420" w:type="dxa"/>
            <w:vAlign w:val="bottom"/>
            <w:tcBorders>
              <w:bottom w:val="single" w:sz="8" w:color="00C08A"/>
            </w:tcBorders>
            <w:shd w:val="clear" w:color="auto" w:fill="CCEEFF"/>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Sean P. Galvin</w:t>
            </w:r>
          </w:p>
        </w:tc>
        <w:tc>
          <w:tcPr>
            <w:tcW w:w="1300" w:type="dxa"/>
            <w:vAlign w:val="bottom"/>
            <w:tcBorders>
              <w:bottom w:val="single" w:sz="8" w:color="00C08A"/>
            </w:tcBorders>
          </w:tcPr>
          <w:p>
            <w:pPr>
              <w:ind w:left="94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40" w:type="dxa"/>
            <w:vAlign w:val="bottom"/>
            <w:tcBorders>
              <w:bottom w:val="single" w:sz="8" w:color="00C08A"/>
            </w:tcBorders>
            <w:gridSpan w:val="2"/>
          </w:tcPr>
          <w:p>
            <w:pPr>
              <w:ind w:left="80"/>
              <w:spacing w:after="0" w:line="264" w:lineRule="exact"/>
              <w:rPr>
                <w:sz w:val="20"/>
                <w:szCs w:val="20"/>
                <w:color w:val="auto"/>
              </w:rPr>
            </w:pPr>
            <w:r>
              <w:rPr>
                <w:rFonts w:ascii="Arial" w:cs="Arial" w:eastAsia="Arial" w:hAnsi="Arial"/>
                <w:sz w:val="16"/>
                <w:szCs w:val="16"/>
                <w:color w:val="auto"/>
              </w:rPr>
              <w:t>400,020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120,000</w:t>
            </w:r>
            <w:r>
              <w:rPr>
                <w:rFonts w:ascii="Arial" w:cs="Arial" w:eastAsia="Arial" w:hAnsi="Arial"/>
                <w:sz w:val="30"/>
                <w:szCs w:val="30"/>
                <w:color w:val="auto"/>
                <w:vertAlign w:val="subscript"/>
              </w:rPr>
              <w:t>​​ ​</w:t>
            </w:r>
          </w:p>
        </w:tc>
        <w:tc>
          <w:tcPr>
            <w:tcW w:w="240" w:type="dxa"/>
            <w:vAlign w:val="bottom"/>
            <w:tcBorders>
              <w:bottom w:val="single" w:sz="8" w:color="00C08A"/>
            </w:tcBorders>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80,000</w:t>
            </w:r>
          </w:p>
        </w:tc>
        <w:tc>
          <w:tcPr>
            <w:tcW w:w="420" w:type="dxa"/>
            <w:vAlign w:val="bottom"/>
            <w:tcBorders>
              <w:bottom w:val="single" w:sz="8" w:color="00C08A"/>
            </w:tcBorders>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600,000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CEO Equity Awards</w:t>
      </w:r>
    </w:p>
    <w:p>
      <w:pPr>
        <w:spacing w:after="0" w:line="115" w:lineRule="exact"/>
        <w:rPr>
          <w:sz w:val="20"/>
          <w:szCs w:val="20"/>
          <w:color w:val="auto"/>
        </w:rPr>
      </w:pPr>
    </w:p>
    <w:p>
      <w:pPr>
        <w:ind w:left="760" w:right="80"/>
        <w:spacing w:after="0" w:line="245" w:lineRule="auto"/>
        <w:rPr>
          <w:sz w:val="20"/>
          <w:szCs w:val="20"/>
          <w:color w:val="auto"/>
        </w:rPr>
      </w:pPr>
      <w:r>
        <w:rPr>
          <w:rFonts w:ascii="Arial" w:cs="Arial" w:eastAsia="Arial" w:hAnsi="Arial"/>
          <w:sz w:val="18"/>
          <w:szCs w:val="18"/>
          <w:color w:val="auto"/>
        </w:rPr>
        <w:t>In fiscal year 2024, in accordance with the terms of his employment agreement, Mr. Cifu received a grant of 150,000 restricted stock units that are earned based on the percentage of budgeted adjusted EBITDA achieved in fiscal year 2024: 100% of the shares are earned if 65% of budgeted adjusted EBITDA is achieved and the Compensation Committee has discretion to determine the percentage of shares earned if less than 65% of budgeted adjusted EBITDA is achieved. For fiscal year 2024, our budgeted adjusted EBITDA target was determined based on the market environment during the year. Based on the actual market environment applicable to the Company’s businesses, target adjusted EBITDA was $846 million, and we achieved approximately 108% of such range. Accordingly, all of the restricted stock units granted to Mr. Cifu in fiscal year 2024 were earned, with half of the shares vesting as of January 31, 2025 and the remainder to vest as of January 31, 2026.</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Other Executive Equity Awards</w:t>
      </w:r>
    </w:p>
    <w:p>
      <w:pPr>
        <w:spacing w:after="0" w:line="115" w:lineRule="exact"/>
        <w:rPr>
          <w:sz w:val="20"/>
          <w:szCs w:val="20"/>
          <w:color w:val="auto"/>
        </w:rPr>
      </w:pPr>
    </w:p>
    <w:p>
      <w:pPr>
        <w:ind w:left="760" w:right="920"/>
        <w:spacing w:after="0" w:line="267" w:lineRule="auto"/>
        <w:rPr>
          <w:sz w:val="20"/>
          <w:szCs w:val="20"/>
          <w:color w:val="auto"/>
        </w:rPr>
      </w:pPr>
      <w:r>
        <w:rPr>
          <w:rFonts w:ascii="Arial" w:cs="Arial" w:eastAsia="Arial" w:hAnsi="Arial"/>
          <w:sz w:val="17"/>
          <w:szCs w:val="17"/>
          <w:color w:val="auto"/>
        </w:rPr>
        <w:t>In fiscal year 2024, in accordance with the terms of each of their employment agreements, Messrs. Cavoli, Fairclough and Molluso each received a grant of 75,000 restricted stock units that are earned based on</w:t>
      </w:r>
    </w:p>
    <w:p>
      <w:pPr>
        <w:spacing w:after="0" w:line="2" w:lineRule="exact"/>
        <w:rPr>
          <w:sz w:val="20"/>
          <w:szCs w:val="20"/>
          <w:color w:val="auto"/>
        </w:rPr>
      </w:pPr>
    </w:p>
    <w:p>
      <w:pPr>
        <w:ind w:left="760" w:right="160"/>
        <w:spacing w:after="0" w:line="242" w:lineRule="auto"/>
        <w:rPr>
          <w:sz w:val="20"/>
          <w:szCs w:val="20"/>
          <w:color w:val="auto"/>
        </w:rPr>
      </w:pPr>
      <w:r>
        <w:rPr>
          <w:rFonts w:ascii="Arial" w:cs="Arial" w:eastAsia="Arial" w:hAnsi="Arial"/>
          <w:sz w:val="18"/>
          <w:szCs w:val="18"/>
          <w:color w:val="auto"/>
        </w:rPr>
        <w:t>the percentage of budgeted adjusted EBITDA achieved in fiscal year 2024: 100% of the shares are earned if 65% of budgeted adjusted EBITDA is achieved and the Compensation Committee has discretion to determine</w:t>
      </w:r>
    </w:p>
    <w:p>
      <w:pPr>
        <w:spacing w:after="0" w:line="1" w:lineRule="exact"/>
        <w:rPr>
          <w:sz w:val="20"/>
          <w:szCs w:val="20"/>
          <w:color w:val="auto"/>
        </w:rPr>
      </w:pPr>
    </w:p>
    <w:p>
      <w:pPr>
        <w:ind w:left="760" w:right="140"/>
        <w:spacing w:after="0" w:line="241" w:lineRule="auto"/>
        <w:rPr>
          <w:sz w:val="20"/>
          <w:szCs w:val="20"/>
          <w:color w:val="auto"/>
        </w:rPr>
      </w:pPr>
      <w:r>
        <w:rPr>
          <w:rFonts w:ascii="Arial" w:cs="Arial" w:eastAsia="Arial" w:hAnsi="Arial"/>
          <w:sz w:val="18"/>
          <w:szCs w:val="18"/>
          <w:color w:val="auto"/>
        </w:rPr>
        <w:t>the percentage of shares earned if less than 65% of budgeted adjusted EBITDA is achieved. For fiscal year 2024, our budgeted adjusted EBITDA target was determined based on the market environment during the year. Based on the actual market environment applicable to the Company’s businesses, target adjusted EBITDA was $846 million, and we achieved approximately 108% of such range. Accordingly, all of the restricted stock units granted to Messrs. Cavoli, Fairclough and Molluso in fiscal year 2023 were earned, with half of the shares vesting as of January 31, 2025, and the remainder to vest as of January 31, 2026. Additionally, in fiscal year 2024 and in accordance with the terms of her employment agreement, Ms. Lee received a grant of 35,000 restricted stock units in connection with her appointment as Chief Financial Officer.</w:t>
      </w:r>
    </w:p>
    <w:p>
      <w:pPr>
        <w:spacing w:after="0" w:line="74" w:lineRule="exact"/>
        <w:rPr>
          <w:sz w:val="20"/>
          <w:szCs w:val="20"/>
          <w:color w:val="auto"/>
        </w:rPr>
      </w:pPr>
    </w:p>
    <w:p>
      <w:pPr>
        <w:ind w:left="760" w:right="120"/>
        <w:spacing w:after="0" w:line="271" w:lineRule="auto"/>
        <w:rPr>
          <w:sz w:val="20"/>
          <w:szCs w:val="20"/>
          <w:color w:val="auto"/>
        </w:rPr>
      </w:pPr>
      <w:r>
        <w:rPr>
          <w:rFonts w:ascii="Arial" w:cs="Arial" w:eastAsia="Arial" w:hAnsi="Arial"/>
          <w:sz w:val="18"/>
          <w:szCs w:val="18"/>
          <w:color w:val="auto"/>
        </w:rPr>
        <w:t>The Compensation Committee believes these awards incentivize our executives to achieve key financial goals of the Company and aligns their long-term interests with those of our stockholders.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Employee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420"/>
        <w:spacing w:after="0" w:line="261" w:lineRule="auto"/>
        <w:rPr>
          <w:sz w:val="20"/>
          <w:szCs w:val="20"/>
          <w:color w:val="auto"/>
        </w:rPr>
      </w:pPr>
      <w:r>
        <w:rPr>
          <w:rFonts w:ascii="Arial" w:cs="Arial" w:eastAsia="Arial" w:hAnsi="Arial"/>
          <w:sz w:val="18"/>
          <w:szCs w:val="18"/>
          <w:color w:val="auto"/>
        </w:rPr>
        <w:t>We provide a number of benefit plans to all eligible employees, including our named executive officers. These benefits include medical, dental, life insurance, business travel accident insurance, short- and long-term disability coverage and a 401(k) defined contribution plan.</w:t>
      </w:r>
    </w:p>
    <w:p>
      <w:pPr>
        <w:spacing w:after="0" w:line="54"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Company sponsors the Virtu Financial, Inc.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The DCP permits eligible executive officers and other employees to defer cash or equity-based compensation, subject to certain limitations and restrictions. The Company recognized approximately $1 million as compensation cost under the DCP as of December 31, 2024.</w:t>
      </w:r>
    </w:p>
    <w:p>
      <w:pPr>
        <w:spacing w:after="0" w:line="62" w:lineRule="exact"/>
        <w:rPr>
          <w:sz w:val="20"/>
          <w:szCs w:val="20"/>
          <w:color w:val="auto"/>
        </w:rPr>
      </w:pPr>
    </w:p>
    <w:p>
      <w:pPr>
        <w:ind w:left="760" w:right="760"/>
        <w:spacing w:after="0" w:line="261" w:lineRule="auto"/>
        <w:rPr>
          <w:sz w:val="20"/>
          <w:szCs w:val="20"/>
          <w:color w:val="auto"/>
        </w:rPr>
      </w:pPr>
      <w:r>
        <w:rPr>
          <w:rFonts w:ascii="Arial" w:cs="Arial" w:eastAsia="Arial" w:hAnsi="Arial"/>
          <w:sz w:val="18"/>
          <w:szCs w:val="18"/>
          <w:color w:val="auto"/>
        </w:rPr>
        <w:t>In fiscal year 2024, Mr. Molluso was our only named executive officer who chose to defer a portion of his compensation in the form of deferred stock units. Additional details regarding the DCP are set forth below on page 45.</w:t>
      </w:r>
    </w:p>
    <w:p>
      <w:pPr>
        <w:spacing w:after="0" w:line="25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60"/>
        <w:spacing w:after="0" w:line="278" w:lineRule="auto"/>
        <w:rPr>
          <w:sz w:val="20"/>
          <w:szCs w:val="20"/>
          <w:color w:val="auto"/>
        </w:rPr>
      </w:pPr>
      <w:r>
        <w:rPr>
          <w:rFonts w:ascii="Arial" w:cs="Arial" w:eastAsia="Arial" w:hAnsi="Arial"/>
          <w:sz w:val="17"/>
          <w:szCs w:val="17"/>
          <w:color w:val="auto"/>
        </w:rPr>
        <w:t>While perquisites help to provide our named executive officers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named executive officers more efficient and effective and for recruitment, motivation and/or retention purposes.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Severance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60"/>
        <w:spacing w:after="0" w:line="256" w:lineRule="auto"/>
        <w:rPr>
          <w:sz w:val="20"/>
          <w:szCs w:val="20"/>
          <w:color w:val="auto"/>
        </w:rPr>
      </w:pPr>
      <w:r>
        <w:rPr>
          <w:rFonts w:ascii="Arial" w:cs="Arial" w:eastAsia="Arial" w:hAnsi="Arial"/>
          <w:sz w:val="18"/>
          <w:szCs w:val="18"/>
          <w:color w:val="auto"/>
        </w:rPr>
        <w:t>We have previously entered into employment agreements with Messrs. Cifu, Molluso, Fairclough, and Cavoli that provide for certain severance payments and benefits in the event that such named executive officer’s employment is terminated under specified conditions. In addition, the vesting of a portion of each of these named executive officer’s equity award or awards accelerates in connection with qualifying terminations of employment. We believe that these severance benefits are appropriate to remain competitive in our executive retention efforts, recognizing that such benefits are commonly offered by employers competing for similar executive talent. See “Potential Payments upon Termination of Employment or Change in Control” for additional information.</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Taxation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420"/>
        <w:spacing w:after="0" w:line="262" w:lineRule="auto"/>
        <w:rPr>
          <w:sz w:val="20"/>
          <w:szCs w:val="20"/>
          <w:color w:val="auto"/>
        </w:rPr>
      </w:pPr>
      <w:r>
        <w:rPr>
          <w:rFonts w:ascii="Arial" w:cs="Arial" w:eastAsia="Arial" w:hAnsi="Arial"/>
          <w:sz w:val="18"/>
          <w:szCs w:val="18"/>
          <w:color w:val="auto"/>
        </w:rPr>
        <w:t>For income tax purposes, public companies may not deduct any portion of compensation that is in excess of $1 million paid in a taxable year to certain “covered employees,” including our named executive officers, under Section 162(m) of the Internal Revenue Code of 1986, as amended (“</w:t>
      </w:r>
      <w:r>
        <w:rPr>
          <w:rFonts w:ascii="Arial" w:cs="Arial" w:eastAsia="Arial" w:hAnsi="Arial"/>
          <w:sz w:val="18"/>
          <w:szCs w:val="18"/>
          <w:b w:val="1"/>
          <w:bCs w:val="1"/>
          <w:color w:val="auto"/>
        </w:rPr>
        <w:t>Section 162(m)</w:t>
      </w:r>
      <w:r>
        <w:rPr>
          <w:rFonts w:ascii="Arial" w:cs="Arial" w:eastAsia="Arial" w:hAnsi="Arial"/>
          <w:sz w:val="18"/>
          <w:szCs w:val="18"/>
          <w:color w:val="auto"/>
        </w:rPr>
        <w:t>”), subject to certain limited exceptions (which may not be applicable to us).</w:t>
      </w:r>
    </w:p>
    <w:p>
      <w:pPr>
        <w:spacing w:after="0" w:line="68"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Nevertheless, our board of directors believes that it should not be constrained by the requirements of 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if those requirements would impair flexibility in compensating our named executive officers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74"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2579370</wp:posOffset>
            </wp:positionV>
            <wp:extent cx="75438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ind w:left="2960"/>
        <w:spacing w:after="0"/>
        <w:rPr>
          <w:sz w:val="20"/>
          <w:szCs w:val="20"/>
          <w:color w:val="auto"/>
        </w:rPr>
      </w:pPr>
      <w:r>
        <w:rPr>
          <w:rFonts w:ascii="Arial" w:cs="Arial" w:eastAsia="Arial" w:hAnsi="Arial"/>
          <w:sz w:val="29"/>
          <w:szCs w:val="29"/>
          <w:color w:val="00C08A"/>
        </w:rPr>
        <w:t>SUMMARY COMPENSATION TABLE</w:t>
      </w:r>
    </w:p>
    <w:p>
      <w:pPr>
        <w:spacing w:after="0" w:line="112" w:lineRule="exact"/>
        <w:rPr>
          <w:sz w:val="20"/>
          <w:szCs w:val="20"/>
          <w:color w:val="auto"/>
        </w:rPr>
      </w:pPr>
    </w:p>
    <w:p>
      <w:pPr>
        <w:ind w:left="760" w:right="420"/>
        <w:spacing w:after="0" w:line="287" w:lineRule="auto"/>
        <w:rPr>
          <w:sz w:val="20"/>
          <w:szCs w:val="20"/>
          <w:color w:val="auto"/>
        </w:rPr>
      </w:pPr>
      <w:r>
        <w:rPr>
          <w:rFonts w:ascii="Arial" w:cs="Arial" w:eastAsia="Arial" w:hAnsi="Arial"/>
          <w:sz w:val="18"/>
          <w:szCs w:val="18"/>
          <w:color w:val="auto"/>
        </w:rPr>
        <w:t>The following table sets forth the cash and non-cash compensation paid by the Company during the years ended December 31, 2022, December 31, 2023, and December 31, 2024, to its named executive officers.</w:t>
      </w:r>
    </w:p>
    <w:p>
      <w:pPr>
        <w:spacing w:after="0" w:line="6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002453"/>
              </w:rPr>
              <w:t>Stock</w:t>
            </w:r>
          </w:p>
        </w:tc>
        <w:tc>
          <w:tcPr>
            <w:tcW w:w="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002453"/>
              </w:rPr>
              <w:t>Non-Equity</w:t>
            </w:r>
          </w:p>
        </w:tc>
        <w:tc>
          <w:tcPr>
            <w:tcW w:w="28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002453"/>
              </w:rPr>
              <w:t>All Other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002453"/>
              </w:rPr>
              <w:t xml:space="preserve">​ ​ </w:t>
            </w:r>
            <w:r>
              <w:rPr>
                <w:rFonts w:ascii="Arial" w:cs="Arial" w:eastAsia="Arial" w:hAnsi="Arial"/>
                <w:sz w:val="28"/>
                <w:szCs w:val="28"/>
                <w:b w:val="1"/>
                <w:bCs w:val="1"/>
                <w:color w:val="002453"/>
                <w:vertAlign w:val="superscript"/>
              </w:rPr>
              <w:t>Year</w:t>
            </w:r>
            <w:r>
              <w:rPr>
                <w:rFonts w:ascii="Arial" w:cs="Arial" w:eastAsia="Arial" w:hAnsi="Arial"/>
                <w:sz w:val="14"/>
                <w:szCs w:val="14"/>
                <w:b w:val="1"/>
                <w:bCs w:val="1"/>
                <w:color w:val="002453"/>
              </w:rPr>
              <w:t xml:space="preserve"> ​ ​</w:t>
            </w:r>
          </w:p>
        </w:tc>
        <w:tc>
          <w:tcPr>
            <w:tcW w:w="60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Bonus(1)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002453"/>
              </w:rPr>
              <w:t>Incentive Plan</w:t>
            </w: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 and Principal Position</w:t>
            </w:r>
          </w:p>
        </w:tc>
        <w:tc>
          <w:tcPr>
            <w:tcW w:w="840" w:type="dxa"/>
            <w:vAlign w:val="bottom"/>
            <w:tcBorders>
              <w:bottom w:val="single" w:sz="8" w:color="00C08A"/>
            </w:tcBorders>
            <w:gridSpan w:val="3"/>
            <w:vMerge w:val="continue"/>
          </w:tcPr>
          <w:p>
            <w:pPr>
              <w:spacing w:after="0"/>
              <w:rPr>
                <w:sz w:val="16"/>
                <w:szCs w:val="16"/>
                <w:color w:val="auto"/>
              </w:rPr>
            </w:pPr>
          </w:p>
        </w:tc>
        <w:tc>
          <w:tcPr>
            <w:tcW w:w="600" w:type="dxa"/>
            <w:vAlign w:val="bottom"/>
            <w:tcBorders>
              <w:bottom w:val="single" w:sz="8" w:color="00C08A"/>
            </w:tcBorders>
          </w:tcPr>
          <w:p>
            <w:pPr>
              <w:jc w:val="right"/>
              <w:ind w:right="68"/>
              <w:spacing w:after="0"/>
              <w:rPr>
                <w:sz w:val="20"/>
                <w:szCs w:val="20"/>
                <w:color w:val="auto"/>
              </w:rPr>
            </w:pPr>
            <w:r>
              <w:rPr>
                <w:rFonts w:ascii="Arial" w:cs="Arial" w:eastAsia="Arial" w:hAnsi="Arial"/>
                <w:sz w:val="14"/>
                <w:szCs w:val="14"/>
                <w:b w:val="1"/>
                <w:bCs w:val="1"/>
                <w:color w:val="002453"/>
              </w:rPr>
              <w:t>Salary</w:t>
            </w:r>
          </w:p>
        </w:tc>
        <w:tc>
          <w:tcPr>
            <w:tcW w:w="940" w:type="dxa"/>
            <w:vAlign w:val="bottom"/>
            <w:tcBorders>
              <w:bottom w:val="single" w:sz="8" w:color="00C08A"/>
            </w:tcBorders>
            <w:gridSpan w:val="2"/>
            <w:vMerge w:val="continue"/>
          </w:tcPr>
          <w:p>
            <w:pPr>
              <w:spacing w:after="0"/>
              <w:rPr>
                <w:sz w:val="16"/>
                <w:szCs w:val="16"/>
                <w:color w:val="auto"/>
              </w:rPr>
            </w:pPr>
          </w:p>
        </w:tc>
        <w:tc>
          <w:tcPr>
            <w:tcW w:w="320" w:type="dxa"/>
            <w:vAlign w:val="bottom"/>
            <w:tcBorders>
              <w:bottom w:val="single" w:sz="8" w:color="00C08A"/>
            </w:tcBorders>
            <w:gridSpan w:val="2"/>
          </w:tcPr>
          <w:p>
            <w:pPr>
              <w:ind w:left="60"/>
              <w:spacing w:after="0"/>
              <w:rPr>
                <w:sz w:val="20"/>
                <w:szCs w:val="20"/>
                <w:color w:val="auto"/>
              </w:rPr>
            </w:pPr>
            <w:r>
              <w:rPr>
                <w:rFonts w:ascii="Arial" w:cs="Arial" w:eastAsia="Arial" w:hAnsi="Arial"/>
                <w:sz w:val="14"/>
                <w:szCs w:val="14"/>
                <w:b w:val="1"/>
                <w:bCs w:val="1"/>
                <w:color w:val="002453"/>
              </w:rPr>
              <w:t>​ ​</w:t>
            </w:r>
          </w:p>
        </w:tc>
        <w:tc>
          <w:tcPr>
            <w:tcW w:w="820" w:type="dxa"/>
            <w:vAlign w:val="bottom"/>
            <w:tcBorders>
              <w:bottom w:val="single" w:sz="8" w:color="00C08A"/>
            </w:tcBorders>
          </w:tcPr>
          <w:p>
            <w:pPr>
              <w:jc w:val="right"/>
              <w:ind w:right="14"/>
              <w:spacing w:after="0" w:line="189" w:lineRule="exact"/>
              <w:rPr>
                <w:sz w:val="20"/>
                <w:szCs w:val="20"/>
                <w:color w:val="auto"/>
              </w:rPr>
            </w:pPr>
            <w:r>
              <w:rPr>
                <w:rFonts w:ascii="Arial" w:cs="Arial" w:eastAsia="Arial" w:hAnsi="Arial"/>
                <w:sz w:val="12"/>
                <w:szCs w:val="12"/>
                <w:b w:val="1"/>
                <w:bCs w:val="1"/>
                <w:color w:val="002453"/>
              </w:rPr>
              <w:t xml:space="preserve">Awards  </w:t>
            </w:r>
            <w:r>
              <w:rPr>
                <w:rFonts w:ascii="Arial" w:cs="Arial" w:eastAsia="Arial" w:hAnsi="Arial"/>
                <w:sz w:val="21"/>
                <w:szCs w:val="21"/>
                <w:b w:val="1"/>
                <w:bCs w:val="1"/>
                <w:color w:val="002453"/>
                <w:vertAlign w:val="subscript"/>
              </w:rPr>
              <w:t>​</w:t>
            </w:r>
          </w:p>
        </w:tc>
        <w:tc>
          <w:tcPr>
            <w:tcW w:w="2620" w:type="dxa"/>
            <w:vAlign w:val="bottom"/>
            <w:tcBorders>
              <w:bottom w:val="single" w:sz="8" w:color="00C08A"/>
            </w:tcBorders>
            <w:gridSpan w:val="8"/>
          </w:tcPr>
          <w:p>
            <w:pPr>
              <w:spacing w:after="0" w:line="189" w:lineRule="exact"/>
              <w:rPr>
                <w:sz w:val="20"/>
                <w:szCs w:val="20"/>
                <w:color w:val="auto"/>
              </w:rPr>
            </w:pPr>
            <w:r>
              <w:rPr>
                <w:rFonts w:ascii="Arial" w:cs="Arial" w:eastAsia="Arial" w:hAnsi="Arial"/>
                <w:sz w:val="21"/>
                <w:szCs w:val="21"/>
                <w:b w:val="1"/>
                <w:bCs w:val="1"/>
                <w:color w:val="002453"/>
                <w:vertAlign w:val="subscript"/>
              </w:rPr>
              <w:t>​</w:t>
            </w:r>
            <w:r>
              <w:rPr>
                <w:rFonts w:ascii="Arial" w:cs="Arial" w:eastAsia="Arial" w:hAnsi="Arial"/>
                <w:sz w:val="12"/>
                <w:szCs w:val="12"/>
                <w:b w:val="1"/>
                <w:bCs w:val="1"/>
                <w:color w:val="002453"/>
              </w:rPr>
              <w:t xml:space="preserve"> Compensation </w:t>
            </w:r>
            <w:r>
              <w:rPr>
                <w:rFonts w:ascii="Arial" w:cs="Arial" w:eastAsia="Arial" w:hAnsi="Arial"/>
                <w:sz w:val="21"/>
                <w:szCs w:val="21"/>
                <w:b w:val="1"/>
                <w:bCs w:val="1"/>
                <w:color w:val="002453"/>
                <w:vertAlign w:val="subscript"/>
              </w:rPr>
              <w:t>​ ​</w:t>
            </w:r>
            <w:r>
              <w:rPr>
                <w:rFonts w:ascii="Arial" w:cs="Arial" w:eastAsia="Arial" w:hAnsi="Arial"/>
                <w:sz w:val="12"/>
                <w:szCs w:val="12"/>
                <w:b w:val="1"/>
                <w:bCs w:val="1"/>
                <w:color w:val="002453"/>
              </w:rPr>
              <w:t xml:space="preserve">Compensation </w:t>
            </w:r>
            <w:r>
              <w:rPr>
                <w:rFonts w:ascii="Arial" w:cs="Arial" w:eastAsia="Arial" w:hAnsi="Arial"/>
                <w:sz w:val="21"/>
                <w:szCs w:val="21"/>
                <w:b w:val="1"/>
                <w:bCs w:val="1"/>
                <w:color w:val="002453"/>
                <w:vertAlign w:val="subscript"/>
              </w:rPr>
              <w:t>​ ​</w:t>
            </w:r>
          </w:p>
        </w:tc>
        <w:tc>
          <w:tcPr>
            <w:tcW w:w="680" w:type="dxa"/>
            <w:vAlign w:val="bottom"/>
            <w:tcBorders>
              <w:bottom w:val="single" w:sz="8" w:color="00C08A"/>
            </w:tcBorders>
          </w:tcPr>
          <w:p>
            <w:pPr>
              <w:jc w:val="right"/>
              <w:ind w:right="168"/>
              <w:spacing w:after="0"/>
              <w:rPr>
                <w:sz w:val="20"/>
                <w:szCs w:val="20"/>
                <w:color w:val="auto"/>
              </w:rPr>
            </w:pPr>
            <w:r>
              <w:rPr>
                <w:rFonts w:ascii="Arial" w:cs="Arial" w:eastAsia="Arial" w:hAnsi="Arial"/>
                <w:sz w:val="14"/>
                <w:szCs w:val="14"/>
                <w:b w:val="1"/>
                <w:bCs w:val="1"/>
                <w:color w:val="002453"/>
              </w:rPr>
              <w:t>Total</w:t>
            </w:r>
          </w:p>
        </w:tc>
        <w:tc>
          <w:tcPr>
            <w:tcW w:w="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1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Douglas A. Cifu</w:t>
            </w:r>
          </w:p>
        </w:tc>
        <w:tc>
          <w:tcPr>
            <w:tcW w:w="80" w:type="dxa"/>
            <w:vAlign w:val="bottom"/>
          </w:tcPr>
          <w:p>
            <w:pPr>
              <w:ind w:left="40"/>
              <w:spacing w:after="0" w:line="11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47"/>
              <w:spacing w:after="0" w:line="11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shd w:val="clear" w:color="auto" w:fill="CCEEFF"/>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9,863,432</w:t>
            </w: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2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CCEEFF"/>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​2024</w:t>
            </w:r>
          </w:p>
        </w:tc>
        <w:tc>
          <w:tcPr>
            <w:tcW w:w="92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$1,200,000</w:t>
            </w:r>
          </w:p>
        </w:tc>
        <w:tc>
          <w:tcPr>
            <w:tcW w:w="94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$1,500,000</w:t>
            </w:r>
          </w:p>
        </w:tc>
        <w:tc>
          <w:tcPr>
            <w:tcW w:w="1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$5,527,500(2)</w:t>
            </w:r>
          </w:p>
        </w:tc>
        <w:tc>
          <w:tcPr>
            <w:tcW w:w="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ind w:left="160"/>
              <w:spacing w:after="0" w:line="74" w:lineRule="exact"/>
              <w:rPr>
                <w:sz w:val="20"/>
                <w:szCs w:val="20"/>
                <w:color w:val="auto"/>
              </w:rPr>
            </w:pPr>
            <w:r>
              <w:rPr>
                <w:rFonts w:ascii="Arial" w:cs="Arial" w:eastAsia="Arial" w:hAnsi="Arial"/>
                <w:sz w:val="8"/>
                <w:szCs w:val="8"/>
                <w:color w:val="auto"/>
              </w:rPr>
              <w:t>$</w:t>
            </w:r>
          </w:p>
        </w:tc>
        <w:tc>
          <w:tcPr>
            <w:tcW w:w="1000" w:type="dxa"/>
            <w:vAlign w:val="bottom"/>
            <w:tcBorders>
              <w:bottom w:val="single" w:sz="8" w:color="CCEEFF"/>
            </w:tcBorders>
            <w:gridSpan w:val="2"/>
            <w:shd w:val="clear" w:color="auto" w:fill="CCEEFF"/>
          </w:tcPr>
          <w:p>
            <w:pPr>
              <w:jc w:val="right"/>
              <w:ind w:right="150"/>
              <w:spacing w:after="0" w:line="74" w:lineRule="exact"/>
              <w:rPr>
                <w:sz w:val="20"/>
                <w:szCs w:val="20"/>
                <w:color w:val="auto"/>
              </w:rPr>
            </w:pPr>
            <w:r>
              <w:rPr>
                <w:rFonts w:ascii="Arial" w:cs="Arial" w:eastAsia="Arial" w:hAnsi="Arial"/>
                <w:sz w:val="8"/>
                <w:szCs w:val="8"/>
                <w:color w:val="auto"/>
              </w:rPr>
              <w:t>1,500,00(3)</w:t>
            </w:r>
          </w:p>
        </w:tc>
        <w:tc>
          <w:tcPr>
            <w:tcW w:w="900" w:type="dxa"/>
            <w:vAlign w:val="bottom"/>
            <w:tcBorders>
              <w:bottom w:val="single" w:sz="8" w:color="CCEEFF"/>
            </w:tcBorders>
            <w:gridSpan w:val="2"/>
            <w:shd w:val="clear" w:color="auto" w:fill="CCEEFF"/>
          </w:tcPr>
          <w:p>
            <w:pPr>
              <w:ind w:left="120"/>
              <w:spacing w:after="0" w:line="74" w:lineRule="exact"/>
              <w:rPr>
                <w:sz w:val="20"/>
                <w:szCs w:val="20"/>
                <w:color w:val="auto"/>
              </w:rPr>
            </w:pPr>
            <w:r>
              <w:rPr>
                <w:rFonts w:ascii="Arial" w:cs="Arial" w:eastAsia="Arial" w:hAnsi="Arial"/>
                <w:sz w:val="8"/>
                <w:szCs w:val="8"/>
                <w:color w:val="auto"/>
              </w:rPr>
              <w:t>$135,932(4)</w:t>
            </w:r>
          </w:p>
        </w:tc>
        <w:tc>
          <w:tcPr>
            <w:tcW w:w="1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ind w:left="100"/>
              <w:spacing w:after="0" w:line="74" w:lineRule="exact"/>
              <w:rPr>
                <w:sz w:val="20"/>
                <w:szCs w:val="20"/>
                <w:color w:val="auto"/>
              </w:rPr>
            </w:pPr>
            <w:r>
              <w:rPr>
                <w:rFonts w:ascii="Arial" w:cs="Arial" w:eastAsia="Arial" w:hAnsi="Arial"/>
                <w:sz w:val="8"/>
                <w:szCs w:val="8"/>
                <w:color w:val="auto"/>
              </w:rPr>
              <w:t>$</w:t>
            </w: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Chief Executive Officer</w:t>
            </w:r>
          </w:p>
        </w:tc>
        <w:tc>
          <w:tcPr>
            <w:tcW w:w="80" w:type="dxa"/>
            <w:vAlign w:val="bottom"/>
          </w:tcPr>
          <w:p>
            <w:pPr>
              <w:spacing w:after="0"/>
              <w:rPr>
                <w:sz w:val="10"/>
                <w:szCs w:val="10"/>
                <w:color w:val="auto"/>
              </w:rPr>
            </w:pPr>
          </w:p>
        </w:tc>
        <w:tc>
          <w:tcPr>
            <w:tcW w:w="440" w:type="dxa"/>
            <w:vAlign w:val="bottom"/>
          </w:tcPr>
          <w:p>
            <w:pPr>
              <w:jc w:val="right"/>
              <w:ind w:right="247"/>
              <w:spacing w:after="0" w:line="122"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22" w:lineRule="exact"/>
              <w:rPr>
                <w:sz w:val="20"/>
                <w:szCs w:val="20"/>
                <w:color w:val="auto"/>
              </w:rPr>
            </w:pPr>
            <w:r>
              <w:rPr>
                <w:rFonts w:ascii="Arial" w:cs="Arial" w:eastAsia="Arial" w:hAnsi="Arial"/>
                <w:sz w:val="14"/>
                <w:szCs w:val="14"/>
                <w:color w:val="auto"/>
              </w:rPr>
              <w:t>​​ ​​</w:t>
            </w:r>
          </w:p>
        </w:tc>
        <w:tc>
          <w:tcPr>
            <w:tcW w:w="600" w:type="dxa"/>
            <w:vAlign w:val="bottom"/>
          </w:tcPr>
          <w:p>
            <w:pPr>
              <w:spacing w:after="0"/>
              <w:rPr>
                <w:sz w:val="10"/>
                <w:szCs w:val="10"/>
                <w:color w:val="auto"/>
              </w:rPr>
            </w:pPr>
          </w:p>
        </w:tc>
        <w:tc>
          <w:tcPr>
            <w:tcW w:w="360" w:type="dxa"/>
            <w:vAlign w:val="bottom"/>
          </w:tcPr>
          <w:p>
            <w:pPr>
              <w:jc w:val="right"/>
              <w:ind w:right="65"/>
              <w:spacing w:after="0" w:line="122"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22"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22"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28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15,365(4)</w:t>
            </w:r>
          </w:p>
        </w:tc>
        <w:tc>
          <w:tcPr>
            <w:tcW w:w="16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8,251,865</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920" w:type="dxa"/>
            <w:vAlign w:val="bottom"/>
            <w:gridSpan w:val="2"/>
          </w:tcPr>
          <w:p>
            <w:pPr>
              <w:jc w:val="right"/>
              <w:spacing w:after="0" w:line="59" w:lineRule="exact"/>
              <w:rPr>
                <w:sz w:val="20"/>
                <w:szCs w:val="20"/>
                <w:color w:val="auto"/>
              </w:rPr>
            </w:pPr>
            <w:r>
              <w:rPr>
                <w:rFonts w:ascii="Arial" w:cs="Arial" w:eastAsia="Arial" w:hAnsi="Arial"/>
                <w:sz w:val="6"/>
                <w:szCs w:val="6"/>
                <w:color w:val="auto"/>
              </w:rPr>
              <w:t>$1,200,000</w:t>
            </w:r>
          </w:p>
        </w:tc>
        <w:tc>
          <w:tcPr>
            <w:tcW w:w="940" w:type="dxa"/>
            <w:vAlign w:val="bottom"/>
            <w:gridSpan w:val="2"/>
          </w:tcPr>
          <w:p>
            <w:pPr>
              <w:jc w:val="right"/>
              <w:spacing w:after="0" w:line="59" w:lineRule="exact"/>
              <w:rPr>
                <w:sz w:val="20"/>
                <w:szCs w:val="20"/>
                <w:color w:val="auto"/>
              </w:rPr>
            </w:pPr>
            <w:r>
              <w:rPr>
                <w:rFonts w:ascii="Arial" w:cs="Arial" w:eastAsia="Arial" w:hAnsi="Arial"/>
                <w:sz w:val="6"/>
                <w:szCs w:val="6"/>
                <w:color w:val="auto"/>
              </w:rPr>
              <w:t>$1,031,250</w:t>
            </w:r>
          </w:p>
        </w:tc>
        <w:tc>
          <w:tcPr>
            <w:tcW w:w="120" w:type="dxa"/>
            <w:vAlign w:val="bottom"/>
          </w:tcPr>
          <w:p>
            <w:pPr>
              <w:spacing w:after="0"/>
              <w:rPr>
                <w:sz w:val="5"/>
                <w:szCs w:val="5"/>
                <w:color w:val="auto"/>
              </w:rPr>
            </w:pPr>
          </w:p>
        </w:tc>
        <w:tc>
          <w:tcPr>
            <w:tcW w:w="1020" w:type="dxa"/>
            <w:vAlign w:val="bottom"/>
            <w:gridSpan w:val="2"/>
          </w:tcPr>
          <w:p>
            <w:pPr>
              <w:jc w:val="right"/>
              <w:spacing w:after="0" w:line="59" w:lineRule="exact"/>
              <w:rPr>
                <w:sz w:val="20"/>
                <w:szCs w:val="20"/>
                <w:color w:val="auto"/>
              </w:rPr>
            </w:pPr>
            <w:r>
              <w:rPr>
                <w:rFonts w:ascii="Arial" w:cs="Arial" w:eastAsia="Arial" w:hAnsi="Arial"/>
                <w:sz w:val="6"/>
                <w:szCs w:val="6"/>
                <w:color w:val="auto"/>
              </w:rPr>
              <w:t>$4,974,000(2)</w:t>
            </w:r>
          </w:p>
        </w:tc>
        <w:tc>
          <w:tcPr>
            <w:tcW w:w="60" w:type="dxa"/>
            <w:vAlign w:val="bottom"/>
          </w:tcPr>
          <w:p>
            <w:pPr>
              <w:spacing w:after="0"/>
              <w:rPr>
                <w:sz w:val="5"/>
                <w:szCs w:val="5"/>
                <w:color w:val="auto"/>
              </w:rPr>
            </w:pPr>
          </w:p>
        </w:tc>
        <w:tc>
          <w:tcPr>
            <w:tcW w:w="1280" w:type="dxa"/>
            <w:vAlign w:val="bottom"/>
            <w:gridSpan w:val="3"/>
          </w:tcPr>
          <w:p>
            <w:pPr>
              <w:ind w:left="160"/>
              <w:spacing w:after="0" w:line="59" w:lineRule="exact"/>
              <w:rPr>
                <w:sz w:val="20"/>
                <w:szCs w:val="20"/>
                <w:color w:val="auto"/>
              </w:rPr>
            </w:pPr>
            <w:r>
              <w:rPr>
                <w:rFonts w:ascii="Arial" w:cs="Arial" w:eastAsia="Arial" w:hAnsi="Arial"/>
                <w:sz w:val="6"/>
                <w:szCs w:val="6"/>
                <w:color w:val="auto"/>
              </w:rPr>
              <w:t>$1,031,250(3)</w:t>
            </w: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tcPr>
          <w:p>
            <w:pPr>
              <w:spacing w:after="0"/>
              <w:rPr>
                <w:sz w:val="12"/>
                <w:szCs w:val="12"/>
                <w:color w:val="auto"/>
              </w:rPr>
            </w:pP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2"/>
                <w:szCs w:val="12"/>
                <w:color w:val="auto"/>
              </w:rPr>
            </w:pP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tcPr>
          <w:p>
            <w:pPr>
              <w:spacing w:after="0"/>
              <w:rPr>
                <w:sz w:val="12"/>
                <w:szCs w:val="12"/>
                <w:color w:val="auto"/>
              </w:rPr>
            </w:pP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​2022</w:t>
            </w:r>
          </w:p>
        </w:tc>
        <w:tc>
          <w:tcPr>
            <w:tcW w:w="9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$1,150,000</w:t>
            </w:r>
          </w:p>
        </w:tc>
        <w:tc>
          <w:tcPr>
            <w:tcW w:w="94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$1,250,000</w:t>
            </w:r>
          </w:p>
        </w:tc>
        <w:tc>
          <w:tcPr>
            <w:tcW w:w="120" w:type="dxa"/>
            <w:vAlign w:val="bottom"/>
            <w:tcBorders>
              <w:bottom w:val="single" w:sz="8" w:color="00C08A"/>
            </w:tcBorders>
          </w:tcPr>
          <w:p>
            <w:pPr>
              <w:spacing w:after="0"/>
              <w:rPr>
                <w:sz w:val="7"/>
                <w:szCs w:val="7"/>
                <w:color w:val="auto"/>
              </w:rPr>
            </w:pPr>
          </w:p>
        </w:tc>
        <w:tc>
          <w:tcPr>
            <w:tcW w:w="10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$7,889,500(2)</w:t>
            </w:r>
          </w:p>
        </w:tc>
        <w:tc>
          <w:tcPr>
            <w:tcW w:w="60" w:type="dxa"/>
            <w:vAlign w:val="bottom"/>
            <w:tcBorders>
              <w:bottom w:val="single" w:sz="8" w:color="00C08A"/>
            </w:tcBorders>
          </w:tcPr>
          <w:p>
            <w:pPr>
              <w:spacing w:after="0"/>
              <w:rPr>
                <w:sz w:val="7"/>
                <w:szCs w:val="7"/>
                <w:color w:val="auto"/>
              </w:rPr>
            </w:pPr>
          </w:p>
        </w:tc>
        <w:tc>
          <w:tcPr>
            <w:tcW w:w="1280" w:type="dxa"/>
            <w:vAlign w:val="bottom"/>
            <w:tcBorders>
              <w:bottom w:val="single" w:sz="8" w:color="00C08A"/>
            </w:tcBorders>
            <w:gridSpan w:val="3"/>
          </w:tcPr>
          <w:p>
            <w:pPr>
              <w:ind w:left="160"/>
              <w:spacing w:after="0" w:line="81" w:lineRule="exact"/>
              <w:rPr>
                <w:sz w:val="20"/>
                <w:szCs w:val="20"/>
                <w:color w:val="auto"/>
              </w:rPr>
            </w:pPr>
            <w:r>
              <w:rPr>
                <w:rFonts w:ascii="Arial" w:cs="Arial" w:eastAsia="Arial" w:hAnsi="Arial"/>
                <w:sz w:val="9"/>
                <w:szCs w:val="9"/>
                <w:color w:val="auto"/>
              </w:rPr>
              <w:t>$1,250,000(3)</w:t>
            </w:r>
          </w:p>
        </w:tc>
        <w:tc>
          <w:tcPr>
            <w:tcW w:w="900" w:type="dxa"/>
            <w:vAlign w:val="bottom"/>
            <w:tcBorders>
              <w:bottom w:val="single" w:sz="8" w:color="00C08A"/>
            </w:tcBorders>
            <w:gridSpan w:val="2"/>
          </w:tcPr>
          <w:p>
            <w:pPr>
              <w:ind w:left="120"/>
              <w:spacing w:after="0" w:line="81" w:lineRule="exact"/>
              <w:rPr>
                <w:sz w:val="20"/>
                <w:szCs w:val="20"/>
                <w:color w:val="auto"/>
              </w:rPr>
            </w:pPr>
            <w:r>
              <w:rPr>
                <w:rFonts w:ascii="Arial" w:cs="Arial" w:eastAsia="Arial" w:hAnsi="Arial"/>
                <w:sz w:val="9"/>
                <w:szCs w:val="9"/>
                <w:color w:val="auto"/>
              </w:rPr>
              <w:t>$512,761(4)</w:t>
            </w:r>
          </w:p>
        </w:tc>
        <w:tc>
          <w:tcPr>
            <w:tcW w:w="160" w:type="dxa"/>
            <w:vAlign w:val="bottom"/>
            <w:tcBorders>
              <w:bottom w:val="single" w:sz="8" w:color="00C08A"/>
            </w:tcBorders>
          </w:tcPr>
          <w:p>
            <w:pPr>
              <w:spacing w:after="0"/>
              <w:rPr>
                <w:sz w:val="7"/>
                <w:szCs w:val="7"/>
                <w:color w:val="auto"/>
              </w:rPr>
            </w:pPr>
          </w:p>
        </w:tc>
        <w:tc>
          <w:tcPr>
            <w:tcW w:w="90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$12,052,261</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Joseph Molluso</w:t>
            </w:r>
          </w:p>
        </w:tc>
        <w:tc>
          <w:tcPr>
            <w:tcW w:w="520" w:type="dxa"/>
            <w:vAlign w:val="bottom"/>
            <w:gridSpan w:val="2"/>
          </w:tcPr>
          <w:p>
            <w:pPr>
              <w:jc w:val="right"/>
              <w:ind w:right="247"/>
              <w:spacing w:after="0" w:line="115" w:lineRule="exact"/>
              <w:rPr>
                <w:sz w:val="20"/>
                <w:szCs w:val="20"/>
                <w:color w:val="auto"/>
              </w:rPr>
            </w:pPr>
            <w:r>
              <w:rPr>
                <w:rFonts w:ascii="Arial" w:cs="Arial" w:eastAsia="Arial" w:hAnsi="Arial"/>
                <w:sz w:val="13"/>
                <w:szCs w:val="13"/>
                <w:color w:val="auto"/>
              </w:rPr>
              <w:t>​ ​​</w:t>
            </w:r>
          </w:p>
        </w:tc>
        <w:tc>
          <w:tcPr>
            <w:tcW w:w="320" w:type="dxa"/>
            <w:vAlign w:val="bottom"/>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tcPr>
          <w:p>
            <w:pPr>
              <w:spacing w:after="0"/>
              <w:rPr>
                <w:sz w:val="10"/>
                <w:szCs w:val="10"/>
                <w:color w:val="auto"/>
              </w:rPr>
            </w:pPr>
          </w:p>
        </w:tc>
        <w:tc>
          <w:tcPr>
            <w:tcW w:w="280" w:type="dxa"/>
            <w:vAlign w:val="bottom"/>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4,863,750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61" w:lineRule="exact"/>
              <w:rPr>
                <w:sz w:val="20"/>
                <w:szCs w:val="20"/>
                <w:color w:val="auto"/>
              </w:rPr>
            </w:pPr>
            <w:r>
              <w:rPr>
                <w:rFonts w:ascii="Arial" w:cs="Arial" w:eastAsia="Arial" w:hAnsi="Arial"/>
                <w:sz w:val="6"/>
                <w:szCs w:val="6"/>
                <w:color w:val="auto"/>
              </w:rPr>
              <w:t>​2024</w:t>
            </w:r>
          </w:p>
        </w:tc>
        <w:tc>
          <w:tcPr>
            <w:tcW w:w="320" w:type="dxa"/>
            <w:vAlign w:val="bottom"/>
          </w:tcPr>
          <w:p>
            <w:pPr>
              <w:jc w:val="right"/>
              <w:spacing w:after="0" w:line="61"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61"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61" w:lineRule="exact"/>
              <w:rPr>
                <w:sz w:val="20"/>
                <w:szCs w:val="20"/>
                <w:color w:val="auto"/>
              </w:rPr>
            </w:pPr>
            <w:r>
              <w:rPr>
                <w:rFonts w:ascii="Arial" w:cs="Arial" w:eastAsia="Arial" w:hAnsi="Arial"/>
                <w:sz w:val="6"/>
                <w:szCs w:val="6"/>
                <w:color w:val="auto"/>
              </w:rPr>
              <w:t>$2,763,750(2)</w:t>
            </w:r>
          </w:p>
        </w:tc>
        <w:tc>
          <w:tcPr>
            <w:tcW w:w="60" w:type="dxa"/>
            <w:vAlign w:val="bottom"/>
          </w:tcPr>
          <w:p>
            <w:pPr>
              <w:spacing w:after="0"/>
              <w:rPr>
                <w:sz w:val="5"/>
                <w:szCs w:val="5"/>
                <w:color w:val="auto"/>
              </w:rPr>
            </w:pPr>
          </w:p>
        </w:tc>
        <w:tc>
          <w:tcPr>
            <w:tcW w:w="280" w:type="dxa"/>
            <w:vAlign w:val="bottom"/>
          </w:tcPr>
          <w:p>
            <w:pPr>
              <w:ind w:left="160"/>
              <w:spacing w:after="0" w:line="61"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61" w:lineRule="exact"/>
              <w:rPr>
                <w:sz w:val="20"/>
                <w:szCs w:val="20"/>
                <w:color w:val="auto"/>
              </w:rPr>
            </w:pPr>
            <w:r>
              <w:rPr>
                <w:rFonts w:ascii="Arial" w:cs="Arial" w:eastAsia="Arial" w:hAnsi="Arial"/>
                <w:sz w:val="6"/>
                <w:szCs w:val="6"/>
                <w:color w:val="auto"/>
              </w:rPr>
              <w:t>750,000(3)</w:t>
            </w:r>
          </w:p>
        </w:tc>
        <w:tc>
          <w:tcPr>
            <w:tcW w:w="240" w:type="dxa"/>
            <w:vAlign w:val="bottom"/>
          </w:tcPr>
          <w:p>
            <w:pPr>
              <w:ind w:left="120"/>
              <w:spacing w:after="0" w:line="61"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61"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40"/>
              <w:spacing w:after="0"/>
              <w:rPr>
                <w:sz w:val="20"/>
                <w:szCs w:val="20"/>
                <w:color w:val="auto"/>
              </w:rPr>
            </w:pPr>
            <w:r>
              <w:rPr>
                <w:rFonts w:ascii="Arial" w:cs="Arial" w:eastAsia="Arial" w:hAnsi="Arial"/>
                <w:sz w:val="14"/>
                <w:szCs w:val="14"/>
                <w:i w:val="1"/>
                <w:iCs w:val="1"/>
                <w:color w:val="auto"/>
              </w:rPr>
              <w:t>Co-President and Co-Chief</w:t>
            </w:r>
          </w:p>
        </w:tc>
        <w:tc>
          <w:tcPr>
            <w:tcW w:w="80" w:type="dxa"/>
            <w:vAlign w:val="bottom"/>
          </w:tcPr>
          <w:p>
            <w:pPr>
              <w:spacing w:after="0"/>
              <w:rPr>
                <w:sz w:val="14"/>
                <w:szCs w:val="14"/>
                <w:color w:val="auto"/>
              </w:rPr>
            </w:pPr>
          </w:p>
        </w:tc>
        <w:tc>
          <w:tcPr>
            <w:tcW w:w="440" w:type="dxa"/>
            <w:vAlign w:val="bottom"/>
          </w:tcPr>
          <w:p>
            <w:pPr>
              <w:jc w:val="right"/>
              <w:ind w:right="247"/>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475,000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3,955,750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Operating Officer</w:t>
            </w: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32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59" w:lineRule="exact"/>
              <w:rPr>
                <w:sz w:val="20"/>
                <w:szCs w:val="20"/>
                <w:color w:val="auto"/>
              </w:rPr>
            </w:pPr>
            <w:r>
              <w:rPr>
                <w:rFonts w:ascii="Arial" w:cs="Arial" w:eastAsia="Arial" w:hAnsi="Arial"/>
                <w:sz w:val="6"/>
                <w:szCs w:val="6"/>
                <w:color w:val="auto"/>
              </w:rPr>
              <w:t>$2,405,750(2)</w:t>
            </w:r>
          </w:p>
        </w:tc>
        <w:tc>
          <w:tcPr>
            <w:tcW w:w="60" w:type="dxa"/>
            <w:vAlign w:val="bottom"/>
          </w:tcPr>
          <w:p>
            <w:pPr>
              <w:spacing w:after="0"/>
              <w:rPr>
                <w:sz w:val="5"/>
                <w:szCs w:val="5"/>
                <w:color w:val="auto"/>
              </w:rPr>
            </w:pPr>
          </w:p>
        </w:tc>
        <w:tc>
          <w:tcPr>
            <w:tcW w:w="28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59" w:lineRule="exact"/>
              <w:rPr>
                <w:sz w:val="20"/>
                <w:szCs w:val="20"/>
                <w:color w:val="auto"/>
              </w:rPr>
            </w:pPr>
            <w:r>
              <w:rPr>
                <w:rFonts w:ascii="Arial" w:cs="Arial" w:eastAsia="Arial" w:hAnsi="Arial"/>
                <w:sz w:val="6"/>
                <w:szCs w:val="6"/>
                <w:color w:val="auto"/>
              </w:rPr>
              <w:t>475,000(3)</w:t>
            </w: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508,333</w:t>
            </w: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562,500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3,926,500</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​2022</w:t>
            </w:r>
          </w:p>
        </w:tc>
        <w:tc>
          <w:tcPr>
            <w:tcW w:w="32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360" w:type="dxa"/>
            <w:vAlign w:val="bottom"/>
            <w:tcBorders>
              <w:bottom w:val="single" w:sz="8" w:color="00C08A"/>
            </w:tcBorders>
          </w:tcPr>
          <w:p>
            <w:pPr>
              <w:jc w:val="right"/>
              <w:ind w:right="5"/>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00C08A"/>
            </w:tcBorders>
            <w:vMerge w:val="continue"/>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10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$2,293,500(2)</w:t>
            </w:r>
          </w:p>
        </w:tc>
        <w:tc>
          <w:tcPr>
            <w:tcW w:w="6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ind w:left="160"/>
              <w:spacing w:after="0" w:line="81" w:lineRule="exact"/>
              <w:rPr>
                <w:sz w:val="20"/>
                <w:szCs w:val="20"/>
                <w:color w:val="auto"/>
              </w:rPr>
            </w:pPr>
            <w:r>
              <w:rPr>
                <w:rFonts w:ascii="Arial" w:cs="Arial" w:eastAsia="Arial" w:hAnsi="Arial"/>
                <w:sz w:val="9"/>
                <w:szCs w:val="9"/>
                <w:color w:val="auto"/>
              </w:rPr>
              <w:t>$</w:t>
            </w:r>
          </w:p>
        </w:tc>
        <w:tc>
          <w:tcPr>
            <w:tcW w:w="1000" w:type="dxa"/>
            <w:vAlign w:val="bottom"/>
            <w:tcBorders>
              <w:bottom w:val="single" w:sz="8" w:color="00C08A"/>
            </w:tcBorders>
            <w:gridSpan w:val="2"/>
          </w:tcPr>
          <w:p>
            <w:pPr>
              <w:jc w:val="right"/>
              <w:ind w:right="150"/>
              <w:spacing w:after="0" w:line="81" w:lineRule="exact"/>
              <w:rPr>
                <w:sz w:val="20"/>
                <w:szCs w:val="20"/>
                <w:color w:val="auto"/>
              </w:rPr>
            </w:pPr>
            <w:r>
              <w:rPr>
                <w:rFonts w:ascii="Arial" w:cs="Arial" w:eastAsia="Arial" w:hAnsi="Arial"/>
                <w:sz w:val="9"/>
                <w:szCs w:val="9"/>
                <w:color w:val="auto"/>
              </w:rPr>
              <w:t>562,500(3)</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08A"/>
            </w:tcBorders>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Brett Fairclough</w:t>
            </w:r>
          </w:p>
        </w:tc>
        <w:tc>
          <w:tcPr>
            <w:tcW w:w="80" w:type="dxa"/>
            <w:vAlign w:val="bottom"/>
          </w:tcPr>
          <w:p>
            <w:pPr>
              <w:ind w:left="40"/>
              <w:spacing w:after="0" w:line="11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47"/>
              <w:spacing w:after="0" w:line="11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shd w:val="clear" w:color="auto" w:fill="CCEEFF"/>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shd w:val="clear" w:color="auto" w:fill="CCEEFF"/>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4,863,750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bottom w:val="single" w:sz="8" w:color="CCEEFF"/>
            </w:tcBorders>
            <w:shd w:val="clear" w:color="auto" w:fill="CCEEFF"/>
          </w:tcPr>
          <w:p>
            <w:pPr>
              <w:jc w:val="right"/>
              <w:spacing w:after="0" w:line="61" w:lineRule="exact"/>
              <w:rPr>
                <w:sz w:val="20"/>
                <w:szCs w:val="20"/>
                <w:color w:val="auto"/>
              </w:rPr>
            </w:pPr>
            <w:r>
              <w:rPr>
                <w:rFonts w:ascii="Arial" w:cs="Arial" w:eastAsia="Arial" w:hAnsi="Arial"/>
                <w:sz w:val="6"/>
                <w:szCs w:val="6"/>
                <w:color w:val="auto"/>
              </w:rPr>
              <w:t>​2024</w:t>
            </w:r>
          </w:p>
        </w:tc>
        <w:tc>
          <w:tcPr>
            <w:tcW w:w="320" w:type="dxa"/>
            <w:vAlign w:val="bottom"/>
            <w:tcBorders>
              <w:bottom w:val="single" w:sz="8" w:color="CCEEFF"/>
            </w:tcBorders>
            <w:shd w:val="clear" w:color="auto" w:fill="CCEEFF"/>
          </w:tcPr>
          <w:p>
            <w:pPr>
              <w:jc w:val="right"/>
              <w:spacing w:after="0" w:line="61"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jc w:val="right"/>
              <w:ind w:right="5"/>
              <w:spacing w:after="0" w:line="61"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gridSpan w:val="2"/>
            <w:shd w:val="clear" w:color="auto" w:fill="CCEEFF"/>
          </w:tcPr>
          <w:p>
            <w:pPr>
              <w:jc w:val="right"/>
              <w:spacing w:after="0" w:line="61" w:lineRule="exact"/>
              <w:rPr>
                <w:sz w:val="20"/>
                <w:szCs w:val="20"/>
                <w:color w:val="auto"/>
              </w:rPr>
            </w:pPr>
            <w:r>
              <w:rPr>
                <w:rFonts w:ascii="Arial" w:cs="Arial" w:eastAsia="Arial" w:hAnsi="Arial"/>
                <w:sz w:val="6"/>
                <w:szCs w:val="6"/>
                <w:color w:val="auto"/>
              </w:rPr>
              <w:t>$2,763,750(2)</w:t>
            </w:r>
          </w:p>
        </w:tc>
        <w:tc>
          <w:tcPr>
            <w:tcW w:w="6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ind w:left="160"/>
              <w:spacing w:after="0" w:line="61" w:lineRule="exact"/>
              <w:rPr>
                <w:sz w:val="20"/>
                <w:szCs w:val="20"/>
                <w:color w:val="auto"/>
              </w:rPr>
            </w:pPr>
            <w:r>
              <w:rPr>
                <w:rFonts w:ascii="Arial" w:cs="Arial" w:eastAsia="Arial" w:hAnsi="Arial"/>
                <w:sz w:val="6"/>
                <w:szCs w:val="6"/>
                <w:color w:val="auto"/>
              </w:rPr>
              <w:t>$</w:t>
            </w:r>
          </w:p>
        </w:tc>
        <w:tc>
          <w:tcPr>
            <w:tcW w:w="1000" w:type="dxa"/>
            <w:vAlign w:val="bottom"/>
            <w:tcBorders>
              <w:bottom w:val="single" w:sz="8" w:color="CCEEFF"/>
            </w:tcBorders>
            <w:gridSpan w:val="2"/>
            <w:shd w:val="clear" w:color="auto" w:fill="CCEEFF"/>
          </w:tcPr>
          <w:p>
            <w:pPr>
              <w:jc w:val="right"/>
              <w:ind w:right="150"/>
              <w:spacing w:after="0" w:line="61" w:lineRule="exact"/>
              <w:rPr>
                <w:sz w:val="20"/>
                <w:szCs w:val="20"/>
                <w:color w:val="auto"/>
              </w:rPr>
            </w:pPr>
            <w:r>
              <w:rPr>
                <w:rFonts w:ascii="Arial" w:cs="Arial" w:eastAsia="Arial" w:hAnsi="Arial"/>
                <w:sz w:val="6"/>
                <w:szCs w:val="6"/>
                <w:color w:val="auto"/>
              </w:rPr>
              <w:t>750,000(3)</w:t>
            </w:r>
          </w:p>
        </w:tc>
        <w:tc>
          <w:tcPr>
            <w:tcW w:w="240" w:type="dxa"/>
            <w:vAlign w:val="bottom"/>
            <w:tcBorders>
              <w:bottom w:val="single" w:sz="8" w:color="CCEEFF"/>
            </w:tcBorders>
            <w:shd w:val="clear" w:color="auto" w:fill="CCEEFF"/>
          </w:tcPr>
          <w:p>
            <w:pPr>
              <w:ind w:left="120"/>
              <w:spacing w:after="0" w:line="61"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ind w:left="100"/>
              <w:spacing w:after="0" w:line="61"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Co-President and Co-Chief</w:t>
            </w:r>
          </w:p>
        </w:tc>
        <w:tc>
          <w:tcPr>
            <w:tcW w:w="80" w:type="dxa"/>
            <w:vAlign w:val="bottom"/>
          </w:tcPr>
          <w:p>
            <w:pPr>
              <w:spacing w:after="0"/>
              <w:rPr>
                <w:sz w:val="10"/>
                <w:szCs w:val="10"/>
                <w:color w:val="auto"/>
              </w:rPr>
            </w:pPr>
          </w:p>
        </w:tc>
        <w:tc>
          <w:tcPr>
            <w:tcW w:w="440" w:type="dxa"/>
            <w:vAlign w:val="bottom"/>
          </w:tcPr>
          <w:p>
            <w:pPr>
              <w:jc w:val="right"/>
              <w:ind w:right="247"/>
              <w:spacing w:after="0" w:line="122"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22"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line="122"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475,000</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22"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22"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28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0"/>
                <w:szCs w:val="10"/>
                <w:color w:val="auto"/>
              </w:rPr>
            </w:pPr>
          </w:p>
        </w:tc>
        <w:tc>
          <w:tcPr>
            <w:tcW w:w="16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4,339,564</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Operating Officer</w:t>
            </w: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32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59" w:lineRule="exact"/>
              <w:rPr>
                <w:sz w:val="20"/>
                <w:szCs w:val="20"/>
                <w:color w:val="auto"/>
              </w:rPr>
            </w:pPr>
            <w:r>
              <w:rPr>
                <w:rFonts w:ascii="Arial" w:cs="Arial" w:eastAsia="Arial" w:hAnsi="Arial"/>
                <w:sz w:val="6"/>
                <w:szCs w:val="6"/>
                <w:color w:val="auto"/>
              </w:rPr>
              <w:t>$2,405,750(2)</w:t>
            </w:r>
          </w:p>
        </w:tc>
        <w:tc>
          <w:tcPr>
            <w:tcW w:w="60" w:type="dxa"/>
            <w:vAlign w:val="bottom"/>
          </w:tcPr>
          <w:p>
            <w:pPr>
              <w:spacing w:after="0"/>
              <w:rPr>
                <w:sz w:val="5"/>
                <w:szCs w:val="5"/>
                <w:color w:val="auto"/>
              </w:rPr>
            </w:pPr>
          </w:p>
        </w:tc>
        <w:tc>
          <w:tcPr>
            <w:tcW w:w="28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59" w:lineRule="exact"/>
              <w:rPr>
                <w:sz w:val="20"/>
                <w:szCs w:val="20"/>
                <w:color w:val="auto"/>
              </w:rPr>
            </w:pPr>
            <w:r>
              <w:rPr>
                <w:rFonts w:ascii="Arial" w:cs="Arial" w:eastAsia="Arial" w:hAnsi="Arial"/>
                <w:sz w:val="6"/>
                <w:szCs w:val="6"/>
                <w:color w:val="auto"/>
              </w:rPr>
              <w:t>475,000(3)</w:t>
            </w:r>
          </w:p>
        </w:tc>
        <w:tc>
          <w:tcPr>
            <w:tcW w:w="900" w:type="dxa"/>
            <w:vAlign w:val="bottom"/>
            <w:gridSpan w:val="2"/>
          </w:tcPr>
          <w:p>
            <w:pPr>
              <w:ind w:left="120"/>
              <w:spacing w:after="0" w:line="59" w:lineRule="exact"/>
              <w:rPr>
                <w:sz w:val="20"/>
                <w:szCs w:val="20"/>
                <w:color w:val="auto"/>
              </w:rPr>
            </w:pPr>
            <w:r>
              <w:rPr>
                <w:rFonts w:ascii="Arial" w:cs="Arial" w:eastAsia="Arial" w:hAnsi="Arial"/>
                <w:sz w:val="6"/>
                <w:szCs w:val="6"/>
                <w:color w:val="auto"/>
              </w:rPr>
              <w:t>$383,814(5)</w:t>
            </w: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508,333</w:t>
            </w: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562,500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3,692,833</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​2022</w:t>
            </w:r>
          </w:p>
        </w:tc>
        <w:tc>
          <w:tcPr>
            <w:tcW w:w="32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360" w:type="dxa"/>
            <w:vAlign w:val="bottom"/>
            <w:tcBorders>
              <w:bottom w:val="single" w:sz="8" w:color="00C08A"/>
            </w:tcBorders>
          </w:tcPr>
          <w:p>
            <w:pPr>
              <w:jc w:val="right"/>
              <w:ind w:right="5"/>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00C08A"/>
            </w:tcBorders>
            <w:vMerge w:val="continue"/>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10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$2,059,500(2)</w:t>
            </w:r>
          </w:p>
        </w:tc>
        <w:tc>
          <w:tcPr>
            <w:tcW w:w="6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ind w:left="160"/>
              <w:spacing w:after="0" w:line="81" w:lineRule="exact"/>
              <w:rPr>
                <w:sz w:val="20"/>
                <w:szCs w:val="20"/>
                <w:color w:val="auto"/>
              </w:rPr>
            </w:pPr>
            <w:r>
              <w:rPr>
                <w:rFonts w:ascii="Arial" w:cs="Arial" w:eastAsia="Arial" w:hAnsi="Arial"/>
                <w:sz w:val="9"/>
                <w:szCs w:val="9"/>
                <w:color w:val="auto"/>
              </w:rPr>
              <w:t>$</w:t>
            </w:r>
          </w:p>
        </w:tc>
        <w:tc>
          <w:tcPr>
            <w:tcW w:w="1000" w:type="dxa"/>
            <w:vAlign w:val="bottom"/>
            <w:tcBorders>
              <w:bottom w:val="single" w:sz="8" w:color="00C08A"/>
            </w:tcBorders>
            <w:gridSpan w:val="2"/>
          </w:tcPr>
          <w:p>
            <w:pPr>
              <w:jc w:val="right"/>
              <w:ind w:right="150"/>
              <w:spacing w:after="0" w:line="81" w:lineRule="exact"/>
              <w:rPr>
                <w:sz w:val="20"/>
                <w:szCs w:val="20"/>
                <w:color w:val="auto"/>
              </w:rPr>
            </w:pPr>
            <w:r>
              <w:rPr>
                <w:rFonts w:ascii="Arial" w:cs="Arial" w:eastAsia="Arial" w:hAnsi="Arial"/>
                <w:sz w:val="9"/>
                <w:szCs w:val="9"/>
                <w:color w:val="auto"/>
              </w:rPr>
              <w:t>562,500(3)</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08A"/>
            </w:tcBorders>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Stephen Cavoli</w:t>
            </w:r>
          </w:p>
        </w:tc>
        <w:tc>
          <w:tcPr>
            <w:tcW w:w="520" w:type="dxa"/>
            <w:vAlign w:val="bottom"/>
            <w:gridSpan w:val="2"/>
          </w:tcPr>
          <w:p>
            <w:pPr>
              <w:jc w:val="right"/>
              <w:ind w:right="247"/>
              <w:spacing w:after="0" w:line="115" w:lineRule="exact"/>
              <w:rPr>
                <w:sz w:val="20"/>
                <w:szCs w:val="20"/>
                <w:color w:val="auto"/>
              </w:rPr>
            </w:pPr>
            <w:r>
              <w:rPr>
                <w:rFonts w:ascii="Arial" w:cs="Arial" w:eastAsia="Arial" w:hAnsi="Arial"/>
                <w:sz w:val="13"/>
                <w:szCs w:val="13"/>
                <w:color w:val="auto"/>
              </w:rPr>
              <w:t>​ ​​</w:t>
            </w:r>
          </w:p>
        </w:tc>
        <w:tc>
          <w:tcPr>
            <w:tcW w:w="320" w:type="dxa"/>
            <w:vAlign w:val="bottom"/>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tcPr>
          <w:p>
            <w:pPr>
              <w:spacing w:after="0"/>
              <w:rPr>
                <w:sz w:val="10"/>
                <w:szCs w:val="10"/>
                <w:color w:val="auto"/>
              </w:rPr>
            </w:pPr>
          </w:p>
        </w:tc>
        <w:tc>
          <w:tcPr>
            <w:tcW w:w="280" w:type="dxa"/>
            <w:vAlign w:val="bottom"/>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4,863,750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61" w:lineRule="exact"/>
              <w:rPr>
                <w:sz w:val="20"/>
                <w:szCs w:val="20"/>
                <w:color w:val="auto"/>
              </w:rPr>
            </w:pPr>
            <w:r>
              <w:rPr>
                <w:rFonts w:ascii="Arial" w:cs="Arial" w:eastAsia="Arial" w:hAnsi="Arial"/>
                <w:sz w:val="6"/>
                <w:szCs w:val="6"/>
                <w:color w:val="auto"/>
              </w:rPr>
              <w:t>​2024</w:t>
            </w:r>
          </w:p>
        </w:tc>
        <w:tc>
          <w:tcPr>
            <w:tcW w:w="320" w:type="dxa"/>
            <w:vAlign w:val="bottom"/>
          </w:tcPr>
          <w:p>
            <w:pPr>
              <w:jc w:val="right"/>
              <w:spacing w:after="0" w:line="61"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61"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61" w:lineRule="exact"/>
              <w:rPr>
                <w:sz w:val="20"/>
                <w:szCs w:val="20"/>
                <w:color w:val="auto"/>
              </w:rPr>
            </w:pPr>
            <w:r>
              <w:rPr>
                <w:rFonts w:ascii="Arial" w:cs="Arial" w:eastAsia="Arial" w:hAnsi="Arial"/>
                <w:sz w:val="6"/>
                <w:szCs w:val="6"/>
                <w:color w:val="auto"/>
              </w:rPr>
              <w:t>$2,763,750(2)</w:t>
            </w:r>
          </w:p>
        </w:tc>
        <w:tc>
          <w:tcPr>
            <w:tcW w:w="60" w:type="dxa"/>
            <w:vAlign w:val="bottom"/>
          </w:tcPr>
          <w:p>
            <w:pPr>
              <w:spacing w:after="0"/>
              <w:rPr>
                <w:sz w:val="5"/>
                <w:szCs w:val="5"/>
                <w:color w:val="auto"/>
              </w:rPr>
            </w:pPr>
          </w:p>
        </w:tc>
        <w:tc>
          <w:tcPr>
            <w:tcW w:w="280" w:type="dxa"/>
            <w:vAlign w:val="bottom"/>
          </w:tcPr>
          <w:p>
            <w:pPr>
              <w:ind w:left="160"/>
              <w:spacing w:after="0" w:line="61"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61" w:lineRule="exact"/>
              <w:rPr>
                <w:sz w:val="20"/>
                <w:szCs w:val="20"/>
                <w:color w:val="auto"/>
              </w:rPr>
            </w:pPr>
            <w:r>
              <w:rPr>
                <w:rFonts w:ascii="Arial" w:cs="Arial" w:eastAsia="Arial" w:hAnsi="Arial"/>
                <w:sz w:val="6"/>
                <w:szCs w:val="6"/>
                <w:color w:val="auto"/>
              </w:rPr>
              <w:t>750,000(3)</w:t>
            </w:r>
          </w:p>
        </w:tc>
        <w:tc>
          <w:tcPr>
            <w:tcW w:w="240" w:type="dxa"/>
            <w:vAlign w:val="bottom"/>
          </w:tcPr>
          <w:p>
            <w:pPr>
              <w:ind w:left="120"/>
              <w:spacing w:after="0" w:line="61"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61"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Markets</w:t>
            </w:r>
          </w:p>
        </w:tc>
        <w:tc>
          <w:tcPr>
            <w:tcW w:w="80" w:type="dxa"/>
            <w:vAlign w:val="bottom"/>
          </w:tcPr>
          <w:p>
            <w:pPr>
              <w:spacing w:after="0"/>
              <w:rPr>
                <w:sz w:val="14"/>
                <w:szCs w:val="14"/>
                <w:color w:val="auto"/>
              </w:rPr>
            </w:pPr>
          </w:p>
        </w:tc>
        <w:tc>
          <w:tcPr>
            <w:tcW w:w="440" w:type="dxa"/>
            <w:vAlign w:val="bottom"/>
          </w:tcPr>
          <w:p>
            <w:pPr>
              <w:jc w:val="right"/>
              <w:ind w:right="247"/>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437,500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3,805,750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32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59" w:lineRule="exact"/>
              <w:rPr>
                <w:sz w:val="20"/>
                <w:szCs w:val="20"/>
                <w:color w:val="auto"/>
              </w:rPr>
            </w:pPr>
            <w:r>
              <w:rPr>
                <w:rFonts w:ascii="Arial" w:cs="Arial" w:eastAsia="Arial" w:hAnsi="Arial"/>
                <w:sz w:val="6"/>
                <w:szCs w:val="6"/>
                <w:color w:val="auto"/>
              </w:rPr>
              <w:t>$2,330,750(2)</w:t>
            </w:r>
          </w:p>
        </w:tc>
        <w:tc>
          <w:tcPr>
            <w:tcW w:w="60" w:type="dxa"/>
            <w:vAlign w:val="bottom"/>
          </w:tcPr>
          <w:p>
            <w:pPr>
              <w:spacing w:after="0"/>
              <w:rPr>
                <w:sz w:val="5"/>
                <w:szCs w:val="5"/>
                <w:color w:val="auto"/>
              </w:rPr>
            </w:pPr>
          </w:p>
        </w:tc>
        <w:tc>
          <w:tcPr>
            <w:tcW w:w="28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59" w:lineRule="exact"/>
              <w:rPr>
                <w:sz w:val="20"/>
                <w:szCs w:val="20"/>
                <w:color w:val="auto"/>
              </w:rPr>
            </w:pPr>
            <w:r>
              <w:rPr>
                <w:rFonts w:ascii="Arial" w:cs="Arial" w:eastAsia="Arial" w:hAnsi="Arial"/>
                <w:sz w:val="6"/>
                <w:szCs w:val="6"/>
                <w:color w:val="auto"/>
              </w:rPr>
              <w:t>437,500(3)</w:t>
            </w: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508,333</w:t>
            </w: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562,000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3,692,833</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​2022</w:t>
            </w:r>
          </w:p>
        </w:tc>
        <w:tc>
          <w:tcPr>
            <w:tcW w:w="32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360" w:type="dxa"/>
            <w:vAlign w:val="bottom"/>
            <w:tcBorders>
              <w:bottom w:val="single" w:sz="8" w:color="00C08A"/>
            </w:tcBorders>
          </w:tcPr>
          <w:p>
            <w:pPr>
              <w:jc w:val="right"/>
              <w:ind w:right="5"/>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00C08A"/>
            </w:tcBorders>
            <w:vMerge w:val="continue"/>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10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$2,059,500(2)</w:t>
            </w:r>
          </w:p>
        </w:tc>
        <w:tc>
          <w:tcPr>
            <w:tcW w:w="6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ind w:left="160"/>
              <w:spacing w:after="0" w:line="81" w:lineRule="exact"/>
              <w:rPr>
                <w:sz w:val="20"/>
                <w:szCs w:val="20"/>
                <w:color w:val="auto"/>
              </w:rPr>
            </w:pPr>
            <w:r>
              <w:rPr>
                <w:rFonts w:ascii="Arial" w:cs="Arial" w:eastAsia="Arial" w:hAnsi="Arial"/>
                <w:sz w:val="9"/>
                <w:szCs w:val="9"/>
                <w:color w:val="auto"/>
              </w:rPr>
              <w:t>$</w:t>
            </w:r>
          </w:p>
        </w:tc>
        <w:tc>
          <w:tcPr>
            <w:tcW w:w="1000" w:type="dxa"/>
            <w:vAlign w:val="bottom"/>
            <w:tcBorders>
              <w:bottom w:val="single" w:sz="8" w:color="00C08A"/>
            </w:tcBorders>
            <w:gridSpan w:val="2"/>
          </w:tcPr>
          <w:p>
            <w:pPr>
              <w:jc w:val="right"/>
              <w:ind w:right="150"/>
              <w:spacing w:after="0" w:line="81" w:lineRule="exact"/>
              <w:rPr>
                <w:sz w:val="20"/>
                <w:szCs w:val="20"/>
                <w:color w:val="auto"/>
              </w:rPr>
            </w:pPr>
            <w:r>
              <w:rPr>
                <w:rFonts w:ascii="Arial" w:cs="Arial" w:eastAsia="Arial" w:hAnsi="Arial"/>
                <w:sz w:val="9"/>
                <w:szCs w:val="9"/>
                <w:color w:val="auto"/>
              </w:rPr>
              <w:t>562,500(3)</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08A"/>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Cindy Lee</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​​2024​​ ​​$</w:t>
            </w:r>
          </w:p>
        </w:tc>
        <w:tc>
          <w:tcPr>
            <w:tcW w:w="9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327,083​​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466,690​​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​$ 1,181,110​(2)​</w:t>
            </w: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  ​​ ​</w:t>
            </w:r>
          </w:p>
        </w:tc>
        <w:tc>
          <w:tcPr>
            <w:tcW w:w="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1,974,883</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360" w:type="dxa"/>
            <w:vAlign w:val="bottom"/>
            <w:tcBorders>
              <w:top w:val="single" w:sz="8" w:color="00C08A"/>
            </w:tcBorders>
            <w:vMerge w:val="restart"/>
          </w:tcPr>
          <w:p>
            <w:pPr>
              <w:spacing w:after="0"/>
              <w:rPr>
                <w:sz w:val="20"/>
                <w:szCs w:val="20"/>
                <w:color w:val="auto"/>
              </w:rPr>
            </w:pPr>
            <w:r>
              <w:rPr>
                <w:rFonts w:ascii="Arial" w:cs="Arial" w:eastAsia="Arial" w:hAnsi="Arial"/>
                <w:sz w:val="14"/>
                <w:szCs w:val="14"/>
                <w:b w:val="1"/>
                <w:bCs w:val="1"/>
                <w:color w:val="auto"/>
              </w:rPr>
              <w:t>Sean P. Galvin</w:t>
            </w:r>
          </w:p>
        </w:tc>
        <w:tc>
          <w:tcPr>
            <w:tcW w:w="520" w:type="dxa"/>
            <w:vAlign w:val="bottom"/>
            <w:tcBorders>
              <w:top w:val="single" w:sz="8" w:color="00C08A"/>
            </w:tcBorders>
            <w:gridSpan w:val="2"/>
          </w:tcPr>
          <w:p>
            <w:pPr>
              <w:jc w:val="right"/>
              <w:ind w:right="247"/>
              <w:spacing w:after="0" w:line="115" w:lineRule="exact"/>
              <w:rPr>
                <w:sz w:val="20"/>
                <w:szCs w:val="20"/>
                <w:color w:val="auto"/>
              </w:rPr>
            </w:pPr>
            <w:r>
              <w:rPr>
                <w:rFonts w:ascii="Arial" w:cs="Arial" w:eastAsia="Arial" w:hAnsi="Arial"/>
                <w:sz w:val="13"/>
                <w:szCs w:val="13"/>
                <w:color w:val="auto"/>
              </w:rPr>
              <w:t>​ ​​</w:t>
            </w:r>
          </w:p>
        </w:tc>
        <w:tc>
          <w:tcPr>
            <w:tcW w:w="320" w:type="dxa"/>
            <w:vAlign w:val="bottom"/>
            <w:tcBorders>
              <w:top w:val="single" w:sz="8" w:color="00C08A"/>
            </w:tcBorders>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tcBorders>
              <w:top w:val="single" w:sz="8" w:color="00C08A"/>
            </w:tcBorders>
            <w:vMerge w:val="restart"/>
          </w:tcPr>
          <w:p>
            <w:pPr>
              <w:jc w:val="right"/>
              <w:spacing w:after="0"/>
              <w:rPr>
                <w:sz w:val="20"/>
                <w:szCs w:val="20"/>
                <w:color w:val="auto"/>
              </w:rPr>
            </w:pPr>
            <w:r>
              <w:rPr>
                <w:rFonts w:ascii="Arial" w:cs="Arial" w:eastAsia="Arial" w:hAnsi="Arial"/>
                <w:sz w:val="14"/>
                <w:szCs w:val="14"/>
                <w:color w:val="auto"/>
              </w:rPr>
              <w:t>300,000</w:t>
            </w:r>
          </w:p>
        </w:tc>
        <w:tc>
          <w:tcPr>
            <w:tcW w:w="360" w:type="dxa"/>
            <w:vAlign w:val="bottom"/>
            <w:tcBorders>
              <w:top w:val="single" w:sz="8" w:color="00C08A"/>
            </w:tcBorders>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tcBorders>
              <w:top w:val="single" w:sz="8" w:color="00C08A"/>
            </w:tcBorders>
            <w:vMerge w:val="restart"/>
          </w:tcPr>
          <w:p>
            <w:pPr>
              <w:jc w:val="right"/>
              <w:spacing w:after="0"/>
              <w:rPr>
                <w:sz w:val="20"/>
                <w:szCs w:val="20"/>
                <w:color w:val="auto"/>
              </w:rPr>
            </w:pPr>
            <w:r>
              <w:rPr>
                <w:rFonts w:ascii="Arial" w:cs="Arial" w:eastAsia="Arial" w:hAnsi="Arial"/>
                <w:sz w:val="14"/>
                <w:szCs w:val="14"/>
                <w:color w:val="auto"/>
              </w:rPr>
              <w:t>400,020</w:t>
            </w:r>
          </w:p>
        </w:tc>
        <w:tc>
          <w:tcPr>
            <w:tcW w:w="120" w:type="dxa"/>
            <w:vAlign w:val="bottom"/>
            <w:tcBorders>
              <w:top w:val="single" w:sz="8" w:color="00C08A"/>
            </w:tcBorders>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00C08A"/>
            </w:tcBorders>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tcBorders>
              <w:top w:val="single" w:sz="8" w:color="00C08A"/>
            </w:tcBorders>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tcBorders>
              <w:top w:val="single" w:sz="8" w:color="00C08A"/>
            </w:tcBorders>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00C08A"/>
            </w:tcBorders>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00C08A"/>
            </w:tcBorders>
            <w:vMerge w:val="restart"/>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00C08A"/>
            </w:tcBorders>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tcBorders>
              <w:top w:val="single" w:sz="8" w:color="00C08A"/>
            </w:tcBorders>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00C08A"/>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00C08A"/>
            </w:tcBorders>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00C08A"/>
            </w:tcBorders>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tcBorders>
              <w:top w:val="single" w:sz="8" w:color="00C08A"/>
            </w:tcBorders>
            <w:vMerge w:val="restart"/>
          </w:tcPr>
          <w:p>
            <w:pPr>
              <w:jc w:val="right"/>
              <w:spacing w:after="0"/>
              <w:rPr>
                <w:sz w:val="20"/>
                <w:szCs w:val="20"/>
                <w:color w:val="auto"/>
              </w:rPr>
            </w:pPr>
            <w:r>
              <w:rPr>
                <w:rFonts w:ascii="Arial" w:cs="Arial" w:eastAsia="Arial" w:hAnsi="Arial"/>
                <w:sz w:val="14"/>
                <w:szCs w:val="14"/>
                <w:color w:val="auto"/>
              </w:rPr>
              <w:t>900,000</w:t>
            </w: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61" w:lineRule="exact"/>
              <w:rPr>
                <w:sz w:val="20"/>
                <w:szCs w:val="20"/>
                <w:color w:val="auto"/>
              </w:rPr>
            </w:pPr>
            <w:r>
              <w:rPr>
                <w:rFonts w:ascii="Arial" w:cs="Arial" w:eastAsia="Arial" w:hAnsi="Arial"/>
                <w:sz w:val="6"/>
                <w:szCs w:val="6"/>
                <w:color w:val="auto"/>
              </w:rPr>
              <w:t>​2024</w:t>
            </w:r>
          </w:p>
        </w:tc>
        <w:tc>
          <w:tcPr>
            <w:tcW w:w="320" w:type="dxa"/>
            <w:vAlign w:val="bottom"/>
          </w:tcPr>
          <w:p>
            <w:pPr>
              <w:jc w:val="right"/>
              <w:spacing w:after="0" w:line="61"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61"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20"/>
              <w:spacing w:after="0" w:line="61" w:lineRule="exact"/>
              <w:rPr>
                <w:sz w:val="20"/>
                <w:szCs w:val="20"/>
                <w:color w:val="auto"/>
              </w:rPr>
            </w:pPr>
            <w:r>
              <w:rPr>
                <w:rFonts w:ascii="Arial" w:cs="Arial" w:eastAsia="Arial" w:hAnsi="Arial"/>
                <w:sz w:val="6"/>
                <w:szCs w:val="6"/>
                <w:color w:val="auto"/>
              </w:rPr>
              <w:t>$</w:t>
            </w:r>
          </w:p>
        </w:tc>
        <w:tc>
          <w:tcPr>
            <w:tcW w:w="820" w:type="dxa"/>
            <w:vAlign w:val="bottom"/>
          </w:tcPr>
          <w:p>
            <w:pPr>
              <w:jc w:val="right"/>
              <w:spacing w:after="0" w:line="61" w:lineRule="exact"/>
              <w:rPr>
                <w:sz w:val="20"/>
                <w:szCs w:val="20"/>
                <w:color w:val="auto"/>
              </w:rPr>
            </w:pPr>
            <w:r>
              <w:rPr>
                <w:rFonts w:ascii="Arial" w:cs="Arial" w:eastAsia="Arial" w:hAnsi="Arial"/>
                <w:sz w:val="6"/>
                <w:szCs w:val="6"/>
                <w:color w:val="auto"/>
              </w:rPr>
              <w:t>199,980(2)</w:t>
            </w:r>
          </w:p>
        </w:tc>
        <w:tc>
          <w:tcPr>
            <w:tcW w:w="60" w:type="dxa"/>
            <w:vAlign w:val="bottom"/>
          </w:tcPr>
          <w:p>
            <w:pPr>
              <w:spacing w:after="0"/>
              <w:rPr>
                <w:sz w:val="5"/>
                <w:szCs w:val="5"/>
                <w:color w:val="auto"/>
              </w:rPr>
            </w:pPr>
          </w:p>
        </w:tc>
        <w:tc>
          <w:tcPr>
            <w:tcW w:w="280" w:type="dxa"/>
            <w:vAlign w:val="bottom"/>
          </w:tcPr>
          <w:p>
            <w:pPr>
              <w:ind w:left="160"/>
              <w:spacing w:after="0" w:line="61"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ind w:left="120"/>
              <w:spacing w:after="0" w:line="61"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61"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40"/>
              <w:spacing w:after="0"/>
              <w:rPr>
                <w:sz w:val="20"/>
                <w:szCs w:val="20"/>
                <w:color w:val="auto"/>
              </w:rPr>
            </w:pPr>
            <w:r>
              <w:rPr>
                <w:rFonts w:ascii="Arial" w:cs="Arial" w:eastAsia="Arial" w:hAnsi="Arial"/>
                <w:sz w:val="14"/>
                <w:szCs w:val="14"/>
                <w:i w:val="1"/>
                <w:iCs w:val="1"/>
                <w:color w:val="auto"/>
              </w:rPr>
              <w:t>Former Chief Financial Officer</w:t>
            </w:r>
          </w:p>
        </w:tc>
        <w:tc>
          <w:tcPr>
            <w:tcW w:w="80" w:type="dxa"/>
            <w:vAlign w:val="bottom"/>
          </w:tcPr>
          <w:p>
            <w:pPr>
              <w:spacing w:after="0"/>
              <w:rPr>
                <w:sz w:val="14"/>
                <w:szCs w:val="14"/>
                <w:color w:val="auto"/>
              </w:rPr>
            </w:pPr>
          </w:p>
        </w:tc>
        <w:tc>
          <w:tcPr>
            <w:tcW w:w="440" w:type="dxa"/>
            <w:vAlign w:val="bottom"/>
          </w:tcPr>
          <w:p>
            <w:pPr>
              <w:jc w:val="right"/>
              <w:ind w:right="247"/>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360" w:type="dxa"/>
            <w:vAlign w:val="bottom"/>
          </w:tcPr>
          <w:p>
            <w:pPr>
              <w:jc w:val="right"/>
              <w:ind w:right="65"/>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450,023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975,000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32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820" w:type="dxa"/>
            <w:vAlign w:val="bottom"/>
          </w:tcPr>
          <w:p>
            <w:pPr>
              <w:jc w:val="right"/>
              <w:spacing w:after="0" w:line="59" w:lineRule="exact"/>
              <w:rPr>
                <w:sz w:val="20"/>
                <w:szCs w:val="20"/>
                <w:color w:val="auto"/>
              </w:rPr>
            </w:pPr>
            <w:r>
              <w:rPr>
                <w:rFonts w:ascii="Arial" w:cs="Arial" w:eastAsia="Arial" w:hAnsi="Arial"/>
                <w:sz w:val="6"/>
                <w:szCs w:val="6"/>
                <w:color w:val="auto"/>
              </w:rPr>
              <w:t>224,978(2)</w:t>
            </w:r>
          </w:p>
        </w:tc>
        <w:tc>
          <w:tcPr>
            <w:tcW w:w="60" w:type="dxa"/>
            <w:vAlign w:val="bottom"/>
          </w:tcPr>
          <w:p>
            <w:pPr>
              <w:spacing w:after="0"/>
              <w:rPr>
                <w:sz w:val="5"/>
                <w:szCs w:val="5"/>
                <w:color w:val="auto"/>
              </w:rPr>
            </w:pPr>
          </w:p>
        </w:tc>
        <w:tc>
          <w:tcPr>
            <w:tcW w:w="28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480,000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2,496,350</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36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$1,716,350(2)</w:t>
            </w:r>
          </w:p>
        </w:tc>
        <w:tc>
          <w:tcPr>
            <w:tcW w:w="6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-2376805</wp:posOffset>
            </wp:positionV>
            <wp:extent cx="5829300" cy="420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0" cy="4203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-1545590</wp:posOffset>
            </wp:positionV>
            <wp:extent cx="5829300" cy="411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0" cy="41148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-45085</wp:posOffset>
            </wp:positionV>
            <wp:extent cx="58293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80" w:right="140" w:hanging="218"/>
        <w:spacing w:after="0" w:line="277"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Each amount represents the cash component of the portion of each named executive officer’s annual bonus that was based on the achievement of qualitative goals. For Messrs. Cifu, Molluso, Fairclough and Cavoli and Ms. Lee, the cash component of the annual bonus was 50% for fiscal years 2024, 2023 and 2022, and for Mr. Galvin this was 67% for 2024 and 2023 and 60% for 2022. The remainder in each year was paid in the form of restricted stock units and fully vested shares of our Class A common stock which are reflected in the “Stock Awards” column in the table above.</w:t>
      </w:r>
    </w:p>
    <w:p>
      <w:pPr>
        <w:spacing w:after="0" w:line="69" w:lineRule="exact"/>
        <w:rPr>
          <w:rFonts w:ascii="Arial" w:cs="Arial" w:eastAsia="Arial" w:hAnsi="Arial"/>
          <w:sz w:val="14"/>
          <w:szCs w:val="14"/>
          <w:color w:val="auto"/>
        </w:rPr>
      </w:pPr>
    </w:p>
    <w:p>
      <w:pPr>
        <w:ind w:left="980" w:right="120" w:hanging="218"/>
        <w:spacing w:after="0" w:line="275"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18, Note 19 and Note 20 of the Company’s audited financial statements for the fiscal years ended December 31, 2024, December 31, 2023, and December 31, 2022, respectively, included in our Annual Report on Form 10-K for the fiscal years ended December 31, 2024, December 31, 2023, and December 31, 2022, respectively. The grant of restricted stock units and fully vested shares of our Class A common stock relate to the settlement of Messrs. Cifu, Molluso, Fairclough, Cavoli and Galvin’s 2024, 2023 and 2022 annual bonuses and Ms. Lee’s 2024 annual bonus; however, the awards were actually granted in fiscal years 2025, 2024 and 2023, respectively.</w:t>
      </w:r>
    </w:p>
    <w:p>
      <w:pPr>
        <w:spacing w:after="0" w:line="72" w:lineRule="exact"/>
        <w:rPr>
          <w:rFonts w:ascii="Arial" w:cs="Arial" w:eastAsia="Arial" w:hAnsi="Arial"/>
          <w:sz w:val="14"/>
          <w:szCs w:val="14"/>
          <w:color w:val="auto"/>
        </w:rPr>
      </w:pPr>
    </w:p>
    <w:p>
      <w:pPr>
        <w:ind w:left="980" w:right="160" w:hanging="218"/>
        <w:spacing w:after="0" w:line="282"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Messrs. Cifu, Molluso, Fairclough and Cavoli’s annual bonuses that was based on achievement of performance goals, which was 50% for fiscal years 2024, 2023 and 2022. The remainder in each year was paid in the form of restricted stock units and fully vested shares of our Class A common stock which are reflected in the “Stock Awards” column in the table above.</w:t>
      </w:r>
    </w:p>
    <w:p>
      <w:pPr>
        <w:spacing w:after="0" w:line="80" w:lineRule="exact"/>
        <w:rPr>
          <w:rFonts w:ascii="Arial" w:cs="Arial" w:eastAsia="Arial" w:hAnsi="Arial"/>
          <w:sz w:val="14"/>
          <w:szCs w:val="14"/>
          <w:color w:val="auto"/>
        </w:rPr>
      </w:pPr>
    </w:p>
    <w:p>
      <w:pPr>
        <w:ind w:left="980" w:right="60" w:hanging="218"/>
        <w:spacing w:after="0" w:line="283"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cost of providing transportation services to Mr. Cifu for fiscal years 2024, 2023, and 2022, including the purchase of a vehicle, as well as certain amounts paid to Mr. Cifu in fiscal year 2022 pursuant to the indemnification provisions of the Virtu Financial LLC operating agreement in connection with the settlement of a partnership tax audit related to prior periods.</w:t>
      </w:r>
    </w:p>
    <w:p>
      <w:pPr>
        <w:spacing w:after="0" w:line="78" w:lineRule="exact"/>
        <w:rPr>
          <w:rFonts w:ascii="Arial" w:cs="Arial" w:eastAsia="Arial" w:hAnsi="Arial"/>
          <w:sz w:val="14"/>
          <w:szCs w:val="14"/>
          <w:color w:val="auto"/>
        </w:rPr>
      </w:pPr>
    </w:p>
    <w:p>
      <w:pPr>
        <w:ind w:left="980" w:right="200" w:hanging="218"/>
        <w:spacing w:after="0" w:line="305"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amount of taxes paid by the Company on behalf of Mr. Fairclough in connection with his repatriation to the United States following his tenure in the Company’s Singapore offices from 2014 until 2019.</w:t>
      </w:r>
    </w:p>
    <w:p>
      <w:pPr>
        <w:spacing w:after="0" w:line="49" w:lineRule="exact"/>
        <w:rPr>
          <w:rFonts w:ascii="Arial" w:cs="Arial" w:eastAsia="Arial" w:hAnsi="Arial"/>
          <w:sz w:val="14"/>
          <w:szCs w:val="14"/>
          <w:color w:val="auto"/>
        </w:rPr>
      </w:pPr>
    </w:p>
    <w:p>
      <w:pPr>
        <w:ind w:left="980" w:hanging="218"/>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reflects the amount paid to Mr. Galvin in connection with his new senior role 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ind w:left="1420"/>
        <w:spacing w:after="0"/>
        <w:rPr>
          <w:sz w:val="20"/>
          <w:szCs w:val="20"/>
          <w:color w:val="auto"/>
        </w:rPr>
      </w:pPr>
      <w:r>
        <w:rPr>
          <w:rFonts w:ascii="Arial" w:cs="Arial" w:eastAsia="Arial" w:hAnsi="Arial"/>
          <w:sz w:val="29"/>
          <w:szCs w:val="29"/>
          <w:color w:val="00C08A"/>
        </w:rPr>
        <w:t>GRANTS OF PLAN-BASED AWARDS IN FISCAL YEAR 2024</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information with respect to each award made to our named executive officers in 2024.</w:t>
      </w:r>
    </w:p>
    <w:p>
      <w:pPr>
        <w:spacing w:after="0" w:line="13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2453"/>
              </w:rPr>
              <w:t>All Other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002453"/>
              </w:rPr>
              <w:t>Estimated Possible Payouts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w w:val="99"/>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002453"/>
              </w:rPr>
              <w:t>Awards:</w:t>
            </w:r>
          </w:p>
        </w:tc>
        <w:tc>
          <w:tcPr>
            <w:tcW w:w="940" w:type="dxa"/>
            <w:vAlign w:val="bottom"/>
            <w:gridSpan w:val="5"/>
            <w:vMerge w:val="restart"/>
          </w:tcPr>
          <w:p>
            <w:pPr>
              <w:jc w:val="center"/>
              <w:spacing w:after="0" w:line="158" w:lineRule="exact"/>
              <w:rPr>
                <w:sz w:val="20"/>
                <w:szCs w:val="20"/>
                <w:color w:val="auto"/>
              </w:rPr>
            </w:pPr>
            <w:r>
              <w:rPr>
                <w:rFonts w:ascii="Arial" w:cs="Arial" w:eastAsia="Arial" w:hAnsi="Arial"/>
                <w:sz w:val="14"/>
                <w:szCs w:val="14"/>
                <w:b w:val="1"/>
                <w:bCs w:val="1"/>
                <w:color w:val="002453"/>
              </w:rPr>
              <w:t>Grant Date</w:t>
            </w: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4"/>
            <w:vMerge w:val="restart"/>
          </w:tcPr>
          <w:p>
            <w:pPr>
              <w:ind w:left="420"/>
              <w:spacing w:after="0" w:line="149" w:lineRule="exact"/>
              <w:rPr>
                <w:sz w:val="20"/>
                <w:szCs w:val="20"/>
                <w:color w:val="auto"/>
              </w:rPr>
            </w:pPr>
            <w:r>
              <w:rPr>
                <w:rFonts w:ascii="Arial" w:cs="Arial" w:eastAsia="Arial" w:hAnsi="Arial"/>
                <w:sz w:val="14"/>
                <w:szCs w:val="14"/>
                <w:b w:val="1"/>
                <w:bCs w:val="1"/>
                <w:color w:val="002453"/>
              </w:rPr>
              <w:t>Under Non-Equity</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6"/>
            <w:vMerge w:val="restart"/>
          </w:tcPr>
          <w:p>
            <w:pPr>
              <w:jc w:val="right"/>
              <w:ind w:right="208"/>
              <w:spacing w:after="0" w:line="149" w:lineRule="exact"/>
              <w:rPr>
                <w:sz w:val="20"/>
                <w:szCs w:val="20"/>
                <w:color w:val="auto"/>
              </w:rPr>
            </w:pPr>
            <w:r>
              <w:rPr>
                <w:rFonts w:ascii="Arial" w:cs="Arial" w:eastAsia="Arial" w:hAnsi="Arial"/>
                <w:sz w:val="14"/>
                <w:szCs w:val="14"/>
                <w:b w:val="1"/>
                <w:bCs w:val="1"/>
                <w:color w:val="002453"/>
              </w:rPr>
              <w:t>Estimated Possible Payouts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Number of</w:t>
            </w:r>
          </w:p>
        </w:tc>
        <w:tc>
          <w:tcPr>
            <w:tcW w:w="140" w:type="dxa"/>
            <w:vAlign w:val="bottom"/>
          </w:tcPr>
          <w:p>
            <w:pPr>
              <w:spacing w:after="0"/>
              <w:rPr>
                <w:sz w:val="4"/>
                <w:szCs w:val="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w w:val="98"/>
              </w:rPr>
              <w:t>Fair Value</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5"/>
          </w:tcPr>
          <w:p>
            <w:pPr>
              <w:ind w:left="280"/>
              <w:spacing w:after="0" w:line="135" w:lineRule="exact"/>
              <w:rPr>
                <w:sz w:val="20"/>
                <w:szCs w:val="20"/>
                <w:color w:val="auto"/>
              </w:rPr>
            </w:pPr>
            <w:r>
              <w:rPr>
                <w:rFonts w:ascii="Arial" w:cs="Arial" w:eastAsia="Arial" w:hAnsi="Arial"/>
                <w:sz w:val="14"/>
                <w:szCs w:val="14"/>
                <w:b w:val="1"/>
                <w:bCs w:val="1"/>
                <w:color w:val="002453"/>
              </w:rPr>
              <w:t>Incentive Plan Awards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8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002453"/>
              </w:rPr>
              <w:t>Under Equity Incentive Plan Awards</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2453"/>
              </w:rPr>
              <w:t>​</w:t>
            </w: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00" w:type="dxa"/>
            <w:vAlign w:val="bottom"/>
            <w:vMerge w:val="restart"/>
          </w:tcPr>
          <w:p>
            <w:pPr>
              <w:jc w:val="right"/>
              <w:spacing w:after="0" w:line="95" w:lineRule="exact"/>
              <w:rPr>
                <w:sz w:val="20"/>
                <w:szCs w:val="20"/>
                <w:color w:val="auto"/>
              </w:rPr>
            </w:pPr>
            <w:r>
              <w:rPr>
                <w:rFonts w:ascii="Arial" w:cs="Arial" w:eastAsia="Arial" w:hAnsi="Arial"/>
                <w:sz w:val="10"/>
                <w:szCs w:val="10"/>
                <w:b w:val="1"/>
                <w:bCs w:val="1"/>
                <w:color w:val="002453"/>
              </w:rPr>
              <w:t>​​</w:t>
            </w:r>
          </w:p>
        </w:tc>
        <w:tc>
          <w:tcPr>
            <w:tcW w:w="500" w:type="dxa"/>
            <w:vAlign w:val="bottom"/>
          </w:tcPr>
          <w:p>
            <w:pPr>
              <w:spacing w:after="0"/>
              <w:rPr>
                <w:sz w:val="4"/>
                <w:szCs w:val="4"/>
                <w:color w:val="auto"/>
              </w:rPr>
            </w:pPr>
          </w:p>
        </w:tc>
        <w:tc>
          <w:tcPr>
            <w:tcW w:w="80" w:type="dxa"/>
            <w:vAlign w:val="bottom"/>
            <w:vMerge w:val="restart"/>
          </w:tcPr>
          <w:p>
            <w:pPr>
              <w:spacing w:after="0" w:line="95" w:lineRule="exact"/>
              <w:rPr>
                <w:sz w:val="20"/>
                <w:szCs w:val="20"/>
                <w:color w:val="auto"/>
              </w:rPr>
            </w:pPr>
            <w:r>
              <w:rPr>
                <w:rFonts w:ascii="Arial" w:cs="Arial" w:eastAsia="Arial" w:hAnsi="Arial"/>
                <w:sz w:val="10"/>
                <w:szCs w:val="10"/>
                <w:b w:val="1"/>
                <w:bCs w:val="1"/>
                <w:color w:val="002453"/>
              </w:rPr>
              <w:t>​​​</w:t>
            </w: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tcPr>
          <w:p>
            <w:pPr>
              <w:jc w:val="right"/>
              <w:spacing w:after="0"/>
              <w:rPr>
                <w:sz w:val="20"/>
                <w:szCs w:val="20"/>
                <w:color w:val="auto"/>
              </w:rPr>
            </w:pPr>
            <w:r>
              <w:rPr>
                <w:rFonts w:ascii="Arial" w:cs="Arial" w:eastAsia="Arial" w:hAnsi="Arial"/>
                <w:sz w:val="3"/>
                <w:szCs w:val="3"/>
                <w:b w:val="1"/>
                <w:bCs w:val="1"/>
                <w:color w:val="002453"/>
              </w:rPr>
              <w:t>​​</w:t>
            </w: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002453"/>
              </w:rPr>
              <w:t>Shares of</w:t>
            </w:r>
          </w:p>
        </w:tc>
        <w:tc>
          <w:tcPr>
            <w:tcW w:w="140" w:type="dxa"/>
            <w:vAlign w:val="bottom"/>
          </w:tcPr>
          <w:p>
            <w:pPr>
              <w:spacing w:after="0"/>
              <w:rPr>
                <w:sz w:val="4"/>
                <w:szCs w:val="4"/>
                <w:color w:val="auto"/>
              </w:rPr>
            </w:pPr>
          </w:p>
        </w:tc>
        <w:tc>
          <w:tcPr>
            <w:tcW w:w="70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002453"/>
              </w:rPr>
              <w:t>of Stock</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002453"/>
              </w:rPr>
              <w:t>Grant</w:t>
            </w:r>
          </w:p>
        </w:tc>
        <w:tc>
          <w:tcPr>
            <w:tcW w:w="80" w:type="dxa"/>
            <w:vAlign w:val="bottom"/>
            <w:vMerge w:val="continue"/>
          </w:tcPr>
          <w:p>
            <w:pPr>
              <w:spacing w:after="0" w:line="20" w:lineRule="exact"/>
              <w:rPr>
                <w:sz w:val="1"/>
                <w:szCs w:val="1"/>
                <w:color w:val="auto"/>
              </w:rPr>
            </w:pPr>
          </w:p>
        </w:tc>
        <w:tc>
          <w:tcPr>
            <w:tcW w:w="740" w:type="dxa"/>
            <w:vAlign w:val="bottom"/>
            <w:tcBorders>
              <w:top w:val="single" w:sz="8" w:color="00C08A"/>
            </w:tcBorders>
            <w:gridSpan w:val="2"/>
            <w:vMerge w:val="restart"/>
          </w:tcPr>
          <w:p>
            <w:pPr>
              <w:ind w:left="20"/>
              <w:spacing w:after="0"/>
              <w:rPr>
                <w:sz w:val="20"/>
                <w:szCs w:val="20"/>
                <w:color w:val="auto"/>
              </w:rPr>
            </w:pPr>
            <w:r>
              <w:rPr>
                <w:rFonts w:ascii="Arial" w:cs="Arial" w:eastAsia="Arial" w:hAnsi="Arial"/>
                <w:sz w:val="14"/>
                <w:szCs w:val="14"/>
                <w:b w:val="1"/>
                <w:bCs w:val="1"/>
                <w:color w:val="002453"/>
              </w:rPr>
              <w:t>Threshold</w:t>
            </w:r>
          </w:p>
        </w:tc>
        <w:tc>
          <w:tcPr>
            <w:tcW w:w="160" w:type="dxa"/>
            <w:vAlign w:val="bottom"/>
            <w:tcBorders>
              <w:top w:val="single" w:sz="8" w:color="00C08A"/>
            </w:tcBorders>
          </w:tcPr>
          <w:p>
            <w:pPr>
              <w:spacing w:after="0" w:line="20" w:lineRule="exact"/>
              <w:rPr>
                <w:sz w:val="1"/>
                <w:szCs w:val="1"/>
                <w:color w:val="auto"/>
              </w:rPr>
            </w:pPr>
          </w:p>
        </w:tc>
        <w:tc>
          <w:tcPr>
            <w:tcW w:w="600" w:type="dxa"/>
            <w:vAlign w:val="bottom"/>
            <w:tcBorders>
              <w:top w:val="single" w:sz="8" w:color="00C08A"/>
            </w:tcBorders>
            <w:vMerge w:val="restart"/>
          </w:tcPr>
          <w:p>
            <w:pPr>
              <w:jc w:val="right"/>
              <w:ind w:right="68"/>
              <w:spacing w:after="0"/>
              <w:rPr>
                <w:sz w:val="20"/>
                <w:szCs w:val="20"/>
                <w:color w:val="auto"/>
              </w:rPr>
            </w:pPr>
            <w:r>
              <w:rPr>
                <w:rFonts w:ascii="Arial" w:cs="Arial" w:eastAsia="Arial" w:hAnsi="Arial"/>
                <w:sz w:val="14"/>
                <w:szCs w:val="14"/>
                <w:b w:val="1"/>
                <w:bCs w:val="1"/>
                <w:color w:val="002453"/>
              </w:rPr>
              <w:t>Target</w:t>
            </w:r>
          </w:p>
        </w:tc>
        <w:tc>
          <w:tcPr>
            <w:tcW w:w="740" w:type="dxa"/>
            <w:vAlign w:val="bottom"/>
            <w:tcBorders>
              <w:top w:val="single" w:sz="8" w:color="00C08A"/>
            </w:tcBorders>
            <w:gridSpan w:val="2"/>
            <w:vMerge w:val="restart"/>
          </w:tcPr>
          <w:p>
            <w:pPr>
              <w:ind w:left="80"/>
              <w:spacing w:after="0"/>
              <w:rPr>
                <w:sz w:val="20"/>
                <w:szCs w:val="20"/>
                <w:color w:val="auto"/>
              </w:rPr>
            </w:pPr>
            <w:r>
              <w:rPr>
                <w:rFonts w:ascii="Arial" w:cs="Arial" w:eastAsia="Arial" w:hAnsi="Arial"/>
                <w:sz w:val="14"/>
                <w:szCs w:val="14"/>
                <w:b w:val="1"/>
                <w:bCs w:val="1"/>
                <w:color w:val="002453"/>
                <w:w w:val="99"/>
              </w:rPr>
              <w:t>Maximum</w:t>
            </w:r>
          </w:p>
        </w:tc>
        <w:tc>
          <w:tcPr>
            <w:tcW w:w="40" w:type="dxa"/>
            <w:vAlign w:val="bottom"/>
            <w:tcBorders>
              <w:top w:val="single" w:sz="8" w:color="00C08A"/>
            </w:tcBorders>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tcBorders>
              <w:top w:val="single" w:sz="8" w:color="00C08A"/>
            </w:tcBorders>
          </w:tcPr>
          <w:p>
            <w:pPr>
              <w:spacing w:after="0" w:line="20" w:lineRule="exact"/>
              <w:rPr>
                <w:sz w:val="1"/>
                <w:szCs w:val="1"/>
                <w:color w:val="auto"/>
              </w:rPr>
            </w:pPr>
          </w:p>
        </w:tc>
        <w:tc>
          <w:tcPr>
            <w:tcW w:w="760" w:type="dxa"/>
            <w:vAlign w:val="bottom"/>
            <w:tcBorders>
              <w:top w:val="single" w:sz="8" w:color="00C08A"/>
            </w:tcBorders>
            <w:vMerge w:val="restart"/>
          </w:tcPr>
          <w:p>
            <w:pPr>
              <w:spacing w:after="0"/>
              <w:rPr>
                <w:sz w:val="20"/>
                <w:szCs w:val="20"/>
                <w:color w:val="auto"/>
              </w:rPr>
            </w:pPr>
            <w:r>
              <w:rPr>
                <w:rFonts w:ascii="Arial" w:cs="Arial" w:eastAsia="Arial" w:hAnsi="Arial"/>
                <w:sz w:val="14"/>
                <w:szCs w:val="14"/>
                <w:b w:val="1"/>
                <w:bCs w:val="1"/>
                <w:color w:val="002453"/>
              </w:rPr>
              <w:t>Threshold</w:t>
            </w:r>
          </w:p>
        </w:tc>
        <w:tc>
          <w:tcPr>
            <w:tcW w:w="180" w:type="dxa"/>
            <w:vAlign w:val="bottom"/>
            <w:tcBorders>
              <w:top w:val="single" w:sz="8" w:color="00C08A"/>
            </w:tcBorders>
          </w:tcPr>
          <w:p>
            <w:pPr>
              <w:spacing w:after="0" w:line="20" w:lineRule="exact"/>
              <w:rPr>
                <w:sz w:val="1"/>
                <w:szCs w:val="1"/>
                <w:color w:val="auto"/>
              </w:rPr>
            </w:pPr>
          </w:p>
        </w:tc>
        <w:tc>
          <w:tcPr>
            <w:tcW w:w="500" w:type="dxa"/>
            <w:vAlign w:val="bottom"/>
            <w:tcBorders>
              <w:top w:val="single" w:sz="8" w:color="00C08A"/>
            </w:tcBorders>
            <w:vMerge w:val="restart"/>
          </w:tcPr>
          <w:p>
            <w:pPr>
              <w:jc w:val="center"/>
              <w:spacing w:after="0"/>
              <w:rPr>
                <w:sz w:val="20"/>
                <w:szCs w:val="20"/>
                <w:color w:val="auto"/>
              </w:rPr>
            </w:pPr>
            <w:r>
              <w:rPr>
                <w:rFonts w:ascii="Arial" w:cs="Arial" w:eastAsia="Arial" w:hAnsi="Arial"/>
                <w:sz w:val="14"/>
                <w:szCs w:val="14"/>
                <w:b w:val="1"/>
                <w:bCs w:val="1"/>
                <w:color w:val="002453"/>
                <w:w w:val="98"/>
              </w:rPr>
              <w:t>Target</w:t>
            </w:r>
          </w:p>
        </w:tc>
        <w:tc>
          <w:tcPr>
            <w:tcW w:w="180" w:type="dxa"/>
            <w:vAlign w:val="bottom"/>
            <w:tcBorders>
              <w:top w:val="single" w:sz="8" w:color="00C08A"/>
            </w:tcBorders>
          </w:tcPr>
          <w:p>
            <w:pPr>
              <w:spacing w:after="0" w:line="20" w:lineRule="exact"/>
              <w:rPr>
                <w:sz w:val="1"/>
                <w:szCs w:val="1"/>
                <w:color w:val="auto"/>
              </w:rPr>
            </w:pPr>
          </w:p>
        </w:tc>
        <w:tc>
          <w:tcPr>
            <w:tcW w:w="780" w:type="dxa"/>
            <w:vAlign w:val="bottom"/>
            <w:tcBorders>
              <w:top w:val="single" w:sz="8" w:color="00C08A"/>
            </w:tcBorders>
            <w:gridSpan w:val="2"/>
            <w:vMerge w:val="restart"/>
          </w:tcPr>
          <w:p>
            <w:pPr>
              <w:ind w:left="20"/>
              <w:spacing w:after="0"/>
              <w:rPr>
                <w:sz w:val="20"/>
                <w:szCs w:val="20"/>
                <w:color w:val="auto"/>
              </w:rPr>
            </w:pPr>
            <w:r>
              <w:rPr>
                <w:rFonts w:ascii="Arial" w:cs="Arial" w:eastAsia="Arial" w:hAnsi="Arial"/>
                <w:sz w:val="14"/>
                <w:szCs w:val="14"/>
                <w:b w:val="1"/>
                <w:bCs w:val="1"/>
                <w:color w:val="002453"/>
              </w:rPr>
              <w:t>Maximum</w:t>
            </w:r>
          </w:p>
        </w:tc>
        <w:tc>
          <w:tcPr>
            <w:tcW w:w="40" w:type="dxa"/>
            <w:vAlign w:val="bottom"/>
            <w:tcBorders>
              <w:top w:val="single" w:sz="8" w:color="00C08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Stock Units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002453"/>
                <w:w w:val="98"/>
              </w:rPr>
              <w:t>Awards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 and Type of Award</w:t>
            </w:r>
          </w:p>
        </w:tc>
        <w:tc>
          <w:tcPr>
            <w:tcW w:w="20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50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Date</w:t>
            </w:r>
          </w:p>
        </w:tc>
        <w:tc>
          <w:tcPr>
            <w:tcW w:w="180" w:type="dxa"/>
            <w:vAlign w:val="bottom"/>
            <w:tcBorders>
              <w:bottom w:val="single" w:sz="8" w:color="00C08A"/>
            </w:tcBorders>
            <w:gridSpan w:val="2"/>
          </w:tcPr>
          <w:p>
            <w:pPr>
              <w:jc w:val="right"/>
              <w:ind w:right="8"/>
              <w:spacing w:after="0"/>
              <w:rPr>
                <w:sz w:val="20"/>
                <w:szCs w:val="20"/>
                <w:color w:val="auto"/>
              </w:rPr>
            </w:pPr>
            <w:r>
              <w:rPr>
                <w:rFonts w:ascii="Arial" w:cs="Arial" w:eastAsia="Arial" w:hAnsi="Arial"/>
                <w:sz w:val="14"/>
                <w:szCs w:val="14"/>
                <w:b w:val="1"/>
                <w:bCs w:val="1"/>
                <w:color w:val="002453"/>
              </w:rPr>
              <w:t>​​</w:t>
            </w:r>
          </w:p>
        </w:tc>
        <w:tc>
          <w:tcPr>
            <w:tcW w:w="640" w:type="dxa"/>
            <w:vAlign w:val="bottom"/>
            <w:tcBorders>
              <w:bottom w:val="single" w:sz="8" w:color="00C08A"/>
            </w:tcBorders>
          </w:tcPr>
          <w:p>
            <w:pPr>
              <w:ind w:left="200"/>
              <w:spacing w:after="0"/>
              <w:rPr>
                <w:sz w:val="20"/>
                <w:szCs w:val="20"/>
                <w:color w:val="auto"/>
              </w:rPr>
            </w:pPr>
            <w:r>
              <w:rPr>
                <w:rFonts w:ascii="Arial" w:cs="Arial" w:eastAsia="Arial" w:hAnsi="Arial"/>
                <w:sz w:val="14"/>
                <w:szCs w:val="14"/>
                <w:b w:val="1"/>
                <w:bCs w:val="1"/>
                <w:color w:val="002453"/>
              </w:rPr>
              <w:t>($)</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600" w:type="dxa"/>
            <w:vAlign w:val="bottom"/>
            <w:tcBorders>
              <w:bottom w:val="single" w:sz="8" w:color="00C08A"/>
            </w:tcBorders>
          </w:tcPr>
          <w:p>
            <w:pPr>
              <w:jc w:val="right"/>
              <w:ind w:right="188"/>
              <w:spacing w:after="0"/>
              <w:rPr>
                <w:sz w:val="20"/>
                <w:szCs w:val="20"/>
                <w:color w:val="auto"/>
              </w:rPr>
            </w:pPr>
            <w:r>
              <w:rPr>
                <w:rFonts w:ascii="Arial" w:cs="Arial" w:eastAsia="Arial" w:hAnsi="Arial"/>
                <w:sz w:val="14"/>
                <w:szCs w:val="14"/>
                <w:b w:val="1"/>
                <w:bCs w:val="1"/>
                <w:color w:val="002453"/>
              </w:rPr>
              <w:t>($)</w:t>
            </w:r>
          </w:p>
        </w:tc>
        <w:tc>
          <w:tcPr>
            <w:tcW w:w="280" w:type="dxa"/>
            <w:vAlign w:val="bottom"/>
            <w:tcBorders>
              <w:bottom w:val="single" w:sz="8" w:color="00C08A"/>
            </w:tcBorders>
          </w:tcPr>
          <w:p>
            <w:pPr>
              <w:ind w:left="20"/>
              <w:spacing w:after="0"/>
              <w:rPr>
                <w:sz w:val="20"/>
                <w:szCs w:val="20"/>
                <w:color w:val="auto"/>
              </w:rPr>
            </w:pPr>
            <w:r>
              <w:rPr>
                <w:rFonts w:ascii="Arial" w:cs="Arial" w:eastAsia="Arial" w:hAnsi="Arial"/>
                <w:sz w:val="14"/>
                <w:szCs w:val="14"/>
                <w:b w:val="1"/>
                <w:bCs w:val="1"/>
                <w:color w:val="002453"/>
              </w:rPr>
              <w:t>​​</w:t>
            </w:r>
          </w:p>
        </w:tc>
        <w:tc>
          <w:tcPr>
            <w:tcW w:w="460" w:type="dxa"/>
            <w:vAlign w:val="bottom"/>
            <w:tcBorders>
              <w:bottom w:val="single" w:sz="8" w:color="00C08A"/>
            </w:tcBorders>
          </w:tcPr>
          <w:p>
            <w:pPr>
              <w:jc w:val="right"/>
              <w:ind w:right="148"/>
              <w:spacing w:after="0"/>
              <w:rPr>
                <w:sz w:val="20"/>
                <w:szCs w:val="20"/>
                <w:color w:val="auto"/>
              </w:rPr>
            </w:pPr>
            <w:r>
              <w:rPr>
                <w:rFonts w:ascii="Arial" w:cs="Arial" w:eastAsia="Arial" w:hAnsi="Arial"/>
                <w:sz w:val="14"/>
                <w:szCs w:val="14"/>
                <w:b w:val="1"/>
                <w:bCs w:val="1"/>
                <w:color w:val="002453"/>
              </w:rPr>
              <w:t>($)</w:t>
            </w:r>
          </w:p>
        </w:tc>
        <w:tc>
          <w:tcPr>
            <w:tcW w:w="40" w:type="dxa"/>
            <w:vAlign w:val="bottom"/>
            <w:tcBorders>
              <w:bottom w:val="single" w:sz="8" w:color="00C08A"/>
            </w:tcBorders>
          </w:tcPr>
          <w:p>
            <w:pPr>
              <w:spacing w:after="0"/>
              <w:rPr>
                <w:sz w:val="16"/>
                <w:szCs w:val="16"/>
                <w:color w:val="auto"/>
              </w:rPr>
            </w:pP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b w:val="1"/>
                <w:bCs w:val="1"/>
                <w:color w:val="002453"/>
              </w:rPr>
              <w:t>​​</w:t>
            </w: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w:t>
            </w:r>
          </w:p>
        </w:tc>
        <w:tc>
          <w:tcPr>
            <w:tcW w:w="5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w:t>
            </w:r>
          </w:p>
        </w:tc>
        <w:tc>
          <w:tcPr>
            <w:tcW w:w="160" w:type="dxa"/>
            <w:vAlign w:val="bottom"/>
            <w:tcBorders>
              <w:bottom w:val="single" w:sz="8" w:color="00C08A"/>
            </w:tcBorders>
          </w:tcPr>
          <w:p>
            <w:pPr>
              <w:spacing w:after="0"/>
              <w:rPr>
                <w:sz w:val="16"/>
                <w:szCs w:val="16"/>
                <w:color w:val="auto"/>
              </w:rPr>
            </w:pPr>
          </w:p>
        </w:tc>
        <w:tc>
          <w:tcPr>
            <w:tcW w:w="620" w:type="dxa"/>
            <w:vAlign w:val="bottom"/>
            <w:tcBorders>
              <w:bottom w:val="single" w:sz="8" w:color="00C08A"/>
            </w:tcBorders>
          </w:tcPr>
          <w:p>
            <w:pPr>
              <w:jc w:val="right"/>
              <w:ind w:right="248"/>
              <w:spacing w:after="0"/>
              <w:rPr>
                <w:sz w:val="20"/>
                <w:szCs w:val="20"/>
                <w:color w:val="auto"/>
              </w:rPr>
            </w:pPr>
            <w:r>
              <w:rPr>
                <w:rFonts w:ascii="Arial" w:cs="Arial" w:eastAsia="Arial" w:hAnsi="Arial"/>
                <w:sz w:val="14"/>
                <w:szCs w:val="14"/>
                <w:b w:val="1"/>
                <w:bCs w:val="1"/>
                <w:color w:val="002453"/>
              </w:rPr>
              <w:t>(#)</w:t>
            </w: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b w:val="1"/>
                <w:bCs w:val="1"/>
                <w:color w:val="002453"/>
              </w:rPr>
              <w:t>​​</w:t>
            </w:r>
          </w:p>
        </w:tc>
        <w:tc>
          <w:tcPr>
            <w:tcW w:w="8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14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w:t>
            </w:r>
          </w:p>
        </w:tc>
        <w:tc>
          <w:tcPr>
            <w:tcW w:w="80" w:type="dxa"/>
            <w:vAlign w:val="bottom"/>
            <w:tcBorders>
              <w:bottom w:val="single" w:sz="8" w:color="00C08A"/>
            </w:tcBorders>
          </w:tcPr>
          <w:p>
            <w:pPr>
              <w:spacing w:after="0"/>
              <w:rPr>
                <w:sz w:val="16"/>
                <w:szCs w:val="16"/>
                <w:color w:val="auto"/>
              </w:rPr>
            </w:pPr>
          </w:p>
        </w:tc>
        <w:tc>
          <w:tcPr>
            <w:tcW w:w="620" w:type="dxa"/>
            <w:vAlign w:val="bottom"/>
            <w:tcBorders>
              <w:bottom w:val="single" w:sz="8" w:color="00C08A"/>
            </w:tcBorders>
          </w:tcPr>
          <w:p>
            <w:pPr>
              <w:jc w:val="right"/>
              <w:ind w:right="88"/>
              <w:spacing w:after="0"/>
              <w:rPr>
                <w:sz w:val="20"/>
                <w:szCs w:val="20"/>
                <w:color w:val="auto"/>
              </w:rPr>
            </w:pPr>
            <w:r>
              <w:rPr>
                <w:rFonts w:ascii="Arial" w:cs="Arial" w:eastAsia="Arial" w:hAnsi="Arial"/>
                <w:sz w:val="14"/>
                <w:szCs w:val="14"/>
                <w:b w:val="1"/>
                <w:bCs w:val="1"/>
                <w:color w:val="002453"/>
              </w:rPr>
              <w:t>($)(2)</w:t>
            </w:r>
          </w:p>
        </w:tc>
        <w:tc>
          <w:tcPr>
            <w:tcW w:w="60" w:type="dxa"/>
            <w:vAlign w:val="bottom"/>
            <w:tcBorders>
              <w:bottom w:val="single" w:sz="8" w:color="00C08A"/>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4"/>
                <w:szCs w:val="14"/>
                <w:b w:val="1"/>
                <w:bCs w:val="1"/>
                <w:color w:val="auto"/>
              </w:rPr>
              <w:t>Douglas A. Cifu</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8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6,000,000</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80" w:type="dxa"/>
            <w:vAlign w:val="bottom"/>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880" w:type="dxa"/>
            <w:vAlign w:val="bottom"/>
            <w:tcBorders>
              <w:bottom w:val="single" w:sz="8" w:color="00C08A"/>
            </w:tcBorders>
            <w:gridSpan w:val="4"/>
            <w:shd w:val="clear" w:color="auto" w:fill="CCEEFF"/>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​2/2/2024</w:t>
            </w:r>
            <w:r>
              <w:rPr>
                <w:rFonts w:ascii="Arial" w:cs="Arial" w:eastAsia="Arial" w:hAnsi="Arial"/>
                <w:sz w:val="23"/>
                <w:szCs w:val="23"/>
                <w:color w:val="auto"/>
                <w:vertAlign w:val="subscript"/>
              </w:rPr>
              <w:t>​​​</w:t>
            </w:r>
          </w:p>
        </w:tc>
        <w:tc>
          <w:tcPr>
            <w:tcW w:w="640" w:type="dxa"/>
            <w:vAlign w:val="bottom"/>
            <w:tcBorders>
              <w:bottom w:val="single" w:sz="8" w:color="00C08A"/>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bottom w:val="single" w:sz="8" w:color="00C08A"/>
            </w:tcBorders>
            <w:shd w:val="clear" w:color="auto" w:fill="CCEEFF"/>
          </w:tcPr>
          <w:p>
            <w:pPr>
              <w:spacing w:after="0"/>
              <w:rPr>
                <w:sz w:val="17"/>
                <w:szCs w:val="17"/>
                <w:color w:val="auto"/>
              </w:rPr>
            </w:pPr>
          </w:p>
        </w:tc>
        <w:tc>
          <w:tcPr>
            <w:tcW w:w="2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08A"/>
            </w:tcBorders>
            <w:shd w:val="clear" w:color="auto" w:fill="CCEEFF"/>
          </w:tcPr>
          <w:p>
            <w:pPr>
              <w:spacing w:after="0"/>
              <w:rPr>
                <w:sz w:val="17"/>
                <w:szCs w:val="17"/>
                <w:color w:val="auto"/>
              </w:rPr>
            </w:pPr>
          </w:p>
        </w:tc>
        <w:tc>
          <w:tcPr>
            <w:tcW w:w="160" w:type="dxa"/>
            <w:vAlign w:val="bottom"/>
            <w:tcBorders>
              <w:bottom w:val="single" w:sz="8" w:color="00C08A"/>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C08A"/>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150,000</w:t>
            </w:r>
          </w:p>
        </w:tc>
        <w:tc>
          <w:tcPr>
            <w:tcW w:w="12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C08A"/>
            </w:tcBorders>
            <w:gridSpan w:val="4"/>
            <w:shd w:val="clear" w:color="auto" w:fill="CCEEFF"/>
          </w:tcPr>
          <w:p>
            <w:pPr>
              <w:ind w:lef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​2,527,500</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color w:val="auto"/>
              </w:rPr>
              <w:t>Joseph Molluso</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shd w:val="clear" w:color="auto" w:fill="CCEEFF"/>
          </w:tcPr>
          <w:p>
            <w:pPr>
              <w:spacing w:after="0"/>
              <w:rPr>
                <w:sz w:val="4"/>
                <w:szCs w:val="4"/>
                <w:color w:val="auto"/>
              </w:rPr>
            </w:pPr>
          </w:p>
        </w:tc>
        <w:tc>
          <w:tcPr>
            <w:tcW w:w="28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00C08A"/>
            </w:tcBorders>
          </w:tcPr>
          <w:p>
            <w:pPr>
              <w:spacing w:after="0"/>
              <w:rPr>
                <w:sz w:val="20"/>
                <w:szCs w:val="20"/>
                <w:color w:val="auto"/>
              </w:rPr>
            </w:pPr>
            <w:r>
              <w:rPr>
                <w:rFonts w:ascii="Arial" w:cs="Arial" w:eastAsia="Arial" w:hAnsi="Arial"/>
                <w:sz w:val="14"/>
                <w:szCs w:val="14"/>
                <w:i w:val="1"/>
                <w:iCs w:val="1"/>
                <w:color w:val="auto"/>
              </w:rPr>
              <w:t>Restricted Stock Units</w:t>
            </w:r>
          </w:p>
        </w:tc>
        <w:tc>
          <w:tcPr>
            <w:tcW w:w="880" w:type="dxa"/>
            <w:vAlign w:val="bottom"/>
            <w:tcBorders>
              <w:bottom w:val="single" w:sz="8" w:color="00C08A"/>
            </w:tcBorders>
            <w:gridSpan w:val="4"/>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​2/2/2024</w:t>
            </w:r>
            <w:r>
              <w:rPr>
                <w:rFonts w:ascii="Arial" w:cs="Arial" w:eastAsia="Arial" w:hAnsi="Arial"/>
                <w:sz w:val="23"/>
                <w:szCs w:val="23"/>
                <w:color w:val="auto"/>
                <w:vertAlign w:val="subscript"/>
              </w:rPr>
              <w:t>​​​</w:t>
            </w:r>
          </w:p>
        </w:tc>
        <w:tc>
          <w:tcPr>
            <w:tcW w:w="640" w:type="dxa"/>
            <w:vAlign w:val="bottom"/>
            <w:tcBorders>
              <w:bottom w:val="single" w:sz="8" w:color="00C08A"/>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bottom w:val="single" w:sz="8" w:color="00C08A"/>
            </w:tcBorders>
          </w:tcPr>
          <w:p>
            <w:pPr>
              <w:spacing w:after="0"/>
              <w:rPr>
                <w:sz w:val="17"/>
                <w:szCs w:val="17"/>
                <w:color w:val="auto"/>
              </w:rPr>
            </w:pPr>
          </w:p>
        </w:tc>
        <w:tc>
          <w:tcPr>
            <w:tcW w:w="28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08A"/>
            </w:tcBorders>
          </w:tcPr>
          <w:p>
            <w:pPr>
              <w:spacing w:after="0"/>
              <w:rPr>
                <w:sz w:val="17"/>
                <w:szCs w:val="17"/>
                <w:color w:val="auto"/>
              </w:rPr>
            </w:pPr>
          </w:p>
        </w:tc>
        <w:tc>
          <w:tcPr>
            <w:tcW w:w="160" w:type="dxa"/>
            <w:vAlign w:val="bottom"/>
            <w:tcBorders>
              <w:bottom w:val="single" w:sz="8" w:color="00C08A"/>
            </w:tcBorders>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C08A"/>
            </w:tcBorders>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C08A"/>
            </w:tcBorders>
            <w:gridSpan w:val="3"/>
          </w:tcPr>
          <w:p>
            <w:pPr>
              <w:ind w:lef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​1,263,750</w:t>
            </w:r>
          </w:p>
        </w:tc>
        <w:tc>
          <w:tcPr>
            <w:tcW w:w="60" w:type="dxa"/>
            <w:vAlign w:val="bottom"/>
            <w:tcBorders>
              <w:bottom w:val="single" w:sz="8" w:color="00C08A"/>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color w:val="auto"/>
              </w:rPr>
              <w:t>Brett Fairclough</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8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80" w:type="dxa"/>
            <w:vAlign w:val="bottom"/>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880" w:type="dxa"/>
            <w:vAlign w:val="bottom"/>
            <w:tcBorders>
              <w:bottom w:val="single" w:sz="8" w:color="00C08A"/>
            </w:tcBorders>
            <w:gridSpan w:val="4"/>
            <w:shd w:val="clear" w:color="auto" w:fill="CCEEFF"/>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​2/2/2024</w:t>
            </w:r>
            <w:r>
              <w:rPr>
                <w:rFonts w:ascii="Arial" w:cs="Arial" w:eastAsia="Arial" w:hAnsi="Arial"/>
                <w:sz w:val="23"/>
                <w:szCs w:val="23"/>
                <w:color w:val="auto"/>
                <w:vertAlign w:val="subscript"/>
              </w:rPr>
              <w:t>​​​</w:t>
            </w:r>
          </w:p>
        </w:tc>
        <w:tc>
          <w:tcPr>
            <w:tcW w:w="640" w:type="dxa"/>
            <w:vAlign w:val="bottom"/>
            <w:tcBorders>
              <w:bottom w:val="single" w:sz="8" w:color="00C08A"/>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bottom w:val="single" w:sz="8" w:color="00C08A"/>
            </w:tcBorders>
            <w:shd w:val="clear" w:color="auto" w:fill="CCEEFF"/>
          </w:tcPr>
          <w:p>
            <w:pPr>
              <w:spacing w:after="0"/>
              <w:rPr>
                <w:sz w:val="17"/>
                <w:szCs w:val="17"/>
                <w:color w:val="auto"/>
              </w:rPr>
            </w:pPr>
          </w:p>
        </w:tc>
        <w:tc>
          <w:tcPr>
            <w:tcW w:w="2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08A"/>
            </w:tcBorders>
            <w:shd w:val="clear" w:color="auto" w:fill="CCEEFF"/>
          </w:tcPr>
          <w:p>
            <w:pPr>
              <w:spacing w:after="0"/>
              <w:rPr>
                <w:sz w:val="17"/>
                <w:szCs w:val="17"/>
                <w:color w:val="auto"/>
              </w:rPr>
            </w:pPr>
          </w:p>
        </w:tc>
        <w:tc>
          <w:tcPr>
            <w:tcW w:w="160" w:type="dxa"/>
            <w:vAlign w:val="bottom"/>
            <w:tcBorders>
              <w:bottom w:val="single" w:sz="8" w:color="00C08A"/>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C08A"/>
            </w:tcBorders>
            <w:shd w:val="clear" w:color="auto" w:fill="CCEEFF"/>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C08A"/>
            </w:tcBorders>
            <w:gridSpan w:val="3"/>
            <w:shd w:val="clear" w:color="auto" w:fill="CCEEFF"/>
          </w:tcPr>
          <w:p>
            <w:pPr>
              <w:ind w:lef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​1,263,750</w:t>
            </w:r>
          </w:p>
        </w:tc>
        <w:tc>
          <w:tcPr>
            <w:tcW w:w="60" w:type="dxa"/>
            <w:vAlign w:val="bottom"/>
            <w:tcBorders>
              <w:bottom w:val="single" w:sz="8" w:color="00C08A"/>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color w:val="auto"/>
              </w:rPr>
              <w:t>Stephen Cavoli</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shd w:val="clear" w:color="auto" w:fill="CCEEFF"/>
          </w:tcPr>
          <w:p>
            <w:pPr>
              <w:spacing w:after="0"/>
              <w:rPr>
                <w:sz w:val="4"/>
                <w:szCs w:val="4"/>
                <w:color w:val="auto"/>
              </w:rPr>
            </w:pPr>
          </w:p>
        </w:tc>
        <w:tc>
          <w:tcPr>
            <w:tcW w:w="28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00C08A"/>
            </w:tcBorders>
          </w:tcPr>
          <w:p>
            <w:pPr>
              <w:spacing w:after="0"/>
              <w:rPr>
                <w:sz w:val="20"/>
                <w:szCs w:val="20"/>
                <w:color w:val="auto"/>
              </w:rPr>
            </w:pPr>
            <w:r>
              <w:rPr>
                <w:rFonts w:ascii="Arial" w:cs="Arial" w:eastAsia="Arial" w:hAnsi="Arial"/>
                <w:sz w:val="14"/>
                <w:szCs w:val="14"/>
                <w:i w:val="1"/>
                <w:iCs w:val="1"/>
                <w:color w:val="auto"/>
              </w:rPr>
              <w:t>Restricted Stock Units</w:t>
            </w:r>
          </w:p>
        </w:tc>
        <w:tc>
          <w:tcPr>
            <w:tcW w:w="880" w:type="dxa"/>
            <w:vAlign w:val="bottom"/>
            <w:tcBorders>
              <w:bottom w:val="single" w:sz="8" w:color="00C08A"/>
            </w:tcBorders>
            <w:gridSpan w:val="4"/>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​2/2/2024</w:t>
            </w:r>
            <w:r>
              <w:rPr>
                <w:rFonts w:ascii="Arial" w:cs="Arial" w:eastAsia="Arial" w:hAnsi="Arial"/>
                <w:sz w:val="23"/>
                <w:szCs w:val="23"/>
                <w:color w:val="auto"/>
                <w:vertAlign w:val="subscript"/>
              </w:rPr>
              <w:t>​​​</w:t>
            </w:r>
          </w:p>
        </w:tc>
        <w:tc>
          <w:tcPr>
            <w:tcW w:w="640" w:type="dxa"/>
            <w:vAlign w:val="bottom"/>
            <w:tcBorders>
              <w:bottom w:val="single" w:sz="8" w:color="00C08A"/>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bottom w:val="single" w:sz="8" w:color="00C08A"/>
            </w:tcBorders>
          </w:tcPr>
          <w:p>
            <w:pPr>
              <w:spacing w:after="0"/>
              <w:rPr>
                <w:sz w:val="17"/>
                <w:szCs w:val="17"/>
                <w:color w:val="auto"/>
              </w:rPr>
            </w:pPr>
          </w:p>
        </w:tc>
        <w:tc>
          <w:tcPr>
            <w:tcW w:w="28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08A"/>
            </w:tcBorders>
          </w:tcPr>
          <w:p>
            <w:pPr>
              <w:spacing w:after="0"/>
              <w:rPr>
                <w:sz w:val="17"/>
                <w:szCs w:val="17"/>
                <w:color w:val="auto"/>
              </w:rPr>
            </w:pPr>
          </w:p>
        </w:tc>
        <w:tc>
          <w:tcPr>
            <w:tcW w:w="160" w:type="dxa"/>
            <w:vAlign w:val="bottom"/>
            <w:tcBorders>
              <w:bottom w:val="single" w:sz="8" w:color="00C08A"/>
            </w:tcBorders>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C08A"/>
            </w:tcBorders>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C08A"/>
            </w:tcBorders>
            <w:gridSpan w:val="3"/>
          </w:tcPr>
          <w:p>
            <w:pPr>
              <w:ind w:lef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​1,263,750</w:t>
            </w:r>
          </w:p>
        </w:tc>
        <w:tc>
          <w:tcPr>
            <w:tcW w:w="60" w:type="dxa"/>
            <w:vAlign w:val="bottom"/>
            <w:tcBorders>
              <w:bottom w:val="single" w:sz="8" w:color="00C08A"/>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color w:val="auto"/>
              </w:rPr>
              <w:t>Cindy Lee</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4"/>
                <w:szCs w:val="14"/>
                <w:i w:val="1"/>
                <w:iCs w:val="1"/>
                <w:color w:val="auto"/>
              </w:rPr>
              <w:t>Annual Bonus(1)</w:t>
            </w:r>
          </w:p>
        </w:tc>
        <w:tc>
          <w:tcPr>
            <w:tcW w:w="200" w:type="dxa"/>
            <w:vAlign w:val="bottom"/>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i w:val="1"/>
                <w:i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i w:val="1"/>
                <w:i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i w:val="1"/>
                <w:i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i w:val="1"/>
                <w:i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i w:val="1"/>
                <w:i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Restricted Stock Units</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97"/>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35,000</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947,800</w:t>
            </w:r>
          </w:p>
        </w:tc>
        <w:tc>
          <w:tcPr>
            <w:tcW w:w="60" w:type="dxa"/>
            <w:vAlign w:val="bottom"/>
            <w:shd w:val="clear" w:color="auto" w:fill="CCEEFF"/>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tcBorders>
              <w:bottom w:val="single" w:sz="8" w:color="00C08A"/>
            </w:tcBorders>
            <w:shd w:val="clear" w:color="auto" w:fill="CCEEFF"/>
          </w:tcPr>
          <w:p>
            <w:pPr>
              <w:spacing w:after="0"/>
              <w:rPr>
                <w:sz w:val="4"/>
                <w:szCs w:val="4"/>
                <w:color w:val="auto"/>
              </w:rPr>
            </w:pPr>
          </w:p>
        </w:tc>
        <w:tc>
          <w:tcPr>
            <w:tcW w:w="200" w:type="dxa"/>
            <w:vAlign w:val="bottom"/>
            <w:tcBorders>
              <w:bottom w:val="single" w:sz="8" w:color="00C08A"/>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500" w:type="dxa"/>
            <w:vAlign w:val="bottom"/>
            <w:tcBorders>
              <w:bottom w:val="single" w:sz="8" w:color="00C08A"/>
            </w:tcBorders>
            <w:shd w:val="clear" w:color="auto" w:fill="CCEEFF"/>
          </w:tcPr>
          <w:p>
            <w:pPr>
              <w:spacing w:after="0"/>
              <w:rPr>
                <w:sz w:val="4"/>
                <w:szCs w:val="4"/>
                <w:color w:val="auto"/>
              </w:rPr>
            </w:pPr>
          </w:p>
        </w:tc>
        <w:tc>
          <w:tcPr>
            <w:tcW w:w="180" w:type="dxa"/>
            <w:vAlign w:val="bottom"/>
            <w:tcBorders>
              <w:bottom w:val="single" w:sz="8" w:color="00C08A"/>
            </w:tcBorders>
            <w:gridSpan w:val="2"/>
            <w:vMerge w:val="continue"/>
            <w:shd w:val="clear" w:color="auto" w:fill="CCEEFF"/>
          </w:tcPr>
          <w:p>
            <w:pPr>
              <w:spacing w:after="0"/>
              <w:rPr>
                <w:sz w:val="4"/>
                <w:szCs w:val="4"/>
                <w:color w:val="auto"/>
              </w:rPr>
            </w:pPr>
          </w:p>
        </w:tc>
        <w:tc>
          <w:tcPr>
            <w:tcW w:w="640" w:type="dxa"/>
            <w:vAlign w:val="bottom"/>
            <w:tcBorders>
              <w:bottom w:val="single" w:sz="8" w:color="00C08A"/>
            </w:tcBorders>
            <w:vMerge w:val="continue"/>
            <w:shd w:val="clear" w:color="auto" w:fill="CCEEFF"/>
          </w:tcPr>
          <w:p>
            <w:pPr>
              <w:spacing w:after="0"/>
              <w:rPr>
                <w:sz w:val="4"/>
                <w:szCs w:val="4"/>
                <w:color w:val="auto"/>
              </w:rPr>
            </w:pPr>
          </w:p>
        </w:tc>
        <w:tc>
          <w:tcPr>
            <w:tcW w:w="160" w:type="dxa"/>
            <w:vAlign w:val="bottom"/>
            <w:tcBorders>
              <w:bottom w:val="single" w:sz="8" w:color="00C08A"/>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00C08A"/>
            </w:tcBorders>
            <w:shd w:val="clear" w:color="auto" w:fill="CCEEFF"/>
          </w:tcPr>
          <w:p>
            <w:pPr>
              <w:spacing w:after="0"/>
              <w:rPr>
                <w:sz w:val="4"/>
                <w:szCs w:val="4"/>
                <w:color w:val="auto"/>
              </w:rPr>
            </w:pPr>
          </w:p>
        </w:tc>
        <w:tc>
          <w:tcPr>
            <w:tcW w:w="280" w:type="dxa"/>
            <w:vAlign w:val="bottom"/>
            <w:tcBorders>
              <w:bottom w:val="single" w:sz="8" w:color="00C08A"/>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00C08A"/>
            </w:tcBorders>
            <w:shd w:val="clear" w:color="auto" w:fill="CCEEFF"/>
          </w:tcPr>
          <w:p>
            <w:pPr>
              <w:spacing w:after="0"/>
              <w:rPr>
                <w:sz w:val="4"/>
                <w:szCs w:val="4"/>
                <w:color w:val="auto"/>
              </w:rPr>
            </w:pPr>
          </w:p>
        </w:tc>
        <w:tc>
          <w:tcPr>
            <w:tcW w:w="160" w:type="dxa"/>
            <w:vAlign w:val="bottom"/>
            <w:tcBorders>
              <w:bottom w:val="single" w:sz="8" w:color="00C08A"/>
            </w:tcBorders>
            <w:gridSpan w:val="3"/>
            <w:vMerge w:val="continue"/>
            <w:shd w:val="clear" w:color="auto" w:fill="CCEEFF"/>
          </w:tcPr>
          <w:p>
            <w:pPr>
              <w:spacing w:after="0"/>
              <w:rPr>
                <w:sz w:val="4"/>
                <w:szCs w:val="4"/>
                <w:color w:val="auto"/>
              </w:rPr>
            </w:pPr>
          </w:p>
        </w:tc>
        <w:tc>
          <w:tcPr>
            <w:tcW w:w="760" w:type="dxa"/>
            <w:vAlign w:val="bottom"/>
            <w:tcBorders>
              <w:bottom w:val="single" w:sz="8" w:color="00C08A"/>
            </w:tcBorders>
            <w:vMerge w:val="continue"/>
            <w:shd w:val="clear" w:color="auto" w:fill="CCEEFF"/>
          </w:tcPr>
          <w:p>
            <w:pPr>
              <w:spacing w:after="0"/>
              <w:rPr>
                <w:sz w:val="4"/>
                <w:szCs w:val="4"/>
                <w:color w:val="auto"/>
              </w:rPr>
            </w:pPr>
          </w:p>
        </w:tc>
        <w:tc>
          <w:tcPr>
            <w:tcW w:w="180" w:type="dxa"/>
            <w:vAlign w:val="bottom"/>
            <w:tcBorders>
              <w:bottom w:val="single" w:sz="8" w:color="00C08A"/>
            </w:tcBorders>
            <w:vMerge w:val="continue"/>
            <w:shd w:val="clear" w:color="auto" w:fill="CCEEFF"/>
          </w:tcPr>
          <w:p>
            <w:pPr>
              <w:spacing w:after="0"/>
              <w:rPr>
                <w:sz w:val="4"/>
                <w:szCs w:val="4"/>
                <w:color w:val="auto"/>
              </w:rPr>
            </w:pPr>
          </w:p>
        </w:tc>
        <w:tc>
          <w:tcPr>
            <w:tcW w:w="500" w:type="dxa"/>
            <w:vAlign w:val="bottom"/>
            <w:tcBorders>
              <w:bottom w:val="single" w:sz="8" w:color="00C08A"/>
            </w:tcBorders>
            <w:vMerge w:val="continue"/>
            <w:shd w:val="clear" w:color="auto" w:fill="CCEEFF"/>
          </w:tcPr>
          <w:p>
            <w:pPr>
              <w:spacing w:after="0"/>
              <w:rPr>
                <w:sz w:val="4"/>
                <w:szCs w:val="4"/>
                <w:color w:val="auto"/>
              </w:rPr>
            </w:pPr>
          </w:p>
        </w:tc>
        <w:tc>
          <w:tcPr>
            <w:tcW w:w="180" w:type="dxa"/>
            <w:vAlign w:val="bottom"/>
            <w:tcBorders>
              <w:bottom w:val="single" w:sz="8" w:color="00C08A"/>
            </w:tcBorders>
            <w:vMerge w:val="continue"/>
            <w:shd w:val="clear" w:color="auto" w:fill="CCEEFF"/>
          </w:tcPr>
          <w:p>
            <w:pPr>
              <w:spacing w:after="0"/>
              <w:rPr>
                <w:sz w:val="4"/>
                <w:szCs w:val="4"/>
                <w:color w:val="auto"/>
              </w:rPr>
            </w:pPr>
          </w:p>
        </w:tc>
        <w:tc>
          <w:tcPr>
            <w:tcW w:w="160" w:type="dxa"/>
            <w:vAlign w:val="bottom"/>
            <w:tcBorders>
              <w:bottom w:val="single" w:sz="8" w:color="00C08A"/>
            </w:tcBorders>
            <w:shd w:val="clear" w:color="auto" w:fill="CCEEFF"/>
          </w:tcPr>
          <w:p>
            <w:pPr>
              <w:spacing w:after="0"/>
              <w:rPr>
                <w:sz w:val="4"/>
                <w:szCs w:val="4"/>
                <w:color w:val="auto"/>
              </w:rPr>
            </w:pPr>
          </w:p>
        </w:tc>
        <w:tc>
          <w:tcPr>
            <w:tcW w:w="620" w:type="dxa"/>
            <w:vAlign w:val="bottom"/>
            <w:tcBorders>
              <w:bottom w:val="single" w:sz="8" w:color="00C08A"/>
            </w:tcBorders>
            <w:shd w:val="clear" w:color="auto" w:fill="CCEEFF"/>
          </w:tcPr>
          <w:p>
            <w:pPr>
              <w:spacing w:after="0"/>
              <w:rPr>
                <w:sz w:val="4"/>
                <w:szCs w:val="4"/>
                <w:color w:val="auto"/>
              </w:rPr>
            </w:pPr>
          </w:p>
        </w:tc>
        <w:tc>
          <w:tcPr>
            <w:tcW w:w="120" w:type="dxa"/>
            <w:vAlign w:val="bottom"/>
            <w:tcBorders>
              <w:bottom w:val="single" w:sz="8" w:color="00C08A"/>
            </w:tcBorders>
            <w:gridSpan w:val="2"/>
            <w:vMerge w:val="continue"/>
            <w:shd w:val="clear" w:color="auto" w:fill="CCEEFF"/>
          </w:tcPr>
          <w:p>
            <w:pPr>
              <w:spacing w:after="0"/>
              <w:rPr>
                <w:sz w:val="4"/>
                <w:szCs w:val="4"/>
                <w:color w:val="auto"/>
              </w:rPr>
            </w:pPr>
          </w:p>
        </w:tc>
        <w:tc>
          <w:tcPr>
            <w:tcW w:w="800" w:type="dxa"/>
            <w:vAlign w:val="bottom"/>
            <w:tcBorders>
              <w:bottom w:val="single" w:sz="8" w:color="00C08A"/>
            </w:tcBorders>
            <w:vMerge w:val="continue"/>
            <w:shd w:val="clear" w:color="auto" w:fill="CCEEFF"/>
          </w:tcPr>
          <w:p>
            <w:pPr>
              <w:spacing w:after="0"/>
              <w:rPr>
                <w:sz w:val="4"/>
                <w:szCs w:val="4"/>
                <w:color w:val="auto"/>
              </w:rPr>
            </w:pPr>
          </w:p>
        </w:tc>
        <w:tc>
          <w:tcPr>
            <w:tcW w:w="140" w:type="dxa"/>
            <w:vAlign w:val="bottom"/>
            <w:tcBorders>
              <w:bottom w:val="single" w:sz="8" w:color="00C08A"/>
            </w:tcBorders>
            <w:vMerge w:val="continue"/>
            <w:shd w:val="clear" w:color="auto" w:fill="CCEEFF"/>
          </w:tcPr>
          <w:p>
            <w:pPr>
              <w:spacing w:after="0"/>
              <w:rPr>
                <w:sz w:val="4"/>
                <w:szCs w:val="4"/>
                <w:color w:val="auto"/>
              </w:rPr>
            </w:pPr>
          </w:p>
        </w:tc>
        <w:tc>
          <w:tcPr>
            <w:tcW w:w="80" w:type="dxa"/>
            <w:vAlign w:val="bottom"/>
            <w:tcBorders>
              <w:bottom w:val="single" w:sz="8" w:color="00C08A"/>
            </w:tcBorders>
            <w:shd w:val="clear" w:color="auto" w:fill="CCEEFF"/>
          </w:tcPr>
          <w:p>
            <w:pPr>
              <w:spacing w:after="0"/>
              <w:rPr>
                <w:sz w:val="4"/>
                <w:szCs w:val="4"/>
                <w:color w:val="auto"/>
              </w:rPr>
            </w:pPr>
          </w:p>
        </w:tc>
        <w:tc>
          <w:tcPr>
            <w:tcW w:w="620" w:type="dxa"/>
            <w:vAlign w:val="bottom"/>
            <w:tcBorders>
              <w:bottom w:val="single" w:sz="8" w:color="00C08A"/>
            </w:tcBorders>
            <w:shd w:val="clear" w:color="auto" w:fill="CCEEFF"/>
          </w:tcPr>
          <w:p>
            <w:pPr>
              <w:spacing w:after="0"/>
              <w:rPr>
                <w:sz w:val="4"/>
                <w:szCs w:val="4"/>
                <w:color w:val="auto"/>
              </w:rPr>
            </w:pPr>
          </w:p>
        </w:tc>
        <w:tc>
          <w:tcPr>
            <w:tcW w:w="60" w:type="dxa"/>
            <w:vAlign w:val="bottom"/>
            <w:tcBorders>
              <w:bottom w:val="single" w:sz="8" w:color="00C08A"/>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i w:val="1"/>
                <w:iCs w:val="1"/>
                <w:color w:val="auto"/>
              </w:rPr>
              <w:t>Sean Galvin</w:t>
            </w:r>
          </w:p>
        </w:tc>
        <w:tc>
          <w:tcPr>
            <w:tcW w:w="2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Annual Bonus(1)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5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w:t>
            </w:r>
          </w:p>
        </w:tc>
        <w:tc>
          <w:tcPr>
            <w:tcW w:w="64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4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i w:val="1"/>
                <w:iCs w:val="1"/>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 xml:space="preserve">​​ </w:t>
            </w:r>
            <w:r>
              <w:rPr>
                <w:rFonts w:ascii="Arial" w:cs="Arial" w:eastAsia="Arial" w:hAnsi="Arial"/>
                <w:sz w:val="14"/>
                <w:szCs w:val="14"/>
                <w:b w:val="1"/>
                <w:bCs w:val="1"/>
                <w:i w:val="1"/>
                <w:iCs w:val="1"/>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i w:val="1"/>
                <w:iCs w:val="1"/>
                <w:color w:val="auto"/>
              </w:rPr>
              <w:t>Restricted Stock Units</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 ​</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4"/>
        </w:trPr>
        <w:tc>
          <w:tcPr>
            <w:tcW w:w="1780" w:type="dxa"/>
            <w:vAlign w:val="bottom"/>
            <w:tcBorders>
              <w:bottom w:val="single" w:sz="8" w:color="00C08A"/>
            </w:tcBorders>
            <w:vMerge w:val="continue"/>
          </w:tcPr>
          <w:p>
            <w:pPr>
              <w:spacing w:after="0"/>
              <w:rPr>
                <w:sz w:val="8"/>
                <w:szCs w:val="8"/>
                <w:color w:val="auto"/>
              </w:rPr>
            </w:pPr>
          </w:p>
        </w:tc>
        <w:tc>
          <w:tcPr>
            <w:tcW w:w="200" w:type="dxa"/>
            <w:vAlign w:val="bottom"/>
            <w:tcBorders>
              <w:bottom w:val="single" w:sz="8" w:color="00C08A"/>
            </w:tcBorders>
          </w:tcPr>
          <w:p>
            <w:pPr>
              <w:jc w:val="right"/>
              <w:spacing w:after="0" w:line="9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C08A"/>
            </w:tcBorders>
          </w:tcPr>
          <w:p>
            <w:pPr>
              <w:spacing w:after="0"/>
              <w:rPr>
                <w:sz w:val="8"/>
                <w:szCs w:val="8"/>
                <w:color w:val="auto"/>
              </w:rPr>
            </w:pPr>
          </w:p>
        </w:tc>
        <w:tc>
          <w:tcPr>
            <w:tcW w:w="180" w:type="dxa"/>
            <w:vAlign w:val="bottom"/>
            <w:tcBorders>
              <w:bottom w:val="single" w:sz="8" w:color="00C08A"/>
            </w:tcBorders>
            <w:gridSpan w:val="2"/>
            <w:vMerge w:val="continue"/>
          </w:tcPr>
          <w:p>
            <w:pPr>
              <w:spacing w:after="0"/>
              <w:rPr>
                <w:sz w:val="8"/>
                <w:szCs w:val="8"/>
                <w:color w:val="auto"/>
              </w:rPr>
            </w:pPr>
          </w:p>
        </w:tc>
        <w:tc>
          <w:tcPr>
            <w:tcW w:w="640" w:type="dxa"/>
            <w:vAlign w:val="bottom"/>
            <w:tcBorders>
              <w:bottom w:val="single" w:sz="8" w:color="00C08A"/>
            </w:tcBorders>
          </w:tcPr>
          <w:p>
            <w:pPr>
              <w:spacing w:after="0"/>
              <w:rPr>
                <w:sz w:val="8"/>
                <w:szCs w:val="8"/>
                <w:color w:val="auto"/>
              </w:rPr>
            </w:pPr>
          </w:p>
        </w:tc>
        <w:tc>
          <w:tcPr>
            <w:tcW w:w="160" w:type="dxa"/>
            <w:vAlign w:val="bottom"/>
            <w:tcBorders>
              <w:bottom w:val="single" w:sz="8" w:color="00C08A"/>
            </w:tcBorders>
          </w:tcPr>
          <w:p>
            <w:pPr>
              <w:jc w:val="right"/>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C08A"/>
            </w:tcBorders>
          </w:tcPr>
          <w:p>
            <w:pPr>
              <w:spacing w:after="0"/>
              <w:rPr>
                <w:sz w:val="8"/>
                <w:szCs w:val="8"/>
                <w:color w:val="auto"/>
              </w:rPr>
            </w:pPr>
          </w:p>
        </w:tc>
        <w:tc>
          <w:tcPr>
            <w:tcW w:w="280" w:type="dxa"/>
            <w:vAlign w:val="bottom"/>
            <w:tcBorders>
              <w:bottom w:val="single" w:sz="8" w:color="00C08A"/>
            </w:tcBorders>
          </w:tcPr>
          <w:p>
            <w:pPr>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C08A"/>
            </w:tcBorders>
          </w:tcPr>
          <w:p>
            <w:pPr>
              <w:spacing w:after="0"/>
              <w:rPr>
                <w:sz w:val="8"/>
                <w:szCs w:val="8"/>
                <w:color w:val="auto"/>
              </w:rPr>
            </w:pPr>
          </w:p>
        </w:tc>
        <w:tc>
          <w:tcPr>
            <w:tcW w:w="160" w:type="dxa"/>
            <w:vAlign w:val="bottom"/>
            <w:tcBorders>
              <w:bottom w:val="single" w:sz="8" w:color="00C08A"/>
            </w:tcBorders>
            <w:gridSpan w:val="3"/>
            <w:vMerge w:val="continue"/>
          </w:tcPr>
          <w:p>
            <w:pPr>
              <w:spacing w:after="0"/>
              <w:rPr>
                <w:sz w:val="8"/>
                <w:szCs w:val="8"/>
                <w:color w:val="auto"/>
              </w:rPr>
            </w:pPr>
          </w:p>
        </w:tc>
        <w:tc>
          <w:tcPr>
            <w:tcW w:w="760" w:type="dxa"/>
            <w:vAlign w:val="bottom"/>
            <w:tcBorders>
              <w:bottom w:val="single" w:sz="8" w:color="00C08A"/>
            </w:tcBorders>
          </w:tcPr>
          <w:p>
            <w:pPr>
              <w:spacing w:after="0"/>
              <w:rPr>
                <w:sz w:val="8"/>
                <w:szCs w:val="8"/>
                <w:color w:val="auto"/>
              </w:rPr>
            </w:pPr>
          </w:p>
        </w:tc>
        <w:tc>
          <w:tcPr>
            <w:tcW w:w="180" w:type="dxa"/>
            <w:vAlign w:val="bottom"/>
            <w:tcBorders>
              <w:bottom w:val="single" w:sz="8" w:color="00C08A"/>
            </w:tcBorders>
            <w:vMerge w:val="continue"/>
          </w:tcPr>
          <w:p>
            <w:pPr>
              <w:spacing w:after="0"/>
              <w:rPr>
                <w:sz w:val="8"/>
                <w:szCs w:val="8"/>
                <w:color w:val="auto"/>
              </w:rPr>
            </w:pPr>
          </w:p>
        </w:tc>
        <w:tc>
          <w:tcPr>
            <w:tcW w:w="500" w:type="dxa"/>
            <w:vAlign w:val="bottom"/>
            <w:tcBorders>
              <w:bottom w:val="single" w:sz="8" w:color="00C08A"/>
            </w:tcBorders>
          </w:tcPr>
          <w:p>
            <w:pPr>
              <w:spacing w:after="0"/>
              <w:rPr>
                <w:sz w:val="8"/>
                <w:szCs w:val="8"/>
                <w:color w:val="auto"/>
              </w:rPr>
            </w:pPr>
          </w:p>
        </w:tc>
        <w:tc>
          <w:tcPr>
            <w:tcW w:w="180" w:type="dxa"/>
            <w:vAlign w:val="bottom"/>
            <w:tcBorders>
              <w:bottom w:val="single" w:sz="8" w:color="00C08A"/>
            </w:tcBorders>
            <w:vMerge w:val="continue"/>
          </w:tcPr>
          <w:p>
            <w:pPr>
              <w:spacing w:after="0"/>
              <w:rPr>
                <w:sz w:val="8"/>
                <w:szCs w:val="8"/>
                <w:color w:val="auto"/>
              </w:rPr>
            </w:pPr>
          </w:p>
        </w:tc>
        <w:tc>
          <w:tcPr>
            <w:tcW w:w="160" w:type="dxa"/>
            <w:vAlign w:val="bottom"/>
            <w:tcBorders>
              <w:bottom w:val="single" w:sz="8" w:color="00C08A"/>
            </w:tcBorders>
          </w:tcPr>
          <w:p>
            <w:pPr>
              <w:ind w:left="100"/>
              <w:spacing w:after="0" w:line="9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00C08A"/>
            </w:tcBorders>
          </w:tcPr>
          <w:p>
            <w:pPr>
              <w:spacing w:after="0"/>
              <w:rPr>
                <w:sz w:val="8"/>
                <w:szCs w:val="8"/>
                <w:color w:val="auto"/>
              </w:rPr>
            </w:pPr>
          </w:p>
        </w:tc>
        <w:tc>
          <w:tcPr>
            <w:tcW w:w="120" w:type="dxa"/>
            <w:vAlign w:val="bottom"/>
            <w:tcBorders>
              <w:bottom w:val="single" w:sz="8" w:color="00C08A"/>
            </w:tcBorders>
            <w:gridSpan w:val="2"/>
            <w:vMerge w:val="continue"/>
          </w:tcPr>
          <w:p>
            <w:pPr>
              <w:spacing w:after="0"/>
              <w:rPr>
                <w:sz w:val="8"/>
                <w:szCs w:val="8"/>
                <w:color w:val="auto"/>
              </w:rPr>
            </w:pPr>
          </w:p>
        </w:tc>
        <w:tc>
          <w:tcPr>
            <w:tcW w:w="800" w:type="dxa"/>
            <w:vAlign w:val="bottom"/>
            <w:tcBorders>
              <w:bottom w:val="single" w:sz="8" w:color="00C08A"/>
            </w:tcBorders>
          </w:tcPr>
          <w:p>
            <w:pPr>
              <w:spacing w:after="0"/>
              <w:rPr>
                <w:sz w:val="8"/>
                <w:szCs w:val="8"/>
                <w:color w:val="auto"/>
              </w:rPr>
            </w:pPr>
          </w:p>
        </w:tc>
        <w:tc>
          <w:tcPr>
            <w:tcW w:w="220" w:type="dxa"/>
            <w:vAlign w:val="bottom"/>
            <w:tcBorders>
              <w:bottom w:val="single" w:sz="8" w:color="00C08A"/>
            </w:tcBorders>
            <w:gridSpan w:val="2"/>
          </w:tcPr>
          <w:p>
            <w:pPr>
              <w:ind w:left="40"/>
              <w:spacing w:after="0" w:line="95" w:lineRule="exact"/>
              <w:rPr>
                <w:sz w:val="20"/>
                <w:szCs w:val="20"/>
                <w:color w:val="auto"/>
              </w:rPr>
            </w:pPr>
            <w:r>
              <w:rPr>
                <w:rFonts w:ascii="Arial" w:cs="Arial" w:eastAsia="Arial" w:hAnsi="Arial"/>
                <w:sz w:val="10"/>
                <w:szCs w:val="10"/>
                <w:color w:val="auto"/>
              </w:rPr>
              <w:t>​​ ​</w:t>
            </w:r>
          </w:p>
        </w:tc>
        <w:tc>
          <w:tcPr>
            <w:tcW w:w="620" w:type="dxa"/>
            <w:vAlign w:val="bottom"/>
            <w:tcBorders>
              <w:bottom w:val="single" w:sz="8" w:color="00C08A"/>
            </w:tcBorders>
          </w:tcPr>
          <w:p>
            <w:pPr>
              <w:spacing w:after="0"/>
              <w:rPr>
                <w:sz w:val="8"/>
                <w:szCs w:val="8"/>
                <w:color w:val="auto"/>
              </w:rPr>
            </w:pPr>
          </w:p>
        </w:tc>
        <w:tc>
          <w:tcPr>
            <w:tcW w:w="60" w:type="dxa"/>
            <w:vAlign w:val="bottom"/>
            <w:tcBorders>
              <w:bottom w:val="single" w:sz="8" w:color="00C08A"/>
            </w:tcBorders>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-2407920</wp:posOffset>
            </wp:positionV>
            <wp:extent cx="582930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9300" cy="1460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-1610995</wp:posOffset>
            </wp:positionV>
            <wp:extent cx="582930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0" cy="1371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-822325</wp:posOffset>
            </wp:positionV>
            <wp:extent cx="582930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38" w:lineRule="exact"/>
        <w:rPr>
          <w:sz w:val="20"/>
          <w:szCs w:val="20"/>
          <w:color w:val="auto"/>
        </w:rPr>
      </w:pPr>
    </w:p>
    <w:p>
      <w:pPr>
        <w:ind w:left="980" w:right="360" w:hanging="218"/>
        <w:spacing w:after="0" w:line="293"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Messrs. Cifu, Molluso, Fairclough and Cavoli, this bonus, to the extent earned, is settled 50% in cash, 30% in restricted stock units that vest in three equal annual installments and 20% in fully vested common stock, subject to any deferrals (see “Employee Benefits and Perquisites” on page 28 of this proxy statement). For Ms. Lee and Mr. Galvin, this bonus, to the extent earned, is fully discretionary.</w:t>
      </w:r>
    </w:p>
    <w:p>
      <w:pPr>
        <w:spacing w:after="0" w:line="85" w:lineRule="exact"/>
        <w:rPr>
          <w:rFonts w:ascii="Arial" w:cs="Arial" w:eastAsia="Arial" w:hAnsi="Arial"/>
          <w:sz w:val="14"/>
          <w:szCs w:val="14"/>
          <w:color w:val="auto"/>
        </w:rPr>
      </w:pPr>
    </w:p>
    <w:p>
      <w:pPr>
        <w:ind w:left="980" w:right="140" w:hanging="218"/>
        <w:spacing w:after="0" w:line="293"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Assumptions used in calculating these amounts are described in Note 18 of the Company’s audited financial statements for the fiscal year ended December 31, 2024, included in our Annual Report on Form 10-K for the fiscal year ended December 31, 2024.</w:t>
      </w:r>
    </w:p>
    <w:p>
      <w:pPr>
        <w:spacing w:after="0" w:line="144" w:lineRule="exact"/>
        <w:rPr>
          <w:sz w:val="20"/>
          <w:szCs w:val="20"/>
          <w:color w:val="auto"/>
        </w:rPr>
      </w:pPr>
    </w:p>
    <w:p>
      <w:pPr>
        <w:ind w:left="3320"/>
        <w:spacing w:after="0"/>
        <w:rPr>
          <w:sz w:val="20"/>
          <w:szCs w:val="20"/>
          <w:color w:val="auto"/>
        </w:rPr>
      </w:pPr>
      <w:r>
        <w:rPr>
          <w:rFonts w:ascii="Arial" w:cs="Arial" w:eastAsia="Arial" w:hAnsi="Arial"/>
          <w:sz w:val="29"/>
          <w:szCs w:val="29"/>
          <w:color w:val="00C08A"/>
        </w:rPr>
        <w:t>PAY VERSUS PERFORMANCE</w:t>
      </w:r>
    </w:p>
    <w:p>
      <w:pPr>
        <w:spacing w:after="0" w:line="112" w:lineRule="exact"/>
        <w:rPr>
          <w:sz w:val="20"/>
          <w:szCs w:val="20"/>
          <w:color w:val="auto"/>
        </w:rPr>
      </w:pPr>
    </w:p>
    <w:p>
      <w:pPr>
        <w:ind w:left="760" w:right="420"/>
        <w:spacing w:after="0" w:line="273" w:lineRule="auto"/>
        <w:rPr>
          <w:sz w:val="20"/>
          <w:szCs w:val="20"/>
          <w:color w:val="auto"/>
        </w:rPr>
      </w:pPr>
      <w:r>
        <w:rPr>
          <w:rFonts w:ascii="Arial" w:cs="Arial" w:eastAsia="Arial" w:hAnsi="Arial"/>
          <w:sz w:val="18"/>
          <w:szCs w:val="18"/>
          <w:color w:val="auto"/>
        </w:rPr>
        <w:t>The following table presents information required by Item 402(v) of Regulation S-K. For information regarding the Company’s pay-for-performance philosophy and how the Company aligns executive compensation with the Company’s performance, please refer above to “Executive Compensation — Compensation Discussion and Analysis.”</w:t>
      </w:r>
    </w:p>
    <w:p>
      <w:pPr>
        <w:spacing w:after="0" w:line="71"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jc w:val="center"/>
              <w:ind w:left="18"/>
              <w:spacing w:after="0"/>
              <w:rPr>
                <w:sz w:val="20"/>
                <w:szCs w:val="20"/>
                <w:color w:val="auto"/>
              </w:rPr>
            </w:pPr>
            <w:r>
              <w:rPr>
                <w:rFonts w:ascii="Arial" w:cs="Arial" w:eastAsia="Arial" w:hAnsi="Arial"/>
                <w:sz w:val="13"/>
                <w:szCs w:val="13"/>
                <w:b w:val="1"/>
                <w:bCs w:val="1"/>
                <w:color w:val="002453"/>
                <w:w w:val="97"/>
              </w:rPr>
              <w:t>Average</w:t>
            </w:r>
          </w:p>
        </w:tc>
        <w:tc>
          <w:tcPr>
            <w:tcW w:w="1200" w:type="dxa"/>
            <w:vAlign w:val="bottom"/>
            <w:vMerge w:val="restart"/>
          </w:tcPr>
          <w:p>
            <w:pPr>
              <w:jc w:val="center"/>
              <w:ind w:left="18"/>
              <w:spacing w:after="0"/>
              <w:rPr>
                <w:sz w:val="20"/>
                <w:szCs w:val="20"/>
                <w:color w:val="auto"/>
              </w:rPr>
            </w:pPr>
            <w:r>
              <w:rPr>
                <w:rFonts w:ascii="Arial" w:cs="Arial" w:eastAsia="Arial" w:hAnsi="Arial"/>
                <w:sz w:val="13"/>
                <w:szCs w:val="13"/>
                <w:b w:val="1"/>
                <w:bCs w:val="1"/>
                <w:color w:val="002453"/>
                <w:w w:val="93"/>
              </w:rPr>
              <w:t>Average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3"/>
                <w:szCs w:val="13"/>
                <w:b w:val="1"/>
                <w:bCs w:val="1"/>
                <w:color w:val="002453"/>
                <w:w w:val="98"/>
              </w:rPr>
              <w:t>Value of Initial Fixed $100</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jc w:val="center"/>
              <w:ind w:left="18"/>
              <w:spacing w:after="0" w:line="134" w:lineRule="exact"/>
              <w:rPr>
                <w:sz w:val="20"/>
                <w:szCs w:val="20"/>
                <w:color w:val="auto"/>
              </w:rPr>
            </w:pPr>
            <w:r>
              <w:rPr>
                <w:rFonts w:ascii="Arial" w:cs="Arial" w:eastAsia="Arial" w:hAnsi="Arial"/>
                <w:sz w:val="13"/>
                <w:szCs w:val="13"/>
                <w:b w:val="1"/>
                <w:bCs w:val="1"/>
                <w:color w:val="002453"/>
                <w:w w:val="97"/>
              </w:rPr>
              <w:t>Summary</w:t>
            </w: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jc w:val="right"/>
              <w:spacing w:after="0" w:line="134" w:lineRule="exact"/>
              <w:rPr>
                <w:sz w:val="20"/>
                <w:szCs w:val="20"/>
                <w:color w:val="auto"/>
              </w:rPr>
            </w:pPr>
            <w:r>
              <w:rPr>
                <w:rFonts w:ascii="Arial" w:cs="Arial" w:eastAsia="Arial" w:hAnsi="Arial"/>
                <w:sz w:val="13"/>
                <w:szCs w:val="13"/>
                <w:b w:val="1"/>
                <w:bCs w:val="1"/>
                <w:color w:val="002453"/>
              </w:rPr>
              <w:t>​</w:t>
            </w:r>
          </w:p>
        </w:tc>
        <w:tc>
          <w:tcPr>
            <w:tcW w:w="1680" w:type="dxa"/>
            <w:vAlign w:val="bottom"/>
            <w:gridSpan w:val="2"/>
          </w:tcPr>
          <w:p>
            <w:pPr>
              <w:jc w:val="right"/>
              <w:ind w:right="39"/>
              <w:spacing w:after="0" w:line="134" w:lineRule="exact"/>
              <w:rPr>
                <w:sz w:val="20"/>
                <w:szCs w:val="20"/>
                <w:color w:val="auto"/>
              </w:rPr>
            </w:pPr>
            <w:r>
              <w:rPr>
                <w:rFonts w:ascii="Arial" w:cs="Arial" w:eastAsia="Arial" w:hAnsi="Arial"/>
                <w:sz w:val="13"/>
                <w:szCs w:val="13"/>
                <w:b w:val="1"/>
                <w:bCs w:val="1"/>
                <w:color w:val="002453"/>
              </w:rPr>
              <w:t>Investment Based On:(5)</w:t>
            </w:r>
          </w:p>
        </w:tc>
        <w:tc>
          <w:tcPr>
            <w:tcW w:w="102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002453"/>
              </w:rPr>
              <w:t>​</w:t>
            </w: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restart"/>
          </w:tcPr>
          <w:p>
            <w:pPr>
              <w:jc w:val="center"/>
              <w:ind w:left="18"/>
              <w:spacing w:after="0" w:line="114" w:lineRule="exact"/>
              <w:rPr>
                <w:sz w:val="20"/>
                <w:szCs w:val="20"/>
                <w:color w:val="auto"/>
              </w:rPr>
            </w:pPr>
            <w:r>
              <w:rPr>
                <w:rFonts w:ascii="Arial" w:cs="Arial" w:eastAsia="Arial" w:hAnsi="Arial"/>
                <w:sz w:val="13"/>
                <w:szCs w:val="13"/>
                <w:b w:val="1"/>
                <w:bCs w:val="1"/>
                <w:color w:val="002453"/>
                <w:w w:val="95"/>
              </w:rPr>
              <w:t>Compensation</w:t>
            </w:r>
          </w:p>
        </w:tc>
        <w:tc>
          <w:tcPr>
            <w:tcW w:w="1200" w:type="dxa"/>
            <w:vAlign w:val="bottom"/>
            <w:vMerge w:val="restart"/>
          </w:tcPr>
          <w:p>
            <w:pPr>
              <w:jc w:val="center"/>
              <w:ind w:left="18"/>
              <w:spacing w:after="0" w:line="114" w:lineRule="exact"/>
              <w:rPr>
                <w:sz w:val="20"/>
                <w:szCs w:val="20"/>
                <w:color w:val="auto"/>
              </w:rPr>
            </w:pPr>
            <w:r>
              <w:rPr>
                <w:rFonts w:ascii="Arial" w:cs="Arial" w:eastAsia="Arial" w:hAnsi="Arial"/>
                <w:sz w:val="13"/>
                <w:szCs w:val="13"/>
                <w:b w:val="1"/>
                <w:bCs w:val="1"/>
                <w:color w:val="002453"/>
                <w:w w:val="97"/>
              </w:rPr>
              <w:t>Compensation</w:t>
            </w:r>
          </w:p>
        </w:tc>
        <w:tc>
          <w:tcPr>
            <w:tcW w:w="60" w:type="dxa"/>
            <w:vAlign w:val="bottom"/>
          </w:tcPr>
          <w:p>
            <w:pPr>
              <w:spacing w:after="0"/>
              <w:rPr>
                <w:sz w:val="5"/>
                <w:szCs w:val="5"/>
                <w:color w:val="auto"/>
              </w:rPr>
            </w:pPr>
          </w:p>
        </w:tc>
        <w:tc>
          <w:tcPr>
            <w:tcW w:w="60" w:type="dxa"/>
            <w:vAlign w:val="bottom"/>
            <w:tcBorders>
              <w:bottom w:val="single" w:sz="8" w:color="00C08A"/>
            </w:tcBorders>
          </w:tcPr>
          <w:p>
            <w:pPr>
              <w:spacing w:after="0"/>
              <w:rPr>
                <w:sz w:val="5"/>
                <w:szCs w:val="5"/>
                <w:color w:val="auto"/>
              </w:rPr>
            </w:pPr>
          </w:p>
        </w:tc>
        <w:tc>
          <w:tcPr>
            <w:tcW w:w="760" w:type="dxa"/>
            <w:vAlign w:val="bottom"/>
            <w:tcBorders>
              <w:bottom w:val="single" w:sz="8" w:color="00C08A"/>
            </w:tcBorders>
          </w:tcPr>
          <w:p>
            <w:pPr>
              <w:spacing w:after="0"/>
              <w:rPr>
                <w:sz w:val="5"/>
                <w:szCs w:val="5"/>
                <w:color w:val="auto"/>
              </w:rPr>
            </w:pPr>
          </w:p>
        </w:tc>
        <w:tc>
          <w:tcPr>
            <w:tcW w:w="920" w:type="dxa"/>
            <w:vAlign w:val="bottom"/>
            <w:tcBorders>
              <w:bottom w:val="single" w:sz="8" w:color="00C08A"/>
            </w:tcBorders>
          </w:tcPr>
          <w:p>
            <w:pPr>
              <w:spacing w:after="0"/>
              <w:rPr>
                <w:sz w:val="5"/>
                <w:szCs w:val="5"/>
                <w:color w:val="auto"/>
              </w:rPr>
            </w:pPr>
          </w:p>
        </w:tc>
        <w:tc>
          <w:tcPr>
            <w:tcW w:w="60" w:type="dxa"/>
            <w:vAlign w:val="bottom"/>
            <w:tcBorders>
              <w:bottom w:val="single" w:sz="8" w:color="00C08A"/>
            </w:tcBorders>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7"/>
              </w:rPr>
              <w:t>Summary</w:t>
            </w: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vMerge w:val="restart"/>
          </w:tcPr>
          <w:p>
            <w:pPr>
              <w:jc w:val="center"/>
              <w:ind w:left="59"/>
              <w:spacing w:after="0"/>
              <w:rPr>
                <w:sz w:val="20"/>
                <w:szCs w:val="20"/>
                <w:color w:val="auto"/>
              </w:rPr>
            </w:pPr>
            <w:r>
              <w:rPr>
                <w:rFonts w:ascii="Arial" w:cs="Arial" w:eastAsia="Arial" w:hAnsi="Arial"/>
                <w:sz w:val="13"/>
                <w:szCs w:val="13"/>
                <w:b w:val="1"/>
                <w:bCs w:val="1"/>
                <w:color w:val="002453"/>
                <w:w w:val="95"/>
              </w:rPr>
              <w:t>Peer Group</w:t>
            </w: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5"/>
              </w:rPr>
              <w:t>Compensation</w:t>
            </w:r>
          </w:p>
        </w:tc>
        <w:tc>
          <w:tcPr>
            <w:tcW w:w="1140" w:type="dxa"/>
            <w:vAlign w:val="bottom"/>
          </w:tcPr>
          <w:p>
            <w:pPr>
              <w:jc w:val="center"/>
              <w:ind w:left="38"/>
              <w:spacing w:after="0" w:line="122" w:lineRule="exact"/>
              <w:rPr>
                <w:sz w:val="20"/>
                <w:szCs w:val="20"/>
                <w:color w:val="auto"/>
              </w:rPr>
            </w:pPr>
            <w:r>
              <w:rPr>
                <w:rFonts w:ascii="Arial" w:cs="Arial" w:eastAsia="Arial" w:hAnsi="Arial"/>
                <w:sz w:val="13"/>
                <w:szCs w:val="13"/>
                <w:b w:val="1"/>
                <w:bCs w:val="1"/>
                <w:color w:val="002453"/>
                <w:w w:val="93"/>
              </w:rPr>
              <w:t>Table Total for</w:t>
            </w:r>
          </w:p>
        </w:tc>
        <w:tc>
          <w:tcPr>
            <w:tcW w:w="1200" w:type="dxa"/>
            <w:vAlign w:val="bottom"/>
          </w:tcPr>
          <w:p>
            <w:pPr>
              <w:jc w:val="center"/>
              <w:ind w:left="38"/>
              <w:spacing w:after="0" w:line="122" w:lineRule="exact"/>
              <w:rPr>
                <w:sz w:val="20"/>
                <w:szCs w:val="20"/>
                <w:color w:val="auto"/>
              </w:rPr>
            </w:pPr>
            <w:r>
              <w:rPr>
                <w:rFonts w:ascii="Arial" w:cs="Arial" w:eastAsia="Arial" w:hAnsi="Arial"/>
                <w:sz w:val="13"/>
                <w:szCs w:val="13"/>
                <w:b w:val="1"/>
                <w:bCs w:val="1"/>
                <w:color w:val="002453"/>
                <w:w w:val="96"/>
              </w:rPr>
              <w:t>Actually Paid to</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6"/>
              </w:rPr>
              <w:t>Total</w:t>
            </w:r>
          </w:p>
        </w:tc>
        <w:tc>
          <w:tcPr>
            <w:tcW w:w="9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6"/>
              </w:rPr>
              <w:t>Adjusted EBITDA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5"/>
              </w:rPr>
              <w:t>Compensation</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002453"/>
                <w:w w:val="96"/>
              </w:rPr>
              <w:t>non-CEO Named</w:t>
            </w:r>
          </w:p>
        </w:tc>
        <w:tc>
          <w:tcPr>
            <w:tcW w:w="1200" w:type="dxa"/>
            <w:vAlign w:val="bottom"/>
          </w:tcPr>
          <w:p>
            <w:pPr>
              <w:jc w:val="center"/>
              <w:ind w:left="18"/>
              <w:spacing w:after="0" w:line="135" w:lineRule="exact"/>
              <w:rPr>
                <w:sz w:val="20"/>
                <w:szCs w:val="20"/>
                <w:color w:val="auto"/>
              </w:rPr>
            </w:pPr>
            <w:r>
              <w:rPr>
                <w:rFonts w:ascii="Arial" w:cs="Arial" w:eastAsia="Arial" w:hAnsi="Arial"/>
                <w:sz w:val="13"/>
                <w:szCs w:val="13"/>
                <w:b w:val="1"/>
                <w:bCs w:val="1"/>
                <w:color w:val="002453"/>
                <w:w w:val="99"/>
              </w:rPr>
              <w:t>non-CEO</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tcPr>
          <w:p>
            <w:pPr>
              <w:jc w:val="center"/>
              <w:ind w:left="39"/>
              <w:spacing w:after="0" w:line="135" w:lineRule="exact"/>
              <w:rPr>
                <w:sz w:val="20"/>
                <w:szCs w:val="20"/>
                <w:color w:val="auto"/>
              </w:rPr>
            </w:pPr>
            <w:r>
              <w:rPr>
                <w:rFonts w:ascii="Arial" w:cs="Arial" w:eastAsia="Arial" w:hAnsi="Arial"/>
                <w:sz w:val="13"/>
                <w:szCs w:val="13"/>
                <w:b w:val="1"/>
                <w:bCs w:val="1"/>
                <w:color w:val="002453"/>
                <w:w w:val="96"/>
              </w:rPr>
              <w:t>Total</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3"/>
              </w:rPr>
              <w:t>Table Total for</w:t>
            </w:r>
          </w:p>
        </w:tc>
        <w:tc>
          <w:tcPr>
            <w:tcW w:w="1100" w:type="dxa"/>
            <w:vAlign w:val="bottom"/>
            <w:gridSpan w:val="2"/>
          </w:tcPr>
          <w:p>
            <w:pPr>
              <w:jc w:val="center"/>
              <w:ind w:left="17"/>
              <w:spacing w:after="0" w:line="122" w:lineRule="exact"/>
              <w:rPr>
                <w:sz w:val="20"/>
                <w:szCs w:val="20"/>
                <w:color w:val="auto"/>
              </w:rPr>
            </w:pPr>
            <w:r>
              <w:rPr>
                <w:rFonts w:ascii="Arial" w:cs="Arial" w:eastAsia="Arial" w:hAnsi="Arial"/>
                <w:sz w:val="13"/>
                <w:szCs w:val="13"/>
                <w:b w:val="1"/>
                <w:bCs w:val="1"/>
                <w:color w:val="002453"/>
                <w:w w:val="96"/>
              </w:rPr>
              <w:t>Actually Paid to</w:t>
            </w:r>
          </w:p>
        </w:tc>
        <w:tc>
          <w:tcPr>
            <w:tcW w:w="1140" w:type="dxa"/>
            <w:vAlign w:val="bottom"/>
          </w:tcPr>
          <w:p>
            <w:pPr>
              <w:jc w:val="center"/>
              <w:ind w:left="18"/>
              <w:spacing w:after="0" w:line="122" w:lineRule="exact"/>
              <w:rPr>
                <w:sz w:val="20"/>
                <w:szCs w:val="20"/>
                <w:color w:val="auto"/>
              </w:rPr>
            </w:pPr>
            <w:r>
              <w:rPr>
                <w:rFonts w:ascii="Arial" w:cs="Arial" w:eastAsia="Arial" w:hAnsi="Arial"/>
                <w:sz w:val="13"/>
                <w:szCs w:val="13"/>
                <w:b w:val="1"/>
                <w:bCs w:val="1"/>
                <w:color w:val="002453"/>
                <w:w w:val="95"/>
              </w:rPr>
              <w:t>Executive</w:t>
            </w:r>
          </w:p>
        </w:tc>
        <w:tc>
          <w:tcPr>
            <w:tcW w:w="1200" w:type="dxa"/>
            <w:vAlign w:val="bottom"/>
          </w:tcPr>
          <w:p>
            <w:pPr>
              <w:jc w:val="center"/>
              <w:ind w:left="18"/>
              <w:spacing w:after="0" w:line="122" w:lineRule="exact"/>
              <w:rPr>
                <w:sz w:val="20"/>
                <w:szCs w:val="20"/>
                <w:color w:val="auto"/>
              </w:rPr>
            </w:pPr>
            <w:r>
              <w:rPr>
                <w:rFonts w:ascii="Arial" w:cs="Arial" w:eastAsia="Arial" w:hAnsi="Arial"/>
                <w:sz w:val="13"/>
                <w:szCs w:val="13"/>
                <w:b w:val="1"/>
                <w:bCs w:val="1"/>
                <w:color w:val="002453"/>
                <w:w w:val="96"/>
              </w:rPr>
              <w:t>Named Executive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7"/>
              </w:rPr>
              <w:t>Shareholder</w:t>
            </w:r>
          </w:p>
        </w:tc>
        <w:tc>
          <w:tcPr>
            <w:tcW w:w="920" w:type="dxa"/>
            <w:vAlign w:val="bottom"/>
          </w:tcPr>
          <w:p>
            <w:pPr>
              <w:jc w:val="center"/>
              <w:ind w:left="39"/>
              <w:spacing w:after="0" w:line="122" w:lineRule="exact"/>
              <w:rPr>
                <w:sz w:val="20"/>
                <w:szCs w:val="20"/>
                <w:color w:val="auto"/>
              </w:rPr>
            </w:pPr>
            <w:r>
              <w:rPr>
                <w:rFonts w:ascii="Arial" w:cs="Arial" w:eastAsia="Arial" w:hAnsi="Arial"/>
                <w:sz w:val="13"/>
                <w:szCs w:val="13"/>
                <w:b w:val="1"/>
                <w:bCs w:val="1"/>
                <w:color w:val="002453"/>
                <w:w w:val="97"/>
              </w:rPr>
              <w:t>Shareholder</w:t>
            </w:r>
          </w:p>
        </w:tc>
        <w:tc>
          <w:tcPr>
            <w:tcW w:w="102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002453"/>
                <w:vertAlign w:val="subscript"/>
              </w:rPr>
              <w:t>​ ​</w:t>
            </w:r>
            <w:r>
              <w:rPr>
                <w:rFonts w:ascii="Arial" w:cs="Arial" w:eastAsia="Arial" w:hAnsi="Arial"/>
                <w:sz w:val="13"/>
                <w:szCs w:val="13"/>
                <w:b w:val="1"/>
                <w:bCs w:val="1"/>
                <w:color w:val="002453"/>
              </w:rPr>
              <w:t xml:space="preserve"> Net Income </w:t>
            </w:r>
            <w:r>
              <w:rPr>
                <w:rFonts w:ascii="Arial" w:cs="Arial" w:eastAsia="Arial" w:hAnsi="Arial"/>
                <w:sz w:val="25"/>
                <w:szCs w:val="25"/>
                <w:b w:val="1"/>
                <w:bCs w:val="1"/>
                <w:color w:val="002453"/>
                <w:vertAlign w:val="subscript"/>
              </w:rPr>
              <w:t>​ ​</w:t>
            </w:r>
          </w:p>
        </w:tc>
        <w:tc>
          <w:tcPr>
            <w:tcW w:w="128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5"/>
              </w:rPr>
              <w:t>(Company – Selected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60" w:type="dxa"/>
            <w:vAlign w:val="bottom"/>
            <w:tcBorders>
              <w:bottom w:val="single" w:sz="8" w:color="00C08A"/>
            </w:tcBorders>
          </w:tcPr>
          <w:p>
            <w:pPr>
              <w:spacing w:after="0"/>
              <w:rPr>
                <w:sz w:val="20"/>
                <w:szCs w:val="20"/>
                <w:color w:val="auto"/>
              </w:rPr>
            </w:pPr>
            <w:r>
              <w:rPr>
                <w:rFonts w:ascii="Arial" w:cs="Arial" w:eastAsia="Arial" w:hAnsi="Arial"/>
                <w:sz w:val="13"/>
                <w:szCs w:val="13"/>
                <w:b w:val="1"/>
                <w:bCs w:val="1"/>
                <w:color w:val="002453"/>
              </w:rPr>
              <w:t>Year</w:t>
            </w:r>
          </w:p>
        </w:tc>
        <w:tc>
          <w:tcPr>
            <w:tcW w:w="280" w:type="dxa"/>
            <w:vAlign w:val="bottom"/>
            <w:tcBorders>
              <w:bottom w:val="single" w:sz="8" w:color="00C08A"/>
            </w:tcBorders>
          </w:tcPr>
          <w:p>
            <w:pPr>
              <w:ind w:left="200"/>
              <w:spacing w:after="0"/>
              <w:rPr>
                <w:sz w:val="20"/>
                <w:szCs w:val="20"/>
                <w:color w:val="auto"/>
              </w:rPr>
            </w:pPr>
            <w:r>
              <w:rPr>
                <w:rFonts w:ascii="Arial" w:cs="Arial" w:eastAsia="Arial" w:hAnsi="Arial"/>
                <w:sz w:val="13"/>
                <w:szCs w:val="13"/>
                <w:b w:val="1"/>
                <w:bCs w:val="1"/>
                <w:color w:val="002453"/>
              </w:rPr>
              <w:t>​ ​</w:t>
            </w:r>
          </w:p>
        </w:tc>
        <w:tc>
          <w:tcPr>
            <w:tcW w:w="900" w:type="dxa"/>
            <w:vAlign w:val="bottom"/>
            <w:tcBorders>
              <w:bottom w:val="single" w:sz="8" w:color="00C08A"/>
            </w:tcBorders>
          </w:tcPr>
          <w:p>
            <w:pPr>
              <w:jc w:val="center"/>
              <w:spacing w:after="0"/>
              <w:rPr>
                <w:sz w:val="20"/>
                <w:szCs w:val="20"/>
                <w:color w:val="auto"/>
              </w:rPr>
            </w:pPr>
            <w:r>
              <w:rPr>
                <w:rFonts w:ascii="Arial" w:cs="Arial" w:eastAsia="Arial" w:hAnsi="Arial"/>
                <w:sz w:val="13"/>
                <w:szCs w:val="13"/>
                <w:b w:val="1"/>
                <w:bCs w:val="1"/>
                <w:color w:val="002453"/>
                <w:w w:val="95"/>
              </w:rPr>
              <w:t>CEO(1)</w:t>
            </w:r>
          </w:p>
        </w:tc>
        <w:tc>
          <w:tcPr>
            <w:tcW w:w="140" w:type="dxa"/>
            <w:vAlign w:val="bottom"/>
            <w:tcBorders>
              <w:bottom w:val="single" w:sz="8" w:color="00C08A"/>
            </w:tcBorders>
          </w:tcPr>
          <w:p>
            <w:pPr>
              <w:ind w:left="40"/>
              <w:spacing w:after="0"/>
              <w:rPr>
                <w:sz w:val="20"/>
                <w:szCs w:val="20"/>
                <w:color w:val="auto"/>
              </w:rPr>
            </w:pPr>
            <w:r>
              <w:rPr>
                <w:rFonts w:ascii="Arial" w:cs="Arial" w:eastAsia="Arial" w:hAnsi="Arial"/>
                <w:sz w:val="13"/>
                <w:szCs w:val="13"/>
                <w:b w:val="1"/>
                <w:bCs w:val="1"/>
                <w:color w:val="002453"/>
              </w:rPr>
              <w:t>​ ​</w:t>
            </w:r>
          </w:p>
        </w:tc>
        <w:tc>
          <w:tcPr>
            <w:tcW w:w="960" w:type="dxa"/>
            <w:vAlign w:val="bottom"/>
            <w:tcBorders>
              <w:bottom w:val="single" w:sz="8" w:color="00C08A"/>
            </w:tcBorders>
          </w:tcPr>
          <w:p>
            <w:pPr>
              <w:jc w:val="center"/>
              <w:spacing w:after="0"/>
              <w:rPr>
                <w:sz w:val="20"/>
                <w:szCs w:val="20"/>
                <w:color w:val="auto"/>
              </w:rPr>
            </w:pPr>
            <w:r>
              <w:rPr>
                <w:rFonts w:ascii="Arial" w:cs="Arial" w:eastAsia="Arial" w:hAnsi="Arial"/>
                <w:sz w:val="13"/>
                <w:szCs w:val="13"/>
                <w:b w:val="1"/>
                <w:bCs w:val="1"/>
                <w:color w:val="002453"/>
                <w:w w:val="95"/>
              </w:rPr>
              <w:t>CEO(3)</w:t>
            </w:r>
          </w:p>
        </w:tc>
        <w:tc>
          <w:tcPr>
            <w:tcW w:w="1140" w:type="dxa"/>
            <w:vAlign w:val="bottom"/>
            <w:tcBorders>
              <w:bottom w:val="single" w:sz="8" w:color="00C08A"/>
            </w:tcBorders>
          </w:tcPr>
          <w:p>
            <w:pPr>
              <w:ind w:left="20"/>
              <w:spacing w:after="0" w:line="189" w:lineRule="exact"/>
              <w:rPr>
                <w:sz w:val="20"/>
                <w:szCs w:val="20"/>
                <w:color w:val="auto"/>
              </w:rPr>
            </w:pPr>
            <w:r>
              <w:rPr>
                <w:rFonts w:ascii="Arial" w:cs="Arial" w:eastAsia="Arial" w:hAnsi="Arial"/>
                <w:sz w:val="21"/>
                <w:szCs w:val="21"/>
                <w:b w:val="1"/>
                <w:bCs w:val="1"/>
                <w:color w:val="002453"/>
                <w:vertAlign w:val="subscript"/>
              </w:rPr>
              <w:t>​ ​</w:t>
            </w:r>
            <w:r>
              <w:rPr>
                <w:rFonts w:ascii="Arial" w:cs="Arial" w:eastAsia="Arial" w:hAnsi="Arial"/>
                <w:sz w:val="11"/>
                <w:szCs w:val="11"/>
                <w:b w:val="1"/>
                <w:bCs w:val="1"/>
                <w:color w:val="002453"/>
              </w:rPr>
              <w:t xml:space="preserve">   Officers(2)</w:t>
            </w:r>
          </w:p>
        </w:tc>
        <w:tc>
          <w:tcPr>
            <w:tcW w:w="1200" w:type="dxa"/>
            <w:vAlign w:val="bottom"/>
            <w:tcBorders>
              <w:bottom w:val="single" w:sz="8" w:color="00C08A"/>
            </w:tcBorders>
          </w:tcPr>
          <w:p>
            <w:pPr>
              <w:ind w:left="40"/>
              <w:spacing w:after="0" w:line="189" w:lineRule="exact"/>
              <w:rPr>
                <w:sz w:val="20"/>
                <w:szCs w:val="20"/>
                <w:color w:val="auto"/>
              </w:rPr>
            </w:pPr>
            <w:r>
              <w:rPr>
                <w:rFonts w:ascii="Arial" w:cs="Arial" w:eastAsia="Arial" w:hAnsi="Arial"/>
                <w:sz w:val="21"/>
                <w:szCs w:val="21"/>
                <w:b w:val="1"/>
                <w:bCs w:val="1"/>
                <w:color w:val="002453"/>
                <w:vertAlign w:val="subscript"/>
              </w:rPr>
              <w:t>​ ​</w:t>
            </w:r>
            <w:r>
              <w:rPr>
                <w:rFonts w:ascii="Arial" w:cs="Arial" w:eastAsia="Arial" w:hAnsi="Arial"/>
                <w:sz w:val="11"/>
                <w:szCs w:val="11"/>
                <w:b w:val="1"/>
                <w:bCs w:val="1"/>
                <w:color w:val="002453"/>
              </w:rPr>
              <w:t xml:space="preserve">   Officers(4)</w:t>
            </w: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3"/>
                <w:szCs w:val="13"/>
                <w:b w:val="1"/>
                <w:bCs w:val="1"/>
                <w:color w:val="002453"/>
              </w:rPr>
              <w:t>​ ​</w:t>
            </w: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3"/>
                <w:szCs w:val="13"/>
                <w:b w:val="1"/>
                <w:bCs w:val="1"/>
                <w:color w:val="002453"/>
                <w:w w:val="95"/>
              </w:rPr>
              <w:t>Return</w:t>
            </w:r>
          </w:p>
        </w:tc>
        <w:tc>
          <w:tcPr>
            <w:tcW w:w="920" w:type="dxa"/>
            <w:vAlign w:val="bottom"/>
            <w:tcBorders>
              <w:bottom w:val="single" w:sz="8" w:color="00C08A"/>
            </w:tcBorders>
          </w:tcPr>
          <w:p>
            <w:pPr>
              <w:jc w:val="right"/>
              <w:ind w:right="59"/>
              <w:spacing w:after="0" w:line="189" w:lineRule="exact"/>
              <w:rPr>
                <w:sz w:val="20"/>
                <w:szCs w:val="20"/>
                <w:color w:val="auto"/>
              </w:rPr>
            </w:pPr>
            <w:r>
              <w:rPr>
                <w:rFonts w:ascii="Arial" w:cs="Arial" w:eastAsia="Arial" w:hAnsi="Arial"/>
                <w:sz w:val="21"/>
                <w:szCs w:val="21"/>
                <w:b w:val="1"/>
                <w:bCs w:val="1"/>
                <w:color w:val="002453"/>
                <w:vertAlign w:val="subscript"/>
              </w:rPr>
              <w:t>​ ​</w:t>
            </w:r>
            <w:r>
              <w:rPr>
                <w:rFonts w:ascii="Arial" w:cs="Arial" w:eastAsia="Arial" w:hAnsi="Arial"/>
                <w:sz w:val="11"/>
                <w:szCs w:val="11"/>
                <w:b w:val="1"/>
                <w:bCs w:val="1"/>
                <w:color w:val="002453"/>
              </w:rPr>
              <w:t xml:space="preserve">  Return(6)</w:t>
            </w:r>
          </w:p>
        </w:tc>
        <w:tc>
          <w:tcPr>
            <w:tcW w:w="1020" w:type="dxa"/>
            <w:vAlign w:val="bottom"/>
            <w:tcBorders>
              <w:bottom w:val="single" w:sz="8" w:color="00C08A"/>
            </w:tcBorders>
            <w:gridSpan w:val="2"/>
            <w:vMerge w:val="continue"/>
          </w:tcPr>
          <w:p>
            <w:pPr>
              <w:spacing w:after="0"/>
              <w:rPr>
                <w:sz w:val="16"/>
                <w:szCs w:val="16"/>
                <w:color w:val="auto"/>
              </w:rPr>
            </w:pPr>
          </w:p>
        </w:tc>
        <w:tc>
          <w:tcPr>
            <w:tcW w:w="1280" w:type="dxa"/>
            <w:vAlign w:val="bottom"/>
            <w:tcBorders>
              <w:bottom w:val="single" w:sz="8" w:color="00C08A"/>
            </w:tcBorders>
          </w:tcPr>
          <w:p>
            <w:pPr>
              <w:jc w:val="center"/>
              <w:spacing w:after="0"/>
              <w:rPr>
                <w:sz w:val="20"/>
                <w:szCs w:val="20"/>
                <w:color w:val="auto"/>
              </w:rPr>
            </w:pPr>
            <w:r>
              <w:rPr>
                <w:rFonts w:ascii="Arial" w:cs="Arial" w:eastAsia="Arial" w:hAnsi="Arial"/>
                <w:sz w:val="13"/>
                <w:szCs w:val="13"/>
                <w:b w:val="1"/>
                <w:bCs w:val="1"/>
                <w:color w:val="002453"/>
                <w:w w:val="95"/>
              </w:rPr>
              <w:t>Measure)(7)</w:t>
            </w:r>
          </w:p>
        </w:tc>
        <w:tc>
          <w:tcPr>
            <w:tcW w:w="40" w:type="dxa"/>
            <w:vAlign w:val="bottom"/>
          </w:tcPr>
          <w:p>
            <w:pPr>
              <w:spacing w:after="0"/>
              <w:rPr>
                <w:sz w:val="20"/>
                <w:szCs w:val="20"/>
                <w:color w:val="auto"/>
              </w:rPr>
            </w:pPr>
            <w:r>
              <w:rPr>
                <w:rFonts w:ascii="Arial" w:cs="Arial" w:eastAsia="Arial" w:hAnsi="Arial"/>
                <w:sz w:val="13"/>
                <w:szCs w:val="13"/>
                <w:b w:val="1"/>
                <w:bCs w:val="1"/>
                <w:color w:val="00245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0" cy="16256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tbl>
      <w:tblPr>
        <w:tblLayout w:type="fixed"/>
        <w:tblInd w:w="760" w:type="dxa"/>
        <w:tblCellMar>
          <w:top w:w="0" w:type="dxa"/>
          <w:left w:w="0" w:type="dxa"/>
          <w:bottom w:w="0" w:type="dxa"/>
          <w:right w:w="0" w:type="dxa"/>
        </w:tblCellMar>
      </w:tblPr>
      <w:tr>
        <w:trPr>
          <w:trHeight w:val="288"/>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2024</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9,863,432</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​15,209,440</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​3,493,227</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​5,200,672</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$ 234.78</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$ 278.21</w:t>
            </w:r>
          </w:p>
        </w:tc>
        <w:tc>
          <w:tcPr>
            <w:tcW w:w="360" w:type="dxa"/>
            <w:vAlign w:val="bottom"/>
          </w:tcPr>
          <w:p>
            <w:pPr>
              <w:ind w:left="60"/>
              <w:spacing w:after="0" w:line="288"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60" w:type="dxa"/>
            <w:vAlign w:val="bottom"/>
          </w:tcPr>
          <w:p>
            <w:pPr>
              <w:jc w:val="right"/>
              <w:ind w:right="48"/>
              <w:spacing w:after="0" w:line="288" w:lineRule="exact"/>
              <w:rPr>
                <w:sz w:val="20"/>
                <w:szCs w:val="20"/>
                <w:color w:val="auto"/>
              </w:rPr>
            </w:pPr>
            <w:r>
              <w:rPr>
                <w:rFonts w:ascii="Arial" w:cs="Arial" w:eastAsia="Arial" w:hAnsi="Arial"/>
                <w:sz w:val="14"/>
                <w:szCs w:val="14"/>
                <w:color w:val="auto"/>
              </w:rPr>
              <w:t>534,535</w:t>
            </w:r>
            <w:r>
              <w:rPr>
                <w:rFonts w:ascii="Arial" w:cs="Arial" w:eastAsia="Arial" w:hAnsi="Arial"/>
                <w:sz w:val="28"/>
                <w:szCs w:val="28"/>
                <w:color w:val="auto"/>
                <w:vertAlign w:val="subscript"/>
              </w:rPr>
              <w:t>​​ ​</w:t>
            </w:r>
          </w:p>
        </w:tc>
        <w:tc>
          <w:tcPr>
            <w:tcW w:w="300" w:type="dxa"/>
            <w:vAlign w:val="bottom"/>
          </w:tcPr>
          <w:p>
            <w:pPr>
              <w:ind w:left="140"/>
              <w:spacing w:after="0" w:line="28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918,685</w:t>
            </w:r>
          </w:p>
        </w:tc>
      </w:tr>
      <w:tr>
        <w:trPr>
          <w:trHeight w:val="257"/>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2023</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8,251,865</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9,129,803</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​3,269,016</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​3,564,802</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$ 132.35</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$ 191.92</w:t>
            </w:r>
          </w:p>
        </w:tc>
        <w:tc>
          <w:tcPr>
            <w:tcW w:w="360" w:type="dxa"/>
            <w:vAlign w:val="bottom"/>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60" w:type="dxa"/>
            <w:vAlign w:val="bottom"/>
          </w:tcPr>
          <w:p>
            <w:pPr>
              <w:jc w:val="right"/>
              <w:ind w:right="48"/>
              <w:spacing w:after="0" w:line="257" w:lineRule="exact"/>
              <w:rPr>
                <w:sz w:val="20"/>
                <w:szCs w:val="20"/>
                <w:color w:val="auto"/>
              </w:rPr>
            </w:pPr>
            <w:r>
              <w:rPr>
                <w:rFonts w:ascii="Arial" w:cs="Arial" w:eastAsia="Arial" w:hAnsi="Arial"/>
                <w:sz w:val="14"/>
                <w:szCs w:val="14"/>
                <w:color w:val="auto"/>
              </w:rPr>
              <w:t>263,921</w:t>
            </w:r>
            <w:r>
              <w:rPr>
                <w:rFonts w:ascii="Arial" w:cs="Arial" w:eastAsia="Arial" w:hAnsi="Arial"/>
                <w:sz w:val="28"/>
                <w:szCs w:val="28"/>
                <w:color w:val="auto"/>
                <w:vertAlign w:val="subscript"/>
              </w:rPr>
              <w:t>​​ ​</w:t>
            </w:r>
          </w:p>
        </w:tc>
        <w:tc>
          <w:tcPr>
            <w:tcW w:w="300" w:type="dxa"/>
            <w:vAlign w:val="bottom"/>
          </w:tcPr>
          <w:p>
            <w:pPr>
              <w:ind w:left="14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567,767</w:t>
            </w:r>
          </w:p>
        </w:tc>
      </w:tr>
      <w:tr>
        <w:trPr>
          <w:trHeight w:val="256"/>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2022</w:t>
            </w:r>
          </w:p>
        </w:tc>
        <w:tc>
          <w:tcPr>
            <w:tcW w:w="1120" w:type="dxa"/>
            <w:vAlign w:val="bottom"/>
            <w:gridSpan w:val="3"/>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r>
              <w:rPr>
                <w:rFonts w:ascii="Arial" w:cs="Arial" w:eastAsia="Arial" w:hAnsi="Arial"/>
                <w:sz w:val="14"/>
                <w:szCs w:val="14"/>
                <w:color w:val="auto"/>
              </w:rPr>
              <w:t>12,052,261</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8,565,816</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​3,452,212</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​1,959,138</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$ 133.33</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$ 154.67</w:t>
            </w:r>
          </w:p>
        </w:tc>
        <w:tc>
          <w:tcPr>
            <w:tcW w:w="360" w:type="dxa"/>
            <w:vAlign w:val="bottom"/>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60" w:type="dxa"/>
            <w:vAlign w:val="bottom"/>
          </w:tcPr>
          <w:p>
            <w:pPr>
              <w:jc w:val="right"/>
              <w:ind w:right="48"/>
              <w:spacing w:after="0" w:line="257" w:lineRule="exact"/>
              <w:rPr>
                <w:sz w:val="20"/>
                <w:szCs w:val="20"/>
                <w:color w:val="auto"/>
              </w:rPr>
            </w:pPr>
            <w:r>
              <w:rPr>
                <w:rFonts w:ascii="Arial" w:cs="Arial" w:eastAsia="Arial" w:hAnsi="Arial"/>
                <w:sz w:val="14"/>
                <w:szCs w:val="14"/>
                <w:color w:val="auto"/>
              </w:rPr>
              <w:t>468,332</w:t>
            </w:r>
            <w:r>
              <w:rPr>
                <w:rFonts w:ascii="Arial" w:cs="Arial" w:eastAsia="Arial" w:hAnsi="Arial"/>
                <w:sz w:val="28"/>
                <w:szCs w:val="28"/>
                <w:color w:val="auto"/>
                <w:vertAlign w:val="subscript"/>
              </w:rPr>
              <w:t>​​ ​</w:t>
            </w:r>
          </w:p>
        </w:tc>
        <w:tc>
          <w:tcPr>
            <w:tcW w:w="300" w:type="dxa"/>
            <w:vAlign w:val="bottom"/>
          </w:tcPr>
          <w:p>
            <w:pPr>
              <w:ind w:left="14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859,123</w:t>
            </w:r>
          </w:p>
        </w:tc>
      </w:tr>
      <w:tr>
        <w:trPr>
          <w:trHeight w:val="243"/>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2021</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10,107,261</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​14,939,149</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​3,309,375</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​3,033,721</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$ 188.33</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$ 167.66</w:t>
            </w:r>
          </w:p>
        </w:tc>
        <w:tc>
          <w:tcPr>
            <w:tcW w:w="360" w:type="dxa"/>
            <w:vAlign w:val="bottom"/>
          </w:tcPr>
          <w:p>
            <w:pPr>
              <w:ind w:left="60"/>
              <w:spacing w:after="0" w:line="24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60" w:type="dxa"/>
            <w:vAlign w:val="bottom"/>
          </w:tcPr>
          <w:p>
            <w:pPr>
              <w:jc w:val="right"/>
              <w:ind w:right="48"/>
              <w:spacing w:after="0" w:line="243" w:lineRule="exact"/>
              <w:rPr>
                <w:sz w:val="20"/>
                <w:szCs w:val="20"/>
                <w:color w:val="auto"/>
              </w:rPr>
            </w:pPr>
            <w:r>
              <w:rPr>
                <w:rFonts w:ascii="Arial" w:cs="Arial" w:eastAsia="Arial" w:hAnsi="Arial"/>
                <w:sz w:val="14"/>
                <w:szCs w:val="14"/>
                <w:color w:val="auto"/>
              </w:rPr>
              <w:t>827,234</w:t>
            </w:r>
            <w:r>
              <w:rPr>
                <w:rFonts w:ascii="Arial" w:cs="Arial" w:eastAsia="Arial" w:hAnsi="Arial"/>
                <w:sz w:val="28"/>
                <w:szCs w:val="28"/>
                <w:color w:val="auto"/>
                <w:vertAlign w:val="subscript"/>
              </w:rPr>
              <w:t>​​ ​</w:t>
            </w:r>
          </w:p>
        </w:tc>
        <w:tc>
          <w:tcPr>
            <w:tcW w:w="88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$1,301,233</w:t>
            </w:r>
          </w:p>
        </w:tc>
      </w:tr>
      <w:tr>
        <w:trPr>
          <w:trHeight w:val="352"/>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2020</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12,263,795</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​10,840,019</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​4,152,733</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​5,679,546</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$ 164.42</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$ 130.03</w:t>
            </w:r>
          </w:p>
        </w:tc>
        <w:tc>
          <w:tcPr>
            <w:tcW w:w="1220" w:type="dxa"/>
            <w:vAlign w:val="bottom"/>
            <w:gridSpan w:val="2"/>
          </w:tcPr>
          <w:p>
            <w:pPr>
              <w:jc w:val="right"/>
              <w:ind w:right="48"/>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$1,120,913</w:t>
            </w:r>
            <w:r>
              <w:rPr>
                <w:rFonts w:ascii="Arial" w:cs="Arial" w:eastAsia="Arial" w:hAnsi="Arial"/>
                <w:sz w:val="28"/>
                <w:szCs w:val="28"/>
                <w:color w:val="auto"/>
                <w:vertAlign w:val="subscript"/>
              </w:rPr>
              <w:t>​​ ​</w:t>
            </w:r>
          </w:p>
        </w:tc>
        <w:tc>
          <w:tcPr>
            <w:tcW w:w="880" w:type="dxa"/>
            <w:vAlign w:val="bottom"/>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$1,648,049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-242570</wp:posOffset>
            </wp:positionV>
            <wp:extent cx="582930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-568325</wp:posOffset>
            </wp:positionV>
            <wp:extent cx="582930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-730885</wp:posOffset>
            </wp:positionV>
            <wp:extent cx="58293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Cifu was our CEO for each of the years presented.</w:t>
      </w:r>
    </w:p>
    <w:p>
      <w:pPr>
        <w:spacing w:after="0" w:line="135" w:lineRule="exact"/>
        <w:rPr>
          <w:rFonts w:ascii="Arial" w:cs="Arial" w:eastAsia="Arial" w:hAnsi="Arial"/>
          <w:sz w:val="14"/>
          <w:szCs w:val="14"/>
          <w:color w:val="auto"/>
        </w:rPr>
      </w:pPr>
    </w:p>
    <w:p>
      <w:pPr>
        <w:ind w:left="980" w:hanging="218"/>
        <w:spacing w:after="0" w:line="305"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non-CEO NEOs consisted of (i) Messrs. Molluso, Fairclough, Cavoli, and Galvin for each of the years presented, as well as Ms. Lee for 2024 and Mr. Alex Ioffe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372110</wp:posOffset>
            </wp:positionV>
            <wp:extent cx="754380"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055" w:lineRule="exact"/>
        <w:rPr>
          <w:sz w:val="20"/>
          <w:szCs w:val="20"/>
          <w:color w:val="auto"/>
        </w:rPr>
      </w:pPr>
    </w:p>
    <w:p>
      <w:pPr>
        <w:sectPr>
          <w:pgSz w:w="11900" w:h="16838" w:orient="portrait"/>
          <w:cols w:equalWidth="0" w:num="2">
            <w:col w:w="9700" w:space="240"/>
            <w:col w:w="60"/>
          </w:cols>
          <w:pgMar w:left="580" w:top="97" w:right="131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980" w:right="160" w:hanging="218"/>
        <w:spacing w:after="0" w:line="305"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Compensation “actually paid” is calculated in accordance with Item 402(v) of Regulation S-K. The table below set forth each adjustment made during each year presented in the table to calculate the compensation “actually paid” to our CEO during each year in the table:</w:t>
      </w:r>
    </w:p>
    <w:p>
      <w:pPr>
        <w:spacing w:after="0" w:line="64"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002453"/>
              </w:rPr>
              <w:t>CEO</w:t>
            </w:r>
          </w:p>
        </w:tc>
        <w:tc>
          <w:tcPr>
            <w:tcW w:w="220" w:type="dxa"/>
            <w:vAlign w:val="bottom"/>
          </w:tcPr>
          <w:p>
            <w:pPr>
              <w:spacing w:after="0"/>
              <w:rPr>
                <w:sz w:val="14"/>
                <w:szCs w:val="14"/>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002453"/>
              </w:rPr>
              <w:t>2024</w:t>
            </w:r>
          </w:p>
        </w:tc>
        <w:tc>
          <w:tcPr>
            <w:tcW w:w="1060" w:type="dxa"/>
            <w:vAlign w:val="bottom"/>
          </w:tcPr>
          <w:p>
            <w:pPr>
              <w:jc w:val="right"/>
              <w:ind w:right="434"/>
              <w:spacing w:after="0"/>
              <w:rPr>
                <w:sz w:val="20"/>
                <w:szCs w:val="20"/>
                <w:color w:val="auto"/>
              </w:rPr>
            </w:pPr>
            <w:r>
              <w:rPr>
                <w:rFonts w:ascii="Arial" w:cs="Arial" w:eastAsia="Arial" w:hAnsi="Arial"/>
                <w:sz w:val="14"/>
                <w:szCs w:val="14"/>
                <w:b w:val="1"/>
                <w:bCs w:val="1"/>
                <w:color w:val="002453"/>
              </w:rPr>
              <w:t>2023</w:t>
            </w: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002453"/>
              </w:rPr>
              <w:t>2022</w:t>
            </w: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002453"/>
              </w:rPr>
              <w:t>2021</w:t>
            </w:r>
          </w:p>
        </w:tc>
        <w:tc>
          <w:tcPr>
            <w:tcW w:w="920" w:type="dxa"/>
            <w:vAlign w:val="bottom"/>
          </w:tcPr>
          <w:p>
            <w:pPr>
              <w:jc w:val="right"/>
              <w:ind w:right="262"/>
              <w:spacing w:after="0"/>
              <w:rPr>
                <w:sz w:val="20"/>
                <w:szCs w:val="20"/>
                <w:color w:val="auto"/>
              </w:rPr>
            </w:pPr>
            <w:r>
              <w:rPr>
                <w:rFonts w:ascii="Arial" w:cs="Arial" w:eastAsia="Arial" w:hAnsi="Arial"/>
                <w:sz w:val="14"/>
                <w:szCs w:val="14"/>
                <w:b w:val="1"/>
                <w:bCs w:val="1"/>
                <w:color w:val="002453"/>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00" w:type="dxa"/>
            <w:vAlign w:val="bottom"/>
            <w:vMerge w:val="continue"/>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4"/>
                <w:szCs w:val="14"/>
                <w:b w:val="1"/>
                <w:bCs w:val="1"/>
                <w:color w:val="002453"/>
              </w:rPr>
              <w:t>​ ​</w:t>
            </w:r>
          </w:p>
        </w:tc>
        <w:tc>
          <w:tcPr>
            <w:tcW w:w="1120" w:type="dxa"/>
            <w:vAlign w:val="bottom"/>
          </w:tcPr>
          <w:p>
            <w:pPr>
              <w:jc w:val="right"/>
              <w:spacing w:after="0" w:line="180" w:lineRule="exact"/>
              <w:rPr>
                <w:sz w:val="20"/>
                <w:szCs w:val="20"/>
                <w:color w:val="auto"/>
              </w:rPr>
            </w:pPr>
            <w:r>
              <w:rPr>
                <w:rFonts w:ascii="Arial" w:cs="Arial" w:eastAsia="Arial" w:hAnsi="Arial"/>
                <w:sz w:val="12"/>
                <w:szCs w:val="12"/>
                <w:b w:val="1"/>
                <w:bCs w:val="1"/>
                <w:color w:val="002453"/>
              </w:rPr>
              <w:t xml:space="preserve">(Mr. Cifu)   </w:t>
            </w:r>
            <w:r>
              <w:rPr>
                <w:rFonts w:ascii="Arial" w:cs="Arial" w:eastAsia="Arial" w:hAnsi="Arial"/>
                <w:sz w:val="20"/>
                <w:szCs w:val="20"/>
                <w:b w:val="1"/>
                <w:bCs w:val="1"/>
                <w:color w:val="002453"/>
                <w:vertAlign w:val="subscript"/>
              </w:rPr>
              <w:t>​ ​</w:t>
            </w:r>
          </w:p>
        </w:tc>
        <w:tc>
          <w:tcPr>
            <w:tcW w:w="1060" w:type="dxa"/>
            <w:vAlign w:val="bottom"/>
          </w:tcPr>
          <w:p>
            <w:pPr>
              <w:jc w:val="right"/>
              <w:spacing w:after="0" w:line="180" w:lineRule="exact"/>
              <w:rPr>
                <w:sz w:val="20"/>
                <w:szCs w:val="20"/>
                <w:color w:val="auto"/>
              </w:rPr>
            </w:pPr>
            <w:r>
              <w:rPr>
                <w:rFonts w:ascii="Arial" w:cs="Arial" w:eastAsia="Arial" w:hAnsi="Arial"/>
                <w:sz w:val="12"/>
                <w:szCs w:val="12"/>
                <w:b w:val="1"/>
                <w:bCs w:val="1"/>
                <w:color w:val="002453"/>
              </w:rPr>
              <w:t xml:space="preserve">(Mr. Cifu)  </w:t>
            </w:r>
            <w:r>
              <w:rPr>
                <w:rFonts w:ascii="Arial" w:cs="Arial" w:eastAsia="Arial" w:hAnsi="Arial"/>
                <w:sz w:val="20"/>
                <w:szCs w:val="20"/>
                <w:b w:val="1"/>
                <w:bCs w:val="1"/>
                <w:color w:val="002453"/>
                <w:vertAlign w:val="subscript"/>
              </w:rPr>
              <w:t>​ ​</w:t>
            </w:r>
          </w:p>
        </w:tc>
        <w:tc>
          <w:tcPr>
            <w:tcW w:w="1140" w:type="dxa"/>
            <w:vAlign w:val="bottom"/>
          </w:tcPr>
          <w:p>
            <w:pPr>
              <w:jc w:val="right"/>
              <w:spacing w:after="0" w:line="180" w:lineRule="exact"/>
              <w:rPr>
                <w:sz w:val="20"/>
                <w:szCs w:val="20"/>
                <w:color w:val="auto"/>
              </w:rPr>
            </w:pPr>
            <w:r>
              <w:rPr>
                <w:rFonts w:ascii="Arial" w:cs="Arial" w:eastAsia="Arial" w:hAnsi="Arial"/>
                <w:sz w:val="12"/>
                <w:szCs w:val="12"/>
                <w:b w:val="1"/>
                <w:bCs w:val="1"/>
                <w:color w:val="002453"/>
              </w:rPr>
              <w:t xml:space="preserve">(Mr. Cifu)   </w:t>
            </w:r>
            <w:r>
              <w:rPr>
                <w:rFonts w:ascii="Arial" w:cs="Arial" w:eastAsia="Arial" w:hAnsi="Arial"/>
                <w:sz w:val="20"/>
                <w:szCs w:val="20"/>
                <w:b w:val="1"/>
                <w:bCs w:val="1"/>
                <w:color w:val="002453"/>
                <w:vertAlign w:val="subscript"/>
              </w:rPr>
              <w:t>​ ​</w:t>
            </w:r>
          </w:p>
        </w:tc>
        <w:tc>
          <w:tcPr>
            <w:tcW w:w="1120" w:type="dxa"/>
            <w:vAlign w:val="bottom"/>
          </w:tcPr>
          <w:p>
            <w:pPr>
              <w:jc w:val="right"/>
              <w:spacing w:after="0" w:line="180" w:lineRule="exact"/>
              <w:rPr>
                <w:sz w:val="20"/>
                <w:szCs w:val="20"/>
                <w:color w:val="auto"/>
              </w:rPr>
            </w:pPr>
            <w:r>
              <w:rPr>
                <w:rFonts w:ascii="Arial" w:cs="Arial" w:eastAsia="Arial" w:hAnsi="Arial"/>
                <w:sz w:val="12"/>
                <w:szCs w:val="12"/>
                <w:b w:val="1"/>
                <w:bCs w:val="1"/>
                <w:color w:val="002453"/>
              </w:rPr>
              <w:t xml:space="preserve">(Mr. Cifu)   </w:t>
            </w:r>
            <w:r>
              <w:rPr>
                <w:rFonts w:ascii="Arial" w:cs="Arial" w:eastAsia="Arial" w:hAnsi="Arial"/>
                <w:sz w:val="20"/>
                <w:szCs w:val="20"/>
                <w:b w:val="1"/>
                <w:bCs w:val="1"/>
                <w:color w:val="002453"/>
                <w:vertAlign w:val="subscript"/>
              </w:rPr>
              <w:t>​ ​</w:t>
            </w:r>
          </w:p>
        </w:tc>
        <w:tc>
          <w:tcPr>
            <w:tcW w:w="980" w:type="dxa"/>
            <w:vAlign w:val="bottom"/>
            <w:gridSpan w:val="2"/>
          </w:tcPr>
          <w:p>
            <w:pPr>
              <w:jc w:val="right"/>
              <w:spacing w:after="0" w:line="180" w:lineRule="exact"/>
              <w:rPr>
                <w:sz w:val="20"/>
                <w:szCs w:val="20"/>
                <w:color w:val="auto"/>
              </w:rPr>
            </w:pPr>
            <w:r>
              <w:rPr>
                <w:rFonts w:ascii="Arial" w:cs="Arial" w:eastAsia="Arial" w:hAnsi="Arial"/>
                <w:sz w:val="12"/>
                <w:szCs w:val="12"/>
                <w:b w:val="1"/>
                <w:bCs w:val="1"/>
                <w:color w:val="002453"/>
              </w:rPr>
              <w:t xml:space="preserve">(Mr. Cifu)  </w:t>
            </w:r>
            <w:r>
              <w:rPr>
                <w:rFonts w:ascii="Arial" w:cs="Arial" w:eastAsia="Arial" w:hAnsi="Arial"/>
                <w:sz w:val="20"/>
                <w:szCs w:val="20"/>
                <w:b w:val="1"/>
                <w:bCs w:val="1"/>
                <w:color w:val="002453"/>
                <w:vertAlign w:val="subscript"/>
              </w:rPr>
              <w:t>​</w:t>
            </w:r>
          </w:p>
        </w:tc>
        <w:tc>
          <w:tcPr>
            <w:tcW w:w="0" w:type="dxa"/>
            <w:vAlign w:val="bottom"/>
          </w:tcPr>
          <w:p>
            <w:pPr>
              <w:spacing w:after="0"/>
              <w:rPr>
                <w:sz w:val="1"/>
                <w:szCs w:val="1"/>
                <w:color w:val="auto"/>
              </w:rPr>
            </w:pPr>
          </w:p>
        </w:tc>
      </w:tr>
      <w:tr>
        <w:trPr>
          <w:trHeight w:val="270"/>
        </w:trPr>
        <w:tc>
          <w:tcPr>
            <w:tcW w:w="36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Summary Compensation Table Total</w:t>
            </w:r>
          </w:p>
        </w:tc>
        <w:tc>
          <w:tcPr>
            <w:tcW w:w="5580" w:type="dxa"/>
            <w:vAlign w:val="bottom"/>
            <w:tcBorders>
              <w:top w:val="single" w:sz="8" w:color="00C08A"/>
              <w:bottom w:val="single" w:sz="8" w:color="00C08A"/>
            </w:tcBorders>
            <w:gridSpan w:val="6"/>
            <w:shd w:val="clear" w:color="auto" w:fill="CCEEFF"/>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9,863,432</w:t>
            </w:r>
            <w:r>
              <w:rPr>
                <w:rFonts w:ascii="Arial" w:cs="Arial" w:eastAsia="Arial" w:hAnsi="Arial"/>
                <w:sz w:val="31"/>
                <w:szCs w:val="31"/>
                <w:color w:val="auto"/>
                <w:vertAlign w:val="superscript"/>
              </w:rPr>
              <w:t>​​ ​​</w:t>
            </w:r>
            <w:r>
              <w:rPr>
                <w:rFonts w:ascii="Arial" w:cs="Arial" w:eastAsia="Arial" w:hAnsi="Arial"/>
                <w:sz w:val="17"/>
                <w:szCs w:val="17"/>
                <w:color w:val="auto"/>
              </w:rPr>
              <w:t>​8,251,865</w:t>
            </w:r>
            <w:r>
              <w:rPr>
                <w:rFonts w:ascii="Arial" w:cs="Arial" w:eastAsia="Arial" w:hAnsi="Arial"/>
                <w:sz w:val="31"/>
                <w:szCs w:val="31"/>
                <w:color w:val="auto"/>
                <w:vertAlign w:val="superscript"/>
              </w:rPr>
              <w:t>​​ ​​</w:t>
            </w:r>
            <w:r>
              <w:rPr>
                <w:rFonts w:ascii="Arial" w:cs="Arial" w:eastAsia="Arial" w:hAnsi="Arial"/>
                <w:sz w:val="17"/>
                <w:szCs w:val="17"/>
                <w:color w:val="auto"/>
              </w:rPr>
              <w:t>​12,052,261</w:t>
            </w:r>
            <w:r>
              <w:rPr>
                <w:rFonts w:ascii="Arial" w:cs="Arial" w:eastAsia="Arial" w:hAnsi="Arial"/>
                <w:sz w:val="31"/>
                <w:szCs w:val="31"/>
                <w:color w:val="auto"/>
                <w:vertAlign w:val="superscript"/>
              </w:rPr>
              <w:t>​​ ​​</w:t>
            </w:r>
            <w:r>
              <w:rPr>
                <w:rFonts w:ascii="Arial" w:cs="Arial" w:eastAsia="Arial" w:hAnsi="Arial"/>
                <w:sz w:val="17"/>
                <w:szCs w:val="17"/>
                <w:color w:val="auto"/>
              </w:rPr>
              <w:t>​10,107,261</w:t>
            </w:r>
            <w:r>
              <w:rPr>
                <w:rFonts w:ascii="Arial" w:cs="Arial" w:eastAsia="Arial" w:hAnsi="Arial"/>
                <w:sz w:val="31"/>
                <w:szCs w:val="31"/>
                <w:color w:val="auto"/>
                <w:vertAlign w:val="superscript"/>
              </w:rPr>
              <w:t>​​ ​​</w:t>
            </w:r>
            <w:r>
              <w:rPr>
                <w:rFonts w:ascii="Arial" w:cs="Arial" w:eastAsia="Arial" w:hAnsi="Arial"/>
                <w:sz w:val="17"/>
                <w:szCs w:val="17"/>
                <w:color w:val="auto"/>
              </w:rPr>
              <w:t>​12,263,795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600" w:type="dxa"/>
            <w:vAlign w:val="bottom"/>
            <w:vMerge w:val="restart"/>
          </w:tcPr>
          <w:p>
            <w:pPr>
              <w:ind w:left="180"/>
              <w:spacing w:after="0"/>
              <w:rPr>
                <w:sz w:val="20"/>
                <w:szCs w:val="20"/>
                <w:color w:val="auto"/>
              </w:rPr>
            </w:pPr>
            <w:r>
              <w:rPr>
                <w:rFonts w:ascii="Arial" w:cs="Arial" w:eastAsia="Arial" w:hAnsi="Arial"/>
                <w:sz w:val="18"/>
                <w:szCs w:val="18"/>
                <w:color w:val="auto"/>
              </w:rPr>
              <w:t>Less, value of “Stock Awards”, as reported</w:t>
            </w:r>
          </w:p>
        </w:tc>
        <w:tc>
          <w:tcPr>
            <w:tcW w:w="220" w:type="dxa"/>
            <w:vAlign w:val="bottom"/>
          </w:tcPr>
          <w:p>
            <w:pPr>
              <w:ind w:left="80"/>
              <w:spacing w:after="0" w:line="156" w:lineRule="exact"/>
              <w:rPr>
                <w:sz w:val="20"/>
                <w:szCs w:val="20"/>
                <w:color w:val="auto"/>
              </w:rPr>
            </w:pPr>
            <w:r>
              <w:rPr>
                <w:rFonts w:ascii="Arial" w:cs="Arial" w:eastAsia="Arial" w:hAnsi="Arial"/>
                <w:sz w:val="18"/>
                <w:szCs w:val="18"/>
                <w:color w:val="auto"/>
              </w:rPr>
              <w:t>​ ​</w:t>
            </w:r>
          </w:p>
        </w:tc>
        <w:tc>
          <w:tcPr>
            <w:tcW w:w="112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06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12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3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jc w:val="right"/>
              <w:ind w:right="74"/>
              <w:spacing w:after="0" w:line="80" w:lineRule="exact"/>
              <w:rPr>
                <w:sz w:val="20"/>
                <w:szCs w:val="20"/>
                <w:color w:val="auto"/>
              </w:rPr>
            </w:pPr>
            <w:r>
              <w:rPr>
                <w:rFonts w:ascii="Arial" w:cs="Arial" w:eastAsia="Arial" w:hAnsi="Arial"/>
                <w:sz w:val="9"/>
                <w:szCs w:val="9"/>
                <w:color w:val="auto"/>
              </w:rPr>
              <w:t>​(5,527,500)</w:t>
            </w:r>
          </w:p>
        </w:tc>
        <w:tc>
          <w:tcPr>
            <w:tcW w:w="1060" w:type="dxa"/>
            <w:vAlign w:val="bottom"/>
          </w:tcPr>
          <w:p>
            <w:pPr>
              <w:jc w:val="right"/>
              <w:ind w:right="74"/>
              <w:spacing w:after="0" w:line="80" w:lineRule="exact"/>
              <w:rPr>
                <w:sz w:val="20"/>
                <w:szCs w:val="20"/>
                <w:color w:val="auto"/>
              </w:rPr>
            </w:pPr>
            <w:r>
              <w:rPr>
                <w:rFonts w:ascii="Arial" w:cs="Arial" w:eastAsia="Arial" w:hAnsi="Arial"/>
                <w:sz w:val="9"/>
                <w:szCs w:val="9"/>
                <w:color w:val="auto"/>
              </w:rPr>
              <w:t>​(4,974,000)</w:t>
            </w:r>
          </w:p>
        </w:tc>
        <w:tc>
          <w:tcPr>
            <w:tcW w:w="1140" w:type="dxa"/>
            <w:vAlign w:val="bottom"/>
          </w:tcPr>
          <w:p>
            <w:pPr>
              <w:jc w:val="right"/>
              <w:ind w:right="94"/>
              <w:spacing w:after="0" w:line="80" w:lineRule="exact"/>
              <w:rPr>
                <w:sz w:val="20"/>
                <w:szCs w:val="20"/>
                <w:color w:val="auto"/>
              </w:rPr>
            </w:pPr>
            <w:r>
              <w:rPr>
                <w:rFonts w:ascii="Arial" w:cs="Arial" w:eastAsia="Arial" w:hAnsi="Arial"/>
                <w:sz w:val="9"/>
                <w:szCs w:val="9"/>
                <w:color w:val="auto"/>
              </w:rPr>
              <w:t>​(7,889,500)</w:t>
            </w:r>
          </w:p>
        </w:tc>
        <w:tc>
          <w:tcPr>
            <w:tcW w:w="1120" w:type="dxa"/>
            <w:vAlign w:val="bottom"/>
          </w:tcPr>
          <w:p>
            <w:pPr>
              <w:jc w:val="right"/>
              <w:ind w:right="94"/>
              <w:spacing w:after="0" w:line="80" w:lineRule="exact"/>
              <w:rPr>
                <w:sz w:val="20"/>
                <w:szCs w:val="20"/>
                <w:color w:val="auto"/>
              </w:rPr>
            </w:pPr>
            <w:r>
              <w:rPr>
                <w:rFonts w:ascii="Arial" w:cs="Arial" w:eastAsia="Arial" w:hAnsi="Arial"/>
                <w:sz w:val="9"/>
                <w:szCs w:val="9"/>
                <w:color w:val="auto"/>
              </w:rPr>
              <w:t>​(6,590,500)</w:t>
            </w:r>
          </w:p>
        </w:tc>
        <w:tc>
          <w:tcPr>
            <w:tcW w:w="980" w:type="dxa"/>
            <w:vAlign w:val="bottom"/>
            <w:gridSpan w:val="2"/>
          </w:tcPr>
          <w:p>
            <w:pPr>
              <w:jc w:val="right"/>
              <w:spacing w:after="0" w:line="80" w:lineRule="exact"/>
              <w:rPr>
                <w:sz w:val="20"/>
                <w:szCs w:val="20"/>
                <w:color w:val="auto"/>
              </w:rPr>
            </w:pPr>
            <w:r>
              <w:rPr>
                <w:rFonts w:ascii="Arial" w:cs="Arial" w:eastAsia="Arial" w:hAnsi="Arial"/>
                <w:sz w:val="9"/>
                <w:szCs w:val="9"/>
                <w:color w:val="auto"/>
              </w:rPr>
              <w:t>​(8,759,525)</w:t>
            </w:r>
          </w:p>
        </w:tc>
        <w:tc>
          <w:tcPr>
            <w:tcW w:w="0" w:type="dxa"/>
            <w:vAlign w:val="bottom"/>
          </w:tcPr>
          <w:p>
            <w:pPr>
              <w:spacing w:after="0"/>
              <w:rPr>
                <w:sz w:val="1"/>
                <w:szCs w:val="1"/>
                <w:color w:val="auto"/>
              </w:rPr>
            </w:pPr>
          </w:p>
        </w:tc>
      </w:tr>
    </w:tbl>
    <w:p>
      <w:pPr>
        <w:ind w:left="940"/>
        <w:spacing w:after="0"/>
        <w:rPr>
          <w:sz w:val="20"/>
          <w:szCs w:val="20"/>
          <w:color w:val="auto"/>
        </w:rPr>
      </w:pPr>
      <w:r>
        <w:rPr>
          <w:rFonts w:ascii="Arial" w:cs="Arial" w:eastAsia="Arial" w:hAnsi="Arial"/>
          <w:sz w:val="18"/>
          <w:szCs w:val="18"/>
          <w:color w:val="auto"/>
        </w:rPr>
        <w:t>in Summary Compensation Table</w:t>
      </w:r>
    </w:p>
    <w:p>
      <w:pPr>
        <w:spacing w:after="0" w:line="32" w:lineRule="exact"/>
        <w:rPr>
          <w:sz w:val="20"/>
          <w:szCs w:val="20"/>
          <w:color w:val="auto"/>
        </w:rPr>
      </w:pPr>
    </w:p>
    <w:p>
      <w:pPr>
        <w:ind w:left="940"/>
        <w:spacing w:after="0" w:line="292" w:lineRule="auto"/>
        <w:rPr>
          <w:sz w:val="20"/>
          <w:szCs w:val="20"/>
          <w:color w:val="auto"/>
        </w:rPr>
      </w:pPr>
      <w:r>
        <w:rPr>
          <w:rFonts w:ascii="Arial" w:cs="Arial" w:eastAsia="Arial" w:hAnsi="Arial"/>
          <w:sz w:val="18"/>
          <w:szCs w:val="18"/>
          <w:color w:val="auto"/>
        </w:rPr>
        <w:t>Plus, year-end fair value of outstanding and ​ ​​ 7,953,051​​ ​​4,604,182​​ ​​ 4,057,161​​ ​​ 3,706,982​​ ​​ 3,914,514​ unvested awards granted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-315595</wp:posOffset>
            </wp:positionV>
            <wp:extent cx="5829300" cy="316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9300" cy="31686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19"/>
        </w:trPr>
        <w:tc>
          <w:tcPr>
            <w:tcW w:w="364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rPr>
              <w:t>Plus, fair value as of vesting date of equity</w:t>
            </w:r>
          </w:p>
        </w:tc>
        <w:tc>
          <w:tcPr>
            <w:tcW w:w="28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818,903​​ ​​</w:t>
            </w:r>
          </w:p>
        </w:tc>
        <w:tc>
          <w:tcPr>
            <w:tcW w:w="4140" w:type="dxa"/>
            <w:vAlign w:val="bottom"/>
            <w:tcBorders>
              <w:top w:val="single" w:sz="8" w:color="00C08A"/>
            </w:tcBorders>
            <w:gridSpan w:val="8"/>
          </w:tcPr>
          <w:p>
            <w:pPr>
              <w:jc w:val="right"/>
              <w:spacing w:after="0"/>
              <w:rPr>
                <w:sz w:val="20"/>
                <w:szCs w:val="20"/>
                <w:color w:val="auto"/>
              </w:rPr>
            </w:pPr>
            <w:r>
              <w:rPr>
                <w:rFonts w:ascii="Arial" w:cs="Arial" w:eastAsia="Arial" w:hAnsi="Arial"/>
                <w:sz w:val="18"/>
                <w:szCs w:val="18"/>
                <w:color w:val="auto"/>
              </w:rPr>
              <w:t>999,677​​ ​​ 1,009,158​​ ​​ 6,914,549​​ ​​ 2,699,019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640" w:type="dxa"/>
            <w:vAlign w:val="bottom"/>
          </w:tcPr>
          <w:p>
            <w:pPr>
              <w:ind w:left="180"/>
              <w:spacing w:after="0"/>
              <w:rPr>
                <w:sz w:val="20"/>
                <w:szCs w:val="20"/>
                <w:color w:val="auto"/>
              </w:rPr>
            </w:pPr>
            <w:r>
              <w:rPr>
                <w:rFonts w:ascii="Arial" w:cs="Arial" w:eastAsia="Arial" w:hAnsi="Arial"/>
                <w:sz w:val="18"/>
                <w:szCs w:val="18"/>
                <w:color w:val="auto"/>
              </w:rPr>
              <w:t>awards granted and vested in the 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640" w:type="dxa"/>
            <w:vAlign w:val="bottom"/>
            <w:tcBorders>
              <w:bottom w:val="single" w:sz="8" w:color="00C08A"/>
            </w:tcBorders>
          </w:tcPr>
          <w:p>
            <w:pPr>
              <w:spacing w:after="0"/>
              <w:rPr>
                <w:sz w:val="2"/>
                <w:szCs w:val="2"/>
                <w:color w:val="auto"/>
              </w:rPr>
            </w:pPr>
          </w:p>
        </w:tc>
        <w:tc>
          <w:tcPr>
            <w:tcW w:w="18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102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96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1000" w:type="dxa"/>
            <w:vAlign w:val="bottom"/>
            <w:tcBorders>
              <w:bottom w:val="single" w:sz="8" w:color="00C08A"/>
            </w:tcBorders>
          </w:tcPr>
          <w:p>
            <w:pPr>
              <w:spacing w:after="0"/>
              <w:rPr>
                <w:sz w:val="2"/>
                <w:szCs w:val="2"/>
                <w:color w:val="auto"/>
              </w:rPr>
            </w:pPr>
          </w:p>
        </w:tc>
        <w:tc>
          <w:tcPr>
            <w:tcW w:w="160" w:type="dxa"/>
            <w:vAlign w:val="bottom"/>
            <w:tcBorders>
              <w:bottom w:val="single" w:sz="8" w:color="00C08A"/>
            </w:tcBorders>
          </w:tcPr>
          <w:p>
            <w:pPr>
              <w:spacing w:after="0"/>
              <w:rPr>
                <w:sz w:val="2"/>
                <w:szCs w:val="2"/>
                <w:color w:val="auto"/>
              </w:rPr>
            </w:pPr>
          </w:p>
        </w:tc>
        <w:tc>
          <w:tcPr>
            <w:tcW w:w="74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6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6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18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251,656</w:t>
            </w:r>
          </w:p>
        </w:tc>
        <w:tc>
          <w:tcPr>
            <w:tcW w:w="2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478,168</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6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20" w:type="dxa"/>
            <w:vAlign w:val="bottom"/>
            <w:shd w:val="clear" w:color="auto" w:fill="CCEEFF"/>
          </w:tcPr>
          <w:p>
            <w:pPr>
              <w:jc w:val="right"/>
              <w:ind w:right="129"/>
              <w:spacing w:after="0" w:line="63" w:lineRule="exact"/>
              <w:rPr>
                <w:sz w:val="20"/>
                <w:szCs w:val="20"/>
                <w:color w:val="auto"/>
              </w:rPr>
            </w:pPr>
            <w:r>
              <w:rPr>
                <w:rFonts w:ascii="Arial" w:cs="Arial" w:eastAsia="Arial" w:hAnsi="Arial"/>
                <w:sz w:val="7"/>
                <w:szCs w:val="7"/>
                <w:color w:val="auto"/>
              </w:rPr>
              <w:t>2,201,421</w:t>
            </w:r>
          </w:p>
        </w:tc>
        <w:tc>
          <w:tcPr>
            <w:tcW w:w="100" w:type="dxa"/>
            <w:vAlign w:val="bottom"/>
            <w:vMerge w:val="continue"/>
            <w:shd w:val="clear" w:color="auto" w:fill="CCEEFF"/>
          </w:tcPr>
          <w:p>
            <w:pPr>
              <w:spacing w:after="0"/>
              <w:rPr>
                <w:sz w:val="5"/>
                <w:szCs w:val="5"/>
                <w:color w:val="auto"/>
              </w:rPr>
            </w:pPr>
          </w:p>
        </w:tc>
        <w:tc>
          <w:tcPr>
            <w:tcW w:w="960" w:type="dxa"/>
            <w:vAlign w:val="bottom"/>
            <w:shd w:val="clear" w:color="auto" w:fill="CCEEFF"/>
          </w:tcPr>
          <w:p>
            <w:pPr>
              <w:jc w:val="right"/>
              <w:ind w:right="69"/>
              <w:spacing w:after="0" w:line="63" w:lineRule="exact"/>
              <w:rPr>
                <w:sz w:val="20"/>
                <w:szCs w:val="20"/>
                <w:color w:val="auto"/>
              </w:rPr>
            </w:pPr>
            <w:r>
              <w:rPr>
                <w:rFonts w:ascii="Arial" w:cs="Arial" w:eastAsia="Arial" w:hAnsi="Arial"/>
                <w:sz w:val="7"/>
                <w:szCs w:val="7"/>
                <w:color w:val="auto"/>
              </w:rPr>
              <w:t>(7,591)</w:t>
            </w:r>
          </w:p>
        </w:tc>
        <w:tc>
          <w:tcPr>
            <w:tcW w:w="140" w:type="dxa"/>
            <w:vAlign w:val="bottom"/>
            <w:vMerge w:val="continue"/>
            <w:shd w:val="clear" w:color="auto" w:fill="CCEEFF"/>
          </w:tcPr>
          <w:p>
            <w:pPr>
              <w:spacing w:after="0"/>
              <w:rPr>
                <w:sz w:val="5"/>
                <w:szCs w:val="5"/>
                <w:color w:val="auto"/>
              </w:rPr>
            </w:pPr>
          </w:p>
        </w:tc>
        <w:tc>
          <w:tcPr>
            <w:tcW w:w="1000" w:type="dxa"/>
            <w:vAlign w:val="bottom"/>
            <w:shd w:val="clear" w:color="auto" w:fill="CCEEFF"/>
          </w:tcPr>
          <w:p>
            <w:pPr>
              <w:jc w:val="right"/>
              <w:ind w:right="93"/>
              <w:spacing w:after="0" w:line="63" w:lineRule="exact"/>
              <w:rPr>
                <w:sz w:val="20"/>
                <w:szCs w:val="20"/>
                <w:color w:val="auto"/>
              </w:rPr>
            </w:pPr>
            <w:r>
              <w:rPr>
                <w:rFonts w:ascii="Arial" w:cs="Arial" w:eastAsia="Arial" w:hAnsi="Arial"/>
                <w:sz w:val="7"/>
                <w:szCs w:val="7"/>
                <w:color w:val="auto"/>
              </w:rPr>
              <w:t>(371,530)</w:t>
            </w: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outstanding and unvested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granted in prior years</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40" w:type="dxa"/>
            <w:vAlign w:val="bottom"/>
            <w:tcBorders>
              <w:top w:val="single" w:sz="8" w:color="00C08A"/>
            </w:tcBorders>
            <w:vMerge w:val="restart"/>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180" w:type="dxa"/>
            <w:vAlign w:val="bottom"/>
            <w:tcBorders>
              <w:top w:val="single" w:sz="8" w:color="00C08A"/>
            </w:tcBorders>
          </w:tcPr>
          <w:p>
            <w:pPr>
              <w:ind w:left="40"/>
              <w:spacing w:after="0" w:line="156"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229,648</w:t>
            </w:r>
          </w:p>
        </w:tc>
        <w:tc>
          <w:tcPr>
            <w:tcW w:w="220" w:type="dxa"/>
            <w:vAlign w:val="bottom"/>
            <w:tcBorders>
              <w:top w:val="single" w:sz="8" w:color="00C08A"/>
            </w:tcBorders>
          </w:tcPr>
          <w:p>
            <w:pPr>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20" w:type="dxa"/>
            <w:vAlign w:val="bottom"/>
          </w:tcPr>
          <w:p>
            <w:pPr>
              <w:jc w:val="right"/>
              <w:ind w:right="69"/>
              <w:spacing w:after="0" w:line="63" w:lineRule="exact"/>
              <w:rPr>
                <w:sz w:val="20"/>
                <w:szCs w:val="20"/>
                <w:color w:val="auto"/>
              </w:rPr>
            </w:pPr>
            <w:r>
              <w:rPr>
                <w:rFonts w:ascii="Arial" w:cs="Arial" w:eastAsia="Arial" w:hAnsi="Arial"/>
                <w:sz w:val="7"/>
                <w:szCs w:val="7"/>
                <w:color w:val="auto"/>
              </w:rPr>
              <w:t>(467,167)</w:t>
            </w:r>
          </w:p>
        </w:tc>
        <w:tc>
          <w:tcPr>
            <w:tcW w:w="100" w:type="dxa"/>
            <w:vAlign w:val="bottom"/>
            <w:vMerge w:val="continue"/>
          </w:tcPr>
          <w:p>
            <w:pPr>
              <w:spacing w:after="0"/>
              <w:rPr>
                <w:sz w:val="5"/>
                <w:szCs w:val="5"/>
                <w:color w:val="auto"/>
              </w:rPr>
            </w:pPr>
          </w:p>
        </w:tc>
        <w:tc>
          <w:tcPr>
            <w:tcW w:w="960" w:type="dxa"/>
            <w:vAlign w:val="bottom"/>
          </w:tcPr>
          <w:p>
            <w:pPr>
              <w:jc w:val="right"/>
              <w:ind w:right="69"/>
              <w:spacing w:after="0" w:line="63" w:lineRule="exact"/>
              <w:rPr>
                <w:sz w:val="20"/>
                <w:szCs w:val="20"/>
                <w:color w:val="auto"/>
              </w:rPr>
            </w:pPr>
            <w:r>
              <w:rPr>
                <w:rFonts w:ascii="Arial" w:cs="Arial" w:eastAsia="Arial" w:hAnsi="Arial"/>
                <w:sz w:val="7"/>
                <w:szCs w:val="7"/>
                <w:color w:val="auto"/>
              </w:rPr>
              <w:t>(127,421)</w:t>
            </w:r>
          </w:p>
        </w:tc>
        <w:tc>
          <w:tcPr>
            <w:tcW w:w="140" w:type="dxa"/>
            <w:vAlign w:val="bottom"/>
            <w:vMerge w:val="continue"/>
          </w:tcPr>
          <w:p>
            <w:pPr>
              <w:spacing w:after="0"/>
              <w:rPr>
                <w:sz w:val="5"/>
                <w:szCs w:val="5"/>
                <w:color w:val="auto"/>
              </w:rPr>
            </w:pPr>
          </w:p>
        </w:tc>
        <w:tc>
          <w:tcPr>
            <w:tcW w:w="1000" w:type="dxa"/>
            <w:vAlign w:val="bottom"/>
          </w:tcPr>
          <w:p>
            <w:pPr>
              <w:jc w:val="right"/>
              <w:ind w:right="93"/>
              <w:spacing w:after="0" w:line="63" w:lineRule="exact"/>
              <w:rPr>
                <w:sz w:val="20"/>
                <w:szCs w:val="20"/>
                <w:color w:val="auto"/>
              </w:rPr>
            </w:pPr>
            <w:r>
              <w:rPr>
                <w:rFonts w:ascii="Arial" w:cs="Arial" w:eastAsia="Arial" w:hAnsi="Arial"/>
                <w:sz w:val="7"/>
                <w:szCs w:val="7"/>
                <w:color w:val="auto"/>
              </w:rPr>
              <w:t>(597,694)</w:t>
            </w: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gridSpan w:val="2"/>
          </w:tcPr>
          <w:p>
            <w:pPr>
              <w:jc w:val="right"/>
              <w:spacing w:after="0" w:line="63" w:lineRule="exact"/>
              <w:rPr>
                <w:sz w:val="20"/>
                <w:szCs w:val="20"/>
                <w:color w:val="auto"/>
              </w:rPr>
            </w:pPr>
            <w:r>
              <w:rPr>
                <w:rFonts w:ascii="Arial" w:cs="Arial" w:eastAsia="Arial" w:hAnsi="Arial"/>
                <w:sz w:val="7"/>
                <w:szCs w:val="7"/>
                <w:color w:val="auto"/>
              </w:rPr>
              <w:t>(27,258)</w:t>
            </w: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value of equity awards granted 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180"/>
              <w:spacing w:after="0"/>
              <w:rPr>
                <w:sz w:val="20"/>
                <w:szCs w:val="20"/>
                <w:color w:val="auto"/>
              </w:rPr>
            </w:pPr>
            <w:r>
              <w:rPr>
                <w:rFonts w:ascii="Arial" w:cs="Arial" w:eastAsia="Arial" w:hAnsi="Arial"/>
                <w:sz w:val="18"/>
                <w:szCs w:val="18"/>
                <w:color w:val="auto"/>
              </w:rPr>
              <w:t>prior years that vested in the 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640" w:type="dxa"/>
            <w:vAlign w:val="bottom"/>
            <w:tcBorders>
              <w:bottom w:val="single" w:sz="8" w:color="00C08A"/>
            </w:tcBorders>
          </w:tcPr>
          <w:p>
            <w:pPr>
              <w:spacing w:after="0"/>
              <w:rPr>
                <w:sz w:val="2"/>
                <w:szCs w:val="2"/>
                <w:color w:val="auto"/>
              </w:rPr>
            </w:pPr>
          </w:p>
        </w:tc>
        <w:tc>
          <w:tcPr>
            <w:tcW w:w="280" w:type="dxa"/>
            <w:vAlign w:val="bottom"/>
            <w:tcBorders>
              <w:bottom w:val="single" w:sz="8" w:color="00C08A"/>
            </w:tcBorders>
            <w:gridSpan w:val="2"/>
          </w:tcPr>
          <w:p>
            <w:pPr>
              <w:spacing w:after="0"/>
              <w:rPr>
                <w:sz w:val="2"/>
                <w:szCs w:val="2"/>
                <w:color w:val="auto"/>
              </w:rPr>
            </w:pPr>
          </w:p>
        </w:tc>
        <w:tc>
          <w:tcPr>
            <w:tcW w:w="1120" w:type="dxa"/>
            <w:vAlign w:val="bottom"/>
            <w:tcBorders>
              <w:bottom w:val="single" w:sz="8" w:color="00C08A"/>
            </w:tcBorders>
            <w:gridSpan w:val="2"/>
          </w:tcPr>
          <w:p>
            <w:pPr>
              <w:spacing w:after="0"/>
              <w:rPr>
                <w:sz w:val="2"/>
                <w:szCs w:val="2"/>
                <w:color w:val="auto"/>
              </w:rPr>
            </w:pPr>
          </w:p>
        </w:tc>
        <w:tc>
          <w:tcPr>
            <w:tcW w:w="1100" w:type="dxa"/>
            <w:vAlign w:val="bottom"/>
            <w:tcBorders>
              <w:bottom w:val="single" w:sz="8" w:color="00C08A"/>
            </w:tcBorders>
            <w:gridSpan w:val="2"/>
          </w:tcPr>
          <w:p>
            <w:pPr>
              <w:spacing w:after="0"/>
              <w:rPr>
                <w:sz w:val="2"/>
                <w:szCs w:val="2"/>
                <w:color w:val="auto"/>
              </w:rPr>
            </w:pPr>
          </w:p>
        </w:tc>
        <w:tc>
          <w:tcPr>
            <w:tcW w:w="1160" w:type="dxa"/>
            <w:vAlign w:val="bottom"/>
            <w:tcBorders>
              <w:bottom w:val="single" w:sz="8" w:color="00C08A"/>
            </w:tcBorders>
            <w:gridSpan w:val="2"/>
          </w:tcPr>
          <w:p>
            <w:pPr>
              <w:spacing w:after="0"/>
              <w:rPr>
                <w:sz w:val="2"/>
                <w:szCs w:val="2"/>
                <w:color w:val="auto"/>
              </w:rPr>
            </w:pPr>
          </w:p>
        </w:tc>
        <w:tc>
          <w:tcPr>
            <w:tcW w:w="1120" w:type="dxa"/>
            <w:vAlign w:val="bottom"/>
            <w:tcBorders>
              <w:bottom w:val="single" w:sz="8" w:color="00C08A"/>
            </w:tcBorders>
            <w:gridSpan w:val="3"/>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dividends or other earnings paid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367,300​​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383,092​​ ​​</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305,960​​ ​​</w:t>
            </w:r>
          </w:p>
        </w:tc>
        <w:tc>
          <w:tcPr>
            <w:tcW w:w="1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319,551​​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271,307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during covered year, prior to vesting date of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40" w:type="dxa"/>
            <w:vAlign w:val="bottom"/>
            <w:tcBorders>
              <w:top w:val="single" w:sz="8" w:color="00C08A"/>
            </w:tcBorders>
          </w:tcPr>
          <w:p>
            <w:pPr>
              <w:spacing w:after="0"/>
              <w:rPr>
                <w:sz w:val="20"/>
                <w:szCs w:val="20"/>
                <w:color w:val="auto"/>
              </w:rPr>
            </w:pPr>
            <w:r>
              <w:rPr>
                <w:rFonts w:ascii="Arial" w:cs="Arial" w:eastAsia="Arial" w:hAnsi="Arial"/>
                <w:sz w:val="18"/>
                <w:szCs w:val="18"/>
                <w:b w:val="1"/>
                <w:bCs w:val="1"/>
                <w:color w:val="auto"/>
              </w:rPr>
              <w:t>Compensation “Actually Paid” to CEO</w:t>
            </w:r>
          </w:p>
        </w:tc>
        <w:tc>
          <w:tcPr>
            <w:tcW w:w="5540" w:type="dxa"/>
            <w:vAlign w:val="bottom"/>
            <w:tcBorders>
              <w:top w:val="single" w:sz="8" w:color="00C08A"/>
            </w:tcBorders>
            <w:gridSpan w:val="12"/>
          </w:tcPr>
          <w:p>
            <w:pPr>
              <w:jc w:val="right"/>
              <w:spacing w:after="0" w:line="236"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​15,209,440</w:t>
            </w:r>
            <w:r>
              <w:rPr>
                <w:rFonts w:ascii="Arial" w:cs="Arial" w:eastAsia="Arial" w:hAnsi="Arial"/>
                <w:sz w:val="27"/>
                <w:szCs w:val="27"/>
                <w:color w:val="auto"/>
                <w:vertAlign w:val="superscript"/>
              </w:rPr>
              <w:t>​​ ​​</w:t>
            </w:r>
            <w:r>
              <w:rPr>
                <w:rFonts w:ascii="Arial" w:cs="Arial" w:eastAsia="Arial" w:hAnsi="Arial"/>
                <w:sz w:val="15"/>
                <w:szCs w:val="15"/>
                <w:color w:val="auto"/>
              </w:rPr>
              <w:t>​9,129,803</w:t>
            </w:r>
            <w:r>
              <w:rPr>
                <w:rFonts w:ascii="Arial" w:cs="Arial" w:eastAsia="Arial" w:hAnsi="Arial"/>
                <w:sz w:val="27"/>
                <w:szCs w:val="27"/>
                <w:color w:val="auto"/>
                <w:vertAlign w:val="superscript"/>
              </w:rPr>
              <w:t>​​ ​​</w:t>
            </w:r>
            <w:r>
              <w:rPr>
                <w:rFonts w:ascii="Arial" w:cs="Arial" w:eastAsia="Arial" w:hAnsi="Arial"/>
                <w:sz w:val="15"/>
                <w:szCs w:val="15"/>
                <w:color w:val="auto"/>
              </w:rPr>
              <w:t>​ 8,565,816</w:t>
            </w:r>
            <w:r>
              <w:rPr>
                <w:rFonts w:ascii="Arial" w:cs="Arial" w:eastAsia="Arial" w:hAnsi="Arial"/>
                <w:sz w:val="27"/>
                <w:szCs w:val="27"/>
                <w:color w:val="auto"/>
                <w:vertAlign w:val="superscript"/>
              </w:rPr>
              <w:t>​​ ​​</w:t>
            </w:r>
            <w:r>
              <w:rPr>
                <w:rFonts w:ascii="Arial" w:cs="Arial" w:eastAsia="Arial" w:hAnsi="Arial"/>
                <w:sz w:val="15"/>
                <w:szCs w:val="15"/>
                <w:color w:val="auto"/>
              </w:rPr>
              <w:t>​14,939,149</w:t>
            </w:r>
            <w:r>
              <w:rPr>
                <w:rFonts w:ascii="Arial" w:cs="Arial" w:eastAsia="Arial" w:hAnsi="Arial"/>
                <w:sz w:val="27"/>
                <w:szCs w:val="27"/>
                <w:color w:val="auto"/>
                <w:vertAlign w:val="superscript"/>
              </w:rPr>
              <w:t>​​ ​​</w:t>
            </w:r>
            <w:r>
              <w:rPr>
                <w:rFonts w:ascii="Arial" w:cs="Arial" w:eastAsia="Arial" w:hAnsi="Arial"/>
                <w:sz w:val="15"/>
                <w:szCs w:val="15"/>
                <w:color w:val="auto"/>
              </w:rPr>
              <w:t>​10,840,019</w:t>
            </w:r>
          </w:p>
        </w:tc>
        <w:tc>
          <w:tcPr>
            <w:tcW w:w="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shd w:val="clear" w:color="auto" w:fill="00C08A"/>
          </w:tcPr>
          <w:p>
            <w:pPr>
              <w:spacing w:after="0" w:line="20" w:lineRule="exact"/>
              <w:rPr>
                <w:sz w:val="1"/>
                <w:szCs w:val="1"/>
                <w:color w:val="auto"/>
              </w:rPr>
            </w:pPr>
          </w:p>
        </w:tc>
        <w:tc>
          <w:tcPr>
            <w:tcW w:w="18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2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960" w:type="dxa"/>
            <w:vAlign w:val="bottom"/>
            <w:shd w:val="clear" w:color="auto" w:fill="00C08A"/>
          </w:tcPr>
          <w:p>
            <w:pPr>
              <w:spacing w:after="0" w:line="20" w:lineRule="exact"/>
              <w:rPr>
                <w:sz w:val="1"/>
                <w:szCs w:val="1"/>
                <w:color w:val="auto"/>
              </w:rPr>
            </w:pPr>
          </w:p>
        </w:tc>
        <w:tc>
          <w:tcPr>
            <w:tcW w:w="140" w:type="dxa"/>
            <w:vAlign w:val="bottom"/>
            <w:shd w:val="clear" w:color="auto" w:fill="00C08A"/>
          </w:tcPr>
          <w:p>
            <w:pPr>
              <w:spacing w:after="0" w:line="20" w:lineRule="exact"/>
              <w:rPr>
                <w:sz w:val="1"/>
                <w:szCs w:val="1"/>
                <w:color w:val="auto"/>
              </w:rPr>
            </w:pPr>
          </w:p>
        </w:tc>
        <w:tc>
          <w:tcPr>
            <w:tcW w:w="100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4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60" w:type="dxa"/>
            <w:vAlign w:val="bottom"/>
            <w:shd w:val="clear" w:color="auto" w:fill="00C08A"/>
          </w:tcPr>
          <w:p>
            <w:pPr>
              <w:spacing w:after="0" w:line="20" w:lineRule="exact"/>
              <w:rPr>
                <w:sz w:val="1"/>
                <w:szCs w:val="1"/>
                <w:color w:val="auto"/>
              </w:rPr>
            </w:pPr>
          </w:p>
        </w:tc>
        <w:tc>
          <w:tcPr>
            <w:tcW w:w="60" w:type="dxa"/>
            <w:vAlign w:val="bottom"/>
            <w:tcBorders>
              <w:left w:val="single" w:sz="8" w:color="00C08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980" w:right="160" w:hanging="218"/>
        <w:spacing w:after="0" w:line="275"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Compensation “actually paid” is calculated in accordance with Item 402(v) of Regulation S-K. The table below set forth each adjustment made during each year presented in the table to calculate the average compensation “actually paid” to our non-CEO NEO’s during each year in the table:</w:t>
      </w:r>
    </w:p>
    <w:tbl>
      <w:tblPr>
        <w:tblLayout w:type="fixed"/>
        <w:tblInd w:w="760" w:type="dxa"/>
        <w:tblCellMar>
          <w:top w:w="0" w:type="dxa"/>
          <w:left w:w="0" w:type="dxa"/>
          <w:bottom w:w="0" w:type="dxa"/>
          <w:right w:w="0" w:type="dxa"/>
        </w:tblCellMar>
      </w:tblPr>
      <w:tr>
        <w:trPr>
          <w:trHeight w:val="327"/>
        </w:trPr>
        <w:tc>
          <w:tcPr>
            <w:tcW w:w="3760" w:type="dxa"/>
            <w:vAlign w:val="bottom"/>
          </w:tcPr>
          <w:p>
            <w:pPr>
              <w:spacing w:after="0"/>
              <w:rPr>
                <w:sz w:val="20"/>
                <w:szCs w:val="20"/>
                <w:color w:val="auto"/>
              </w:rPr>
            </w:pPr>
            <w:r>
              <w:rPr>
                <w:rFonts w:ascii="Arial" w:cs="Arial" w:eastAsia="Arial" w:hAnsi="Arial"/>
                <w:sz w:val="14"/>
                <w:szCs w:val="14"/>
                <w:b w:val="1"/>
                <w:bCs w:val="1"/>
                <w:color w:val="002453"/>
              </w:rPr>
              <w:t>Non-CEO NEOs</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002453"/>
              </w:rPr>
              <w:t>​ ​</w:t>
            </w:r>
          </w:p>
        </w:tc>
        <w:tc>
          <w:tcPr>
            <w:tcW w:w="100" w:type="dxa"/>
            <w:vAlign w:val="bottom"/>
          </w:tcPr>
          <w:p>
            <w:pPr>
              <w:spacing w:after="0"/>
              <w:rPr>
                <w:sz w:val="24"/>
                <w:szCs w:val="24"/>
                <w:color w:val="auto"/>
              </w:rPr>
            </w:pPr>
          </w:p>
        </w:tc>
        <w:tc>
          <w:tcPr>
            <w:tcW w:w="760" w:type="dxa"/>
            <w:vAlign w:val="bottom"/>
          </w:tcPr>
          <w:p>
            <w:pPr>
              <w:jc w:val="right"/>
              <w:ind w:right="202"/>
              <w:spacing w:after="0"/>
              <w:rPr>
                <w:sz w:val="20"/>
                <w:szCs w:val="20"/>
                <w:color w:val="auto"/>
              </w:rPr>
            </w:pPr>
            <w:r>
              <w:rPr>
                <w:rFonts w:ascii="Arial" w:cs="Arial" w:eastAsia="Arial" w:hAnsi="Arial"/>
                <w:sz w:val="14"/>
                <w:szCs w:val="14"/>
                <w:b w:val="1"/>
                <w:bCs w:val="1"/>
                <w:color w:val="002453"/>
              </w:rPr>
              <w:t>2024</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002453"/>
              </w:rPr>
              <w:t>2023</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12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Arial" w:cs="Arial" w:eastAsia="Arial" w:hAnsi="Arial"/>
                <w:sz w:val="14"/>
                <w:szCs w:val="14"/>
                <w:b w:val="1"/>
                <w:bCs w:val="1"/>
                <w:color w:val="002453"/>
              </w:rPr>
              <w:t>2022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140" w:type="dxa"/>
            <w:vAlign w:val="bottom"/>
          </w:tcPr>
          <w:p>
            <w:pPr>
              <w:spacing w:after="0"/>
              <w:rPr>
                <w:sz w:val="24"/>
                <w:szCs w:val="2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002453"/>
              </w:rPr>
              <w:t>2021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120" w:type="dxa"/>
            <w:vAlign w:val="bottom"/>
          </w:tcPr>
          <w:p>
            <w:pPr>
              <w:spacing w:after="0"/>
              <w:rPr>
                <w:sz w:val="24"/>
                <w:szCs w:val="24"/>
                <w:color w:val="auto"/>
              </w:rPr>
            </w:pPr>
          </w:p>
        </w:tc>
        <w:tc>
          <w:tcPr>
            <w:tcW w:w="820" w:type="dxa"/>
            <w:vAlign w:val="bottom"/>
            <w:gridSpan w:val="2"/>
          </w:tcPr>
          <w:p>
            <w:pPr>
              <w:jc w:val="right"/>
              <w:spacing w:after="0" w:line="314" w:lineRule="exact"/>
              <w:rPr>
                <w:sz w:val="20"/>
                <w:szCs w:val="20"/>
                <w:color w:val="auto"/>
              </w:rPr>
            </w:pPr>
            <w:r>
              <w:rPr>
                <w:rFonts w:ascii="Arial" w:cs="Arial" w:eastAsia="Arial" w:hAnsi="Arial"/>
                <w:sz w:val="14"/>
                <w:szCs w:val="14"/>
                <w:b w:val="1"/>
                <w:bCs w:val="1"/>
                <w:color w:val="002453"/>
              </w:rPr>
              <w:t xml:space="preserve">2020    </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270"/>
        </w:trPr>
        <w:tc>
          <w:tcPr>
            <w:tcW w:w="37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Summary Compensation Table Total</w:t>
            </w:r>
          </w:p>
        </w:tc>
        <w:tc>
          <w:tcPr>
            <w:tcW w:w="5420" w:type="dxa"/>
            <w:vAlign w:val="bottom"/>
            <w:tcBorders>
              <w:top w:val="single" w:sz="8" w:color="00C08A"/>
              <w:bottom w:val="single" w:sz="8" w:color="00C08A"/>
            </w:tcBorders>
            <w:gridSpan w:val="16"/>
            <w:shd w:val="clear" w:color="auto" w:fill="CCEEFF"/>
          </w:tcPr>
          <w:p>
            <w:pPr>
              <w:ind w:left="6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​3,493,227</w:t>
            </w:r>
            <w:r>
              <w:rPr>
                <w:rFonts w:ascii="Arial" w:cs="Arial" w:eastAsia="Arial" w:hAnsi="Arial"/>
                <w:sz w:val="31"/>
                <w:szCs w:val="31"/>
                <w:color w:val="auto"/>
                <w:vertAlign w:val="superscript"/>
              </w:rPr>
              <w:t>​​ ​​</w:t>
            </w:r>
            <w:r>
              <w:rPr>
                <w:rFonts w:ascii="Arial" w:cs="Arial" w:eastAsia="Arial" w:hAnsi="Arial"/>
                <w:sz w:val="17"/>
                <w:szCs w:val="17"/>
                <w:color w:val="auto"/>
              </w:rPr>
              <w:t>​3,269,016</w:t>
            </w:r>
            <w:r>
              <w:rPr>
                <w:rFonts w:ascii="Arial" w:cs="Arial" w:eastAsia="Arial" w:hAnsi="Arial"/>
                <w:sz w:val="31"/>
                <w:szCs w:val="31"/>
                <w:color w:val="auto"/>
                <w:vertAlign w:val="superscript"/>
              </w:rPr>
              <w:t>​​ ​​</w:t>
            </w:r>
            <w:r>
              <w:rPr>
                <w:rFonts w:ascii="Arial" w:cs="Arial" w:eastAsia="Arial" w:hAnsi="Arial"/>
                <w:sz w:val="17"/>
                <w:szCs w:val="17"/>
                <w:color w:val="auto"/>
              </w:rPr>
              <w:t>​3,452,212</w:t>
            </w:r>
            <w:r>
              <w:rPr>
                <w:rFonts w:ascii="Arial" w:cs="Arial" w:eastAsia="Arial" w:hAnsi="Arial"/>
                <w:sz w:val="31"/>
                <w:szCs w:val="31"/>
                <w:color w:val="auto"/>
                <w:vertAlign w:val="superscript"/>
              </w:rPr>
              <w:t>​​ ​​</w:t>
            </w:r>
            <w:r>
              <w:rPr>
                <w:rFonts w:ascii="Arial" w:cs="Arial" w:eastAsia="Arial" w:hAnsi="Arial"/>
                <w:sz w:val="17"/>
                <w:szCs w:val="17"/>
                <w:color w:val="auto"/>
              </w:rPr>
              <w:t>​3,309,375</w:t>
            </w:r>
            <w:r>
              <w:rPr>
                <w:rFonts w:ascii="Arial" w:cs="Arial" w:eastAsia="Arial" w:hAnsi="Arial"/>
                <w:sz w:val="31"/>
                <w:szCs w:val="31"/>
                <w:color w:val="auto"/>
                <w:vertAlign w:val="superscript"/>
              </w:rPr>
              <w:t>​​ ​​</w:t>
            </w:r>
            <w:r>
              <w:rPr>
                <w:rFonts w:ascii="Arial" w:cs="Arial" w:eastAsia="Arial" w:hAnsi="Arial"/>
                <w:sz w:val="17"/>
                <w:szCs w:val="17"/>
                <w:color w:val="auto"/>
              </w:rPr>
              <w:t>​4,152,733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760" w:type="dxa"/>
            <w:vAlign w:val="bottom"/>
            <w:vMerge w:val="restart"/>
          </w:tcPr>
          <w:p>
            <w:pPr>
              <w:ind w:left="180"/>
              <w:spacing w:after="0"/>
              <w:rPr>
                <w:sz w:val="20"/>
                <w:szCs w:val="20"/>
                <w:color w:val="auto"/>
              </w:rPr>
            </w:pPr>
            <w:r>
              <w:rPr>
                <w:rFonts w:ascii="Arial" w:cs="Arial" w:eastAsia="Arial" w:hAnsi="Arial"/>
                <w:sz w:val="18"/>
                <w:szCs w:val="18"/>
                <w:color w:val="auto"/>
                <w:w w:val="99"/>
              </w:rPr>
              <w:t>Less, value of “Stock Awards”, as reported in</w:t>
            </w:r>
          </w:p>
        </w:tc>
        <w:tc>
          <w:tcPr>
            <w:tcW w:w="220" w:type="dxa"/>
            <w:vAlign w:val="bottom"/>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3"/>
          </w:tcPr>
          <w:p>
            <w:pPr>
              <w:spacing w:after="0" w:line="63" w:lineRule="exact"/>
              <w:rPr>
                <w:sz w:val="20"/>
                <w:szCs w:val="20"/>
                <w:color w:val="auto"/>
              </w:rPr>
            </w:pPr>
            <w:r>
              <w:rPr>
                <w:rFonts w:ascii="Arial" w:cs="Arial" w:eastAsia="Arial" w:hAnsi="Arial"/>
                <w:sz w:val="7"/>
                <w:szCs w:val="7"/>
                <w:color w:val="auto"/>
              </w:rPr>
              <w:t>​(1,934,468)</w:t>
            </w:r>
          </w:p>
        </w:tc>
        <w:tc>
          <w:tcPr>
            <w:tcW w:w="1080" w:type="dxa"/>
            <w:vAlign w:val="bottom"/>
            <w:gridSpan w:val="4"/>
          </w:tcPr>
          <w:p>
            <w:pPr>
              <w:jc w:val="right"/>
              <w:ind w:right="54"/>
              <w:spacing w:after="0" w:line="63" w:lineRule="exact"/>
              <w:rPr>
                <w:sz w:val="20"/>
                <w:szCs w:val="20"/>
                <w:color w:val="auto"/>
              </w:rPr>
            </w:pPr>
            <w:r>
              <w:rPr>
                <w:rFonts w:ascii="Arial" w:cs="Arial" w:eastAsia="Arial" w:hAnsi="Arial"/>
                <w:sz w:val="7"/>
                <w:szCs w:val="7"/>
                <w:color w:val="auto"/>
              </w:rPr>
              <w:t>​(1,841,807)</w:t>
            </w:r>
          </w:p>
        </w:tc>
        <w:tc>
          <w:tcPr>
            <w:tcW w:w="1100" w:type="dxa"/>
            <w:vAlign w:val="bottom"/>
            <w:gridSpan w:val="3"/>
          </w:tcPr>
          <w:p>
            <w:pPr>
              <w:jc w:val="right"/>
              <w:ind w:right="74"/>
              <w:spacing w:after="0" w:line="63" w:lineRule="exact"/>
              <w:rPr>
                <w:sz w:val="20"/>
                <w:szCs w:val="20"/>
                <w:color w:val="auto"/>
              </w:rPr>
            </w:pPr>
            <w:r>
              <w:rPr>
                <w:rFonts w:ascii="Arial" w:cs="Arial" w:eastAsia="Arial" w:hAnsi="Arial"/>
                <w:sz w:val="7"/>
                <w:szCs w:val="7"/>
                <w:color w:val="auto"/>
              </w:rPr>
              <w:t>​(2,032,213)</w:t>
            </w:r>
          </w:p>
        </w:tc>
        <w:tc>
          <w:tcPr>
            <w:tcW w:w="1080" w:type="dxa"/>
            <w:vAlign w:val="bottom"/>
            <w:gridSpan w:val="3"/>
          </w:tcPr>
          <w:p>
            <w:pPr>
              <w:jc w:val="right"/>
              <w:ind w:right="74"/>
              <w:spacing w:after="0" w:line="63" w:lineRule="exact"/>
              <w:rPr>
                <w:sz w:val="20"/>
                <w:szCs w:val="20"/>
                <w:color w:val="auto"/>
              </w:rPr>
            </w:pPr>
            <w:r>
              <w:rPr>
                <w:rFonts w:ascii="Arial" w:cs="Arial" w:eastAsia="Arial" w:hAnsi="Arial"/>
                <w:sz w:val="7"/>
                <w:szCs w:val="7"/>
                <w:color w:val="auto"/>
              </w:rPr>
              <w:t>​(1,786,875)</w:t>
            </w:r>
          </w:p>
        </w:tc>
        <w:tc>
          <w:tcPr>
            <w:tcW w:w="940" w:type="dxa"/>
            <w:vAlign w:val="bottom"/>
            <w:gridSpan w:val="3"/>
          </w:tcPr>
          <w:p>
            <w:pPr>
              <w:jc w:val="right"/>
              <w:spacing w:after="0" w:line="63" w:lineRule="exact"/>
              <w:rPr>
                <w:sz w:val="20"/>
                <w:szCs w:val="20"/>
                <w:color w:val="auto"/>
              </w:rPr>
            </w:pPr>
            <w:r>
              <w:rPr>
                <w:rFonts w:ascii="Arial" w:cs="Arial" w:eastAsia="Arial" w:hAnsi="Arial"/>
                <w:sz w:val="7"/>
                <w:szCs w:val="7"/>
                <w:color w:val="auto"/>
              </w:rPr>
              <w:t>​(2,331,500)</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Summary Compensation Table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2480" w:type="dxa"/>
            <w:vAlign w:val="bottom"/>
            <w:tcBorders>
              <w:bottom w:val="single" w:sz="8" w:color="00C08A"/>
            </w:tcBorders>
            <w:gridSpan w:val="9"/>
          </w:tcPr>
          <w:p>
            <w:pPr>
              <w:spacing w:after="0"/>
              <w:rPr>
                <w:sz w:val="2"/>
                <w:szCs w:val="2"/>
                <w:color w:val="auto"/>
              </w:rPr>
            </w:pPr>
          </w:p>
        </w:tc>
        <w:tc>
          <w:tcPr>
            <w:tcW w:w="1120" w:type="dxa"/>
            <w:vAlign w:val="bottom"/>
            <w:tcBorders>
              <w:bottom w:val="single" w:sz="8" w:color="00C08A"/>
            </w:tcBorders>
            <w:gridSpan w:val="3"/>
          </w:tcPr>
          <w:p>
            <w:pPr>
              <w:spacing w:after="0"/>
              <w:rPr>
                <w:sz w:val="2"/>
                <w:szCs w:val="2"/>
                <w:color w:val="auto"/>
              </w:rPr>
            </w:pPr>
          </w:p>
        </w:tc>
        <w:tc>
          <w:tcPr>
            <w:tcW w:w="1820" w:type="dxa"/>
            <w:vAlign w:val="bottom"/>
            <w:tcBorders>
              <w:bottom w:val="single" w:sz="8" w:color="00C08A"/>
            </w:tcBorders>
            <w:gridSpan w:val="4"/>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year-end fair value of outstanding and</w:t>
            </w:r>
          </w:p>
        </w:tc>
        <w:tc>
          <w:tcPr>
            <w:tcW w:w="2480" w:type="dxa"/>
            <w:vAlign w:val="bottom"/>
            <w:gridSpan w:val="9"/>
            <w:shd w:val="clear" w:color="auto" w:fill="CCEEFF"/>
          </w:tcPr>
          <w:p>
            <w:pPr>
              <w:ind w:left="60"/>
              <w:spacing w:after="0"/>
              <w:rPr>
                <w:sz w:val="20"/>
                <w:szCs w:val="20"/>
                <w:color w:val="auto"/>
              </w:rPr>
            </w:pPr>
            <w:r>
              <w:rPr>
                <w:rFonts w:ascii="Arial" w:cs="Arial" w:eastAsia="Arial" w:hAnsi="Arial"/>
                <w:sz w:val="18"/>
                <w:szCs w:val="18"/>
                <w:color w:val="auto"/>
              </w:rPr>
              <w:t>​ ​​2,670,875​​ ​​1,717,954​​ ​​</w:t>
            </w:r>
          </w:p>
        </w:tc>
        <w:tc>
          <w:tcPr>
            <w:tcW w:w="112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638,834​​ ​​</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563,080​​ ​​2,912,547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awards granted in the year</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6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rPr>
              <w:t>Plus, fair value as of vesting date of equity</w:t>
            </w:r>
          </w:p>
        </w:tc>
        <w:tc>
          <w:tcPr>
            <w:tcW w:w="320" w:type="dxa"/>
            <w:vAlign w:val="bottom"/>
            <w:tcBorders>
              <w:top w:val="single" w:sz="8" w:color="00C08A"/>
            </w:tcBorders>
            <w:gridSpan w:val="2"/>
          </w:tcPr>
          <w:p>
            <w:pPr>
              <w:ind w:left="60"/>
              <w:spacing w:after="0"/>
              <w:rPr>
                <w:sz w:val="20"/>
                <w:szCs w:val="20"/>
                <w:color w:val="auto"/>
              </w:rPr>
            </w:pPr>
            <w:r>
              <w:rPr>
                <w:rFonts w:ascii="Arial" w:cs="Arial" w:eastAsia="Arial" w:hAnsi="Arial"/>
                <w:sz w:val="18"/>
                <w:szCs w:val="18"/>
                <w:color w:val="auto"/>
              </w:rPr>
              <w:t>​ ​​</w:t>
            </w:r>
          </w:p>
        </w:tc>
        <w:tc>
          <w:tcPr>
            <w:tcW w:w="1100" w:type="dxa"/>
            <w:vAlign w:val="bottom"/>
            <w:tcBorders>
              <w:top w:val="single" w:sz="8" w:color="00C08A"/>
            </w:tcBorders>
            <w:gridSpan w:val="3"/>
          </w:tcPr>
          <w:p>
            <w:pPr>
              <w:jc w:val="right"/>
              <w:ind w:right="4"/>
              <w:spacing w:after="0"/>
              <w:rPr>
                <w:sz w:val="20"/>
                <w:szCs w:val="20"/>
                <w:color w:val="auto"/>
              </w:rPr>
            </w:pPr>
            <w:r>
              <w:rPr>
                <w:rFonts w:ascii="Arial" w:cs="Arial" w:eastAsia="Arial" w:hAnsi="Arial"/>
                <w:sz w:val="18"/>
                <w:szCs w:val="18"/>
                <w:color w:val="auto"/>
              </w:rPr>
              <w:t>256,760​​ ​​</w:t>
            </w:r>
          </w:p>
        </w:tc>
        <w:tc>
          <w:tcPr>
            <w:tcW w:w="1060" w:type="dxa"/>
            <w:vAlign w:val="bottom"/>
            <w:tcBorders>
              <w:top w:val="single" w:sz="8" w:color="00C08A"/>
            </w:tcBorders>
            <w:gridSpan w:val="4"/>
          </w:tcPr>
          <w:p>
            <w:pPr>
              <w:jc w:val="right"/>
              <w:spacing w:after="0"/>
              <w:rPr>
                <w:sz w:val="20"/>
                <w:szCs w:val="20"/>
                <w:color w:val="auto"/>
              </w:rPr>
            </w:pPr>
            <w:r>
              <w:rPr>
                <w:rFonts w:ascii="Arial" w:cs="Arial" w:eastAsia="Arial" w:hAnsi="Arial"/>
                <w:sz w:val="18"/>
                <w:szCs w:val="18"/>
                <w:color w:val="auto"/>
              </w:rPr>
              <w:t>369,392​​ ​​</w:t>
            </w:r>
          </w:p>
        </w:tc>
        <w:tc>
          <w:tcPr>
            <w:tcW w:w="1120" w:type="dxa"/>
            <w:vAlign w:val="bottom"/>
            <w:tcBorders>
              <w:top w:val="single" w:sz="8" w:color="00C08A"/>
            </w:tcBorders>
            <w:gridSpan w:val="3"/>
          </w:tcPr>
          <w:p>
            <w:pPr>
              <w:jc w:val="right"/>
              <w:ind w:right="4"/>
              <w:spacing w:after="0"/>
              <w:rPr>
                <w:sz w:val="20"/>
                <w:szCs w:val="20"/>
                <w:color w:val="auto"/>
              </w:rPr>
            </w:pPr>
            <w:r>
              <w:rPr>
                <w:rFonts w:ascii="Arial" w:cs="Arial" w:eastAsia="Arial" w:hAnsi="Arial"/>
                <w:sz w:val="18"/>
                <w:szCs w:val="18"/>
                <w:color w:val="auto"/>
              </w:rPr>
              <w:t>414,794​​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385,950​​ ​​</w:t>
            </w:r>
          </w:p>
        </w:tc>
        <w:tc>
          <w:tcPr>
            <w:tcW w:w="76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883,726</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awards granted and vested in the 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500" w:type="dxa"/>
            <w:vAlign w:val="bottom"/>
            <w:tcBorders>
              <w:bottom w:val="single" w:sz="8" w:color="00C08A"/>
            </w:tcBorders>
          </w:tcPr>
          <w:p>
            <w:pPr>
              <w:spacing w:after="0"/>
              <w:rPr>
                <w:sz w:val="2"/>
                <w:szCs w:val="2"/>
                <w:color w:val="auto"/>
              </w:rPr>
            </w:pPr>
          </w:p>
        </w:tc>
        <w:tc>
          <w:tcPr>
            <w:tcW w:w="24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22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756,036</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307,181</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7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40" w:type="dxa"/>
            <w:vAlign w:val="bottom"/>
            <w:gridSpan w:val="3"/>
            <w:shd w:val="clear" w:color="auto" w:fill="CCEEFF"/>
          </w:tcPr>
          <w:p>
            <w:pPr>
              <w:jc w:val="right"/>
              <w:ind w:right="54"/>
              <w:spacing w:after="0" w:line="63" w:lineRule="exact"/>
              <w:rPr>
                <w:sz w:val="20"/>
                <w:szCs w:val="20"/>
                <w:color w:val="auto"/>
              </w:rPr>
            </w:pPr>
            <w:r>
              <w:rPr>
                <w:rFonts w:ascii="Arial" w:cs="Arial" w:eastAsia="Arial" w:hAnsi="Arial"/>
                <w:sz w:val="7"/>
                <w:szCs w:val="7"/>
                <w:color w:val="auto"/>
              </w:rPr>
              <w:t>(4,106)</w:t>
            </w:r>
          </w:p>
        </w:tc>
        <w:tc>
          <w:tcPr>
            <w:tcW w:w="120" w:type="dxa"/>
            <w:vAlign w:val="bottom"/>
            <w:vMerge w:val="continue"/>
            <w:shd w:val="clear" w:color="auto" w:fill="CCEEFF"/>
          </w:tcPr>
          <w:p>
            <w:pPr>
              <w:spacing w:after="0"/>
              <w:rPr>
                <w:sz w:val="5"/>
                <w:szCs w:val="5"/>
                <w:color w:val="auto"/>
              </w:rPr>
            </w:pPr>
          </w:p>
        </w:tc>
        <w:tc>
          <w:tcPr>
            <w:tcW w:w="980" w:type="dxa"/>
            <w:vAlign w:val="bottom"/>
            <w:gridSpan w:val="2"/>
            <w:shd w:val="clear" w:color="auto" w:fill="CCEEFF"/>
          </w:tcPr>
          <w:p>
            <w:pPr>
              <w:jc w:val="right"/>
              <w:ind w:right="74"/>
              <w:spacing w:after="0" w:line="63" w:lineRule="exact"/>
              <w:rPr>
                <w:sz w:val="20"/>
                <w:szCs w:val="20"/>
                <w:color w:val="auto"/>
              </w:rPr>
            </w:pPr>
            <w:r>
              <w:rPr>
                <w:rFonts w:ascii="Arial" w:cs="Arial" w:eastAsia="Arial" w:hAnsi="Arial"/>
                <w:sz w:val="7"/>
                <w:szCs w:val="7"/>
                <w:color w:val="auto"/>
              </w:rPr>
              <w:t>(620,849)</w:t>
            </w:r>
          </w:p>
        </w:tc>
        <w:tc>
          <w:tcPr>
            <w:tcW w:w="14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outstanding and unvested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granted in prior years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760" w:type="dxa"/>
            <w:vAlign w:val="bottom"/>
            <w:tcBorders>
              <w:top w:val="single" w:sz="8" w:color="00C08A"/>
            </w:tcBorders>
            <w:vMerge w:val="restart"/>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220" w:type="dxa"/>
            <w:vAlign w:val="bottom"/>
            <w:tcBorders>
              <w:top w:val="single" w:sz="8" w:color="00C08A"/>
            </w:tcBorders>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tcPr>
          <w:p>
            <w:pPr>
              <w:spacing w:after="0"/>
              <w:rPr>
                <w:sz w:val="13"/>
                <w:szCs w:val="13"/>
                <w:color w:val="auto"/>
              </w:rPr>
            </w:pPr>
          </w:p>
        </w:tc>
        <w:tc>
          <w:tcPr>
            <w:tcW w:w="2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00C08A"/>
            </w:tcBorders>
            <w:vMerge w:val="restart"/>
          </w:tcPr>
          <w:p>
            <w:pPr>
              <w:jc w:val="right"/>
              <w:ind w:right="4"/>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00C08A"/>
            </w:tcBorders>
          </w:tcPr>
          <w:p>
            <w:pPr>
              <w:spacing w:after="0"/>
              <w:rPr>
                <w:sz w:val="13"/>
                <w:szCs w:val="13"/>
                <w:color w:val="auto"/>
              </w:rPr>
            </w:pPr>
          </w:p>
        </w:tc>
        <w:tc>
          <w:tcPr>
            <w:tcW w:w="240" w:type="dxa"/>
            <w:vAlign w:val="bottom"/>
            <w:tcBorders>
              <w:top w:val="single" w:sz="8" w:color="00C08A"/>
            </w:tcBorders>
          </w:tcPr>
          <w:p>
            <w:pPr>
              <w:spacing w:after="0"/>
              <w:rPr>
                <w:sz w:val="13"/>
                <w:szCs w:val="13"/>
                <w:color w:val="auto"/>
              </w:rPr>
            </w:pPr>
          </w:p>
        </w:tc>
        <w:tc>
          <w:tcPr>
            <w:tcW w:w="2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4,997</w:t>
            </w:r>
          </w:p>
        </w:tc>
        <w:tc>
          <w:tcPr>
            <w:tcW w:w="22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00C08A"/>
            </w:tcBorders>
            <w:vMerge w:val="restart"/>
          </w:tcPr>
          <w:p>
            <w:pPr>
              <w:jc w:val="right"/>
              <w:ind w:right="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117,898</w:t>
            </w:r>
          </w:p>
        </w:tc>
        <w:tc>
          <w:tcPr>
            <w:tcW w:w="22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224,850</w:t>
            </w:r>
          </w:p>
        </w:tc>
        <w:tc>
          <w:tcPr>
            <w:tcW w:w="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60" w:type="dxa"/>
            <w:vAlign w:val="bottom"/>
            <w:gridSpan w:val="2"/>
          </w:tcPr>
          <w:p>
            <w:pPr>
              <w:jc w:val="right"/>
              <w:ind w:right="54"/>
              <w:spacing w:after="0" w:line="63" w:lineRule="exact"/>
              <w:rPr>
                <w:sz w:val="20"/>
                <w:szCs w:val="20"/>
                <w:color w:val="auto"/>
              </w:rPr>
            </w:pPr>
            <w:r>
              <w:rPr>
                <w:rFonts w:ascii="Arial" w:cs="Arial" w:eastAsia="Arial" w:hAnsi="Arial"/>
                <w:sz w:val="7"/>
                <w:szCs w:val="7"/>
                <w:color w:val="auto"/>
              </w:rPr>
              <w:t>(158,812)</w:t>
            </w:r>
          </w:p>
        </w:tc>
        <w:tc>
          <w:tcPr>
            <w:tcW w:w="140" w:type="dxa"/>
            <w:vAlign w:val="bottom"/>
            <w:vMerge w:val="continue"/>
          </w:tcPr>
          <w:p>
            <w:pPr>
              <w:spacing w:after="0"/>
              <w:rPr>
                <w:sz w:val="5"/>
                <w:szCs w:val="5"/>
                <w:color w:val="auto"/>
              </w:rPr>
            </w:pPr>
          </w:p>
        </w:tc>
        <w:tc>
          <w:tcPr>
            <w:tcW w:w="940" w:type="dxa"/>
            <w:vAlign w:val="bottom"/>
            <w:gridSpan w:val="3"/>
          </w:tcPr>
          <w:p>
            <w:pPr>
              <w:jc w:val="right"/>
              <w:ind w:right="54"/>
              <w:spacing w:after="0" w:line="63" w:lineRule="exact"/>
              <w:rPr>
                <w:sz w:val="20"/>
                <w:szCs w:val="20"/>
                <w:color w:val="auto"/>
              </w:rPr>
            </w:pPr>
            <w:r>
              <w:rPr>
                <w:rFonts w:ascii="Arial" w:cs="Arial" w:eastAsia="Arial" w:hAnsi="Arial"/>
                <w:sz w:val="7"/>
                <w:szCs w:val="7"/>
                <w:color w:val="auto"/>
              </w:rPr>
              <w:t>(56,921)</w:t>
            </w:r>
          </w:p>
        </w:tc>
        <w:tc>
          <w:tcPr>
            <w:tcW w:w="1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value of equity awards granted in prior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that vested in the 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500" w:type="dxa"/>
            <w:vAlign w:val="bottom"/>
            <w:tcBorders>
              <w:bottom w:val="single" w:sz="8" w:color="00C08A"/>
            </w:tcBorders>
          </w:tcPr>
          <w:p>
            <w:pPr>
              <w:spacing w:after="0"/>
              <w:rPr>
                <w:sz w:val="2"/>
                <w:szCs w:val="2"/>
                <w:color w:val="auto"/>
              </w:rPr>
            </w:pPr>
          </w:p>
        </w:tc>
        <w:tc>
          <w:tcPr>
            <w:tcW w:w="24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Less, fair value of awards granted prior to</w:t>
            </w:r>
          </w:p>
        </w:tc>
        <w:tc>
          <w:tcPr>
            <w:tcW w:w="22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(315,799</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7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60" w:type="dxa"/>
            <w:vAlign w:val="bottom"/>
          </w:tcPr>
          <w:p>
            <w:pPr>
              <w:spacing w:after="0" w:line="63"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covered year that were forfeited during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covered year</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6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w w:val="99"/>
              </w:rPr>
              <w:t>Plus, dividends or other earnings paid during</w:t>
            </w:r>
          </w:p>
        </w:tc>
        <w:tc>
          <w:tcPr>
            <w:tcW w:w="320" w:type="dxa"/>
            <w:vAlign w:val="bottom"/>
            <w:tcBorders>
              <w:top w:val="single" w:sz="8" w:color="00C08A"/>
            </w:tcBorders>
            <w:gridSpan w:val="2"/>
          </w:tcPr>
          <w:p>
            <w:pPr>
              <w:ind w:left="60"/>
              <w:spacing w:after="0"/>
              <w:rPr>
                <w:sz w:val="20"/>
                <w:szCs w:val="20"/>
                <w:color w:val="auto"/>
              </w:rPr>
            </w:pPr>
            <w:r>
              <w:rPr>
                <w:rFonts w:ascii="Arial" w:cs="Arial" w:eastAsia="Arial" w:hAnsi="Arial"/>
                <w:sz w:val="18"/>
                <w:szCs w:val="18"/>
                <w:color w:val="auto"/>
              </w:rPr>
              <w:t>​ ​​</w:t>
            </w:r>
          </w:p>
        </w:tc>
        <w:tc>
          <w:tcPr>
            <w:tcW w:w="1100" w:type="dxa"/>
            <w:vAlign w:val="bottom"/>
            <w:tcBorders>
              <w:top w:val="single" w:sz="8" w:color="00C08A"/>
            </w:tcBorders>
            <w:gridSpan w:val="3"/>
          </w:tcPr>
          <w:p>
            <w:pPr>
              <w:jc w:val="right"/>
              <w:ind w:right="4"/>
              <w:spacing w:after="0"/>
              <w:rPr>
                <w:sz w:val="20"/>
                <w:szCs w:val="20"/>
                <w:color w:val="auto"/>
              </w:rPr>
            </w:pPr>
            <w:r>
              <w:rPr>
                <w:rFonts w:ascii="Arial" w:cs="Arial" w:eastAsia="Arial" w:hAnsi="Arial"/>
                <w:sz w:val="18"/>
                <w:szCs w:val="18"/>
                <w:color w:val="auto"/>
              </w:rPr>
              <w:t>117,054​​ ​​</w:t>
            </w:r>
          </w:p>
        </w:tc>
        <w:tc>
          <w:tcPr>
            <w:tcW w:w="1060" w:type="dxa"/>
            <w:vAlign w:val="bottom"/>
            <w:tcBorders>
              <w:top w:val="single" w:sz="8" w:color="00C08A"/>
            </w:tcBorders>
            <w:gridSpan w:val="4"/>
          </w:tcPr>
          <w:p>
            <w:pPr>
              <w:jc w:val="right"/>
              <w:spacing w:after="0"/>
              <w:rPr>
                <w:sz w:val="20"/>
                <w:szCs w:val="20"/>
                <w:color w:val="auto"/>
              </w:rPr>
            </w:pPr>
            <w:r>
              <w:rPr>
                <w:rFonts w:ascii="Arial" w:cs="Arial" w:eastAsia="Arial" w:hAnsi="Arial"/>
                <w:sz w:val="18"/>
                <w:szCs w:val="18"/>
                <w:color w:val="auto"/>
              </w:rPr>
              <w:t>111,276​​ ​​</w:t>
            </w:r>
          </w:p>
        </w:tc>
        <w:tc>
          <w:tcPr>
            <w:tcW w:w="1120" w:type="dxa"/>
            <w:vAlign w:val="bottom"/>
            <w:tcBorders>
              <w:top w:val="single" w:sz="8" w:color="00C08A"/>
            </w:tcBorders>
            <w:gridSpan w:val="3"/>
          </w:tcPr>
          <w:p>
            <w:pPr>
              <w:jc w:val="right"/>
              <w:ind w:right="4"/>
              <w:spacing w:after="0"/>
              <w:rPr>
                <w:sz w:val="20"/>
                <w:szCs w:val="20"/>
                <w:color w:val="auto"/>
              </w:rPr>
            </w:pPr>
            <w:r>
              <w:rPr>
                <w:rFonts w:ascii="Arial" w:cs="Arial" w:eastAsia="Arial" w:hAnsi="Arial"/>
                <w:sz w:val="18"/>
                <w:szCs w:val="18"/>
                <w:color w:val="auto"/>
              </w:rPr>
              <w:t>101,362​​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137,112​​ ​​</w:t>
            </w:r>
          </w:p>
        </w:tc>
        <w:tc>
          <w:tcPr>
            <w:tcW w:w="76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128,129</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covered year, prior to vesting date of award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5420" w:type="dxa"/>
            <w:vAlign w:val="bottom"/>
            <w:tcBorders>
              <w:bottom w:val="single" w:sz="8" w:color="00C08A"/>
            </w:tcBorders>
            <w:gridSpan w:val="16"/>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Compensation “Actually Paid” to</w:t>
            </w:r>
          </w:p>
        </w:tc>
        <w:tc>
          <w:tcPr>
            <w:tcW w:w="5420" w:type="dxa"/>
            <w:vAlign w:val="bottom"/>
            <w:gridSpan w:val="16"/>
            <w:shd w:val="clear" w:color="auto" w:fill="CCEEFF"/>
          </w:tcPr>
          <w:p>
            <w:pPr>
              <w:ind w:left="60"/>
              <w:spacing w:after="0"/>
              <w:rPr>
                <w:sz w:val="20"/>
                <w:szCs w:val="20"/>
                <w:color w:val="auto"/>
              </w:rPr>
            </w:pPr>
            <w:r>
              <w:rPr>
                <w:rFonts w:ascii="Arial" w:cs="Arial" w:eastAsia="Arial" w:hAnsi="Arial"/>
                <w:sz w:val="18"/>
                <w:szCs w:val="18"/>
                <w:color w:val="auto"/>
              </w:rPr>
              <w:t>​ ​​5,200,672​​ ​​3,564,802​​ ​​1,959,138​​ ​​3,033,721​​ ​​5,679,546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Non-CEO NEOs</w:t>
            </w:r>
          </w:p>
        </w:tc>
        <w:tc>
          <w:tcPr>
            <w:tcW w:w="220" w:type="dxa"/>
            <w:vAlign w:val="bottom"/>
            <w:tcBorders>
              <w:bottom w:val="single" w:sz="8" w:color="00C08A"/>
            </w:tcBorders>
            <w:shd w:val="clear" w:color="auto" w:fill="CCEEFF"/>
          </w:tcPr>
          <w:p>
            <w:pPr>
              <w:spacing w:after="0"/>
              <w:rPr>
                <w:sz w:val="22"/>
                <w:szCs w:val="22"/>
                <w:color w:val="auto"/>
              </w:rPr>
            </w:pPr>
          </w:p>
        </w:tc>
        <w:tc>
          <w:tcPr>
            <w:tcW w:w="100" w:type="dxa"/>
            <w:vAlign w:val="bottom"/>
            <w:tcBorders>
              <w:bottom w:val="single" w:sz="8" w:color="00C08A"/>
            </w:tcBorders>
            <w:shd w:val="clear" w:color="auto" w:fill="CCEEFF"/>
          </w:tcPr>
          <w:p>
            <w:pPr>
              <w:spacing w:after="0"/>
              <w:rPr>
                <w:sz w:val="22"/>
                <w:szCs w:val="22"/>
                <w:color w:val="auto"/>
              </w:rPr>
            </w:pPr>
          </w:p>
        </w:tc>
        <w:tc>
          <w:tcPr>
            <w:tcW w:w="760" w:type="dxa"/>
            <w:vAlign w:val="bottom"/>
            <w:tcBorders>
              <w:bottom w:val="single" w:sz="8" w:color="00C08A"/>
            </w:tcBorders>
            <w:shd w:val="clear" w:color="auto" w:fill="CCEEFF"/>
          </w:tcPr>
          <w:p>
            <w:pPr>
              <w:spacing w:after="0"/>
              <w:rPr>
                <w:sz w:val="22"/>
                <w:szCs w:val="22"/>
                <w:color w:val="auto"/>
              </w:rPr>
            </w:pPr>
          </w:p>
        </w:tc>
        <w:tc>
          <w:tcPr>
            <w:tcW w:w="200" w:type="dxa"/>
            <w:vAlign w:val="bottom"/>
            <w:tcBorders>
              <w:bottom w:val="single" w:sz="8" w:color="00C08A"/>
            </w:tcBorders>
            <w:shd w:val="clear" w:color="auto" w:fill="CCEEFF"/>
          </w:tcPr>
          <w:p>
            <w:pPr>
              <w:spacing w:after="0"/>
              <w:rPr>
                <w:sz w:val="22"/>
                <w:szCs w:val="22"/>
                <w:color w:val="auto"/>
              </w:rPr>
            </w:pPr>
          </w:p>
        </w:tc>
        <w:tc>
          <w:tcPr>
            <w:tcW w:w="140" w:type="dxa"/>
            <w:vAlign w:val="bottom"/>
            <w:tcBorders>
              <w:bottom w:val="single" w:sz="8" w:color="00C08A"/>
            </w:tcBorders>
            <w:shd w:val="clear" w:color="auto" w:fill="CCEEFF"/>
          </w:tcPr>
          <w:p>
            <w:pPr>
              <w:spacing w:after="0"/>
              <w:rPr>
                <w:sz w:val="22"/>
                <w:szCs w:val="22"/>
                <w:color w:val="auto"/>
              </w:rPr>
            </w:pPr>
          </w:p>
        </w:tc>
        <w:tc>
          <w:tcPr>
            <w:tcW w:w="500" w:type="dxa"/>
            <w:vAlign w:val="bottom"/>
            <w:tcBorders>
              <w:bottom w:val="single" w:sz="8" w:color="00C08A"/>
            </w:tcBorders>
            <w:shd w:val="clear" w:color="auto" w:fill="CCEEFF"/>
          </w:tcPr>
          <w:p>
            <w:pPr>
              <w:spacing w:after="0"/>
              <w:rPr>
                <w:sz w:val="22"/>
                <w:szCs w:val="22"/>
                <w:color w:val="auto"/>
              </w:rPr>
            </w:pPr>
          </w:p>
        </w:tc>
        <w:tc>
          <w:tcPr>
            <w:tcW w:w="240" w:type="dxa"/>
            <w:vAlign w:val="bottom"/>
            <w:tcBorders>
              <w:bottom w:val="single" w:sz="8" w:color="00C08A"/>
            </w:tcBorders>
            <w:shd w:val="clear" w:color="auto" w:fill="CCEEFF"/>
          </w:tcPr>
          <w:p>
            <w:pPr>
              <w:spacing w:after="0"/>
              <w:rPr>
                <w:sz w:val="22"/>
                <w:szCs w:val="22"/>
                <w:color w:val="auto"/>
              </w:rPr>
            </w:pPr>
          </w:p>
        </w:tc>
        <w:tc>
          <w:tcPr>
            <w:tcW w:w="200" w:type="dxa"/>
            <w:vAlign w:val="bottom"/>
            <w:tcBorders>
              <w:bottom w:val="single" w:sz="8" w:color="00C08A"/>
            </w:tcBorders>
            <w:shd w:val="clear" w:color="auto" w:fill="CCEEFF"/>
          </w:tcPr>
          <w:p>
            <w:pPr>
              <w:spacing w:after="0"/>
              <w:rPr>
                <w:sz w:val="22"/>
                <w:szCs w:val="22"/>
                <w:color w:val="auto"/>
              </w:rPr>
            </w:pPr>
          </w:p>
        </w:tc>
        <w:tc>
          <w:tcPr>
            <w:tcW w:w="120" w:type="dxa"/>
            <w:vAlign w:val="bottom"/>
            <w:tcBorders>
              <w:bottom w:val="single" w:sz="8" w:color="00C08A"/>
            </w:tcBorders>
            <w:shd w:val="clear" w:color="auto" w:fill="CCEEFF"/>
          </w:tcPr>
          <w:p>
            <w:pPr>
              <w:spacing w:after="0"/>
              <w:rPr>
                <w:sz w:val="22"/>
                <w:szCs w:val="22"/>
                <w:color w:val="auto"/>
              </w:rPr>
            </w:pPr>
          </w:p>
        </w:tc>
        <w:tc>
          <w:tcPr>
            <w:tcW w:w="7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140" w:type="dxa"/>
            <w:vAlign w:val="bottom"/>
            <w:tcBorders>
              <w:bottom w:val="single" w:sz="8" w:color="00C08A"/>
            </w:tcBorders>
            <w:shd w:val="clear" w:color="auto" w:fill="CCEEFF"/>
          </w:tcPr>
          <w:p>
            <w:pPr>
              <w:spacing w:after="0"/>
              <w:rPr>
                <w:sz w:val="22"/>
                <w:szCs w:val="22"/>
                <w:color w:val="auto"/>
              </w:rPr>
            </w:pPr>
          </w:p>
        </w:tc>
        <w:tc>
          <w:tcPr>
            <w:tcW w:w="72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120" w:type="dxa"/>
            <w:vAlign w:val="bottom"/>
            <w:tcBorders>
              <w:bottom w:val="single" w:sz="8" w:color="00C08A"/>
            </w:tcBorders>
            <w:shd w:val="clear" w:color="auto" w:fill="CCEEFF"/>
          </w:tcPr>
          <w:p>
            <w:pPr>
              <w:spacing w:after="0"/>
              <w:rPr>
                <w:sz w:val="22"/>
                <w:szCs w:val="22"/>
                <w:color w:val="auto"/>
              </w:rPr>
            </w:pPr>
          </w:p>
        </w:tc>
        <w:tc>
          <w:tcPr>
            <w:tcW w:w="760" w:type="dxa"/>
            <w:vAlign w:val="bottom"/>
            <w:tcBorders>
              <w:bottom w:val="single" w:sz="8" w:color="00C08A"/>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80" w:right="80" w:hanging="218"/>
        <w:spacing w:after="0" w:line="305"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Assumes $100 was invested in our Class A Common Stock on December 31, 2019, and that dividends were reinvested on the date of payment without payment of any commissions or consideration of income taxes.</w:t>
      </w:r>
    </w:p>
    <w:p>
      <w:pPr>
        <w:spacing w:after="0" w:line="76" w:lineRule="exact"/>
        <w:rPr>
          <w:rFonts w:ascii="Arial" w:cs="Arial" w:eastAsia="Arial" w:hAnsi="Arial"/>
          <w:sz w:val="14"/>
          <w:szCs w:val="14"/>
          <w:color w:val="auto"/>
        </w:rPr>
      </w:pPr>
    </w:p>
    <w:p>
      <w:pPr>
        <w:ind w:left="980" w:right="120" w:hanging="218"/>
        <w:spacing w:after="0" w:line="283"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peer group indices used by the Company consists of the NYSE Arca Securities Broker/Dealer Index. The calculation assumes $100 was invested in our Class A Common Stock on December 31, 2019, and that dividends were reinvested on the date of payment without payment of any commissions or consideration of income taxes.</w:t>
      </w:r>
    </w:p>
    <w:p>
      <w:pPr>
        <w:spacing w:after="0" w:line="27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980" w:right="80" w:hanging="218"/>
        <w:spacing w:after="0" w:line="273"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“EBITDA” and “Adjusted EBITDA” are non-GAAP financial measures of financial performance. “EBITDA”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measures our operating performance by further adjusting EBITDA to exclude severance, transaction advisory fees and expenses, termination of office leases, charges related to share-based compensation and other expenses, which includes reserves for legal matters, COVID-19 one-time costs and donations for 2020, 2021 and 2022 and Other, net, which includes gains and losses from strategic investments and the sales of businesses. Reconciliations of Net Income to EBITDA and Adjusted EBITDA are available at https://ir.virtu.com/financials-and-filings/quarterly-results/default.aspx.</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Relationship Between “Compensation Actually Paid” and Performance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charts that follow depict the relationship of “compensation actually paid” (“CAP”)​ to our CEO and other NEOs to</w:t>
      </w:r>
    </w:p>
    <w:p>
      <w:pPr>
        <w:spacing w:after="0" w:line="27" w:lineRule="exact"/>
        <w:rPr>
          <w:sz w:val="20"/>
          <w:szCs w:val="20"/>
          <w:color w:val="auto"/>
        </w:rPr>
      </w:pPr>
    </w:p>
    <w:p>
      <w:pPr>
        <w:ind w:left="760" w:right="340" w:firstLine="2"/>
        <w:spacing w:after="0" w:line="266" w:lineRule="auto"/>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TSR of the Company and its peer group (as described in Footnote 6 above), (ii) the Company’s net income, and (iii) the Company’s annual Adjusted EBITDA:</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Total Shareholder Return</w:t>
      </w:r>
    </w:p>
    <w:p>
      <w:pPr>
        <w:spacing w:after="0" w:line="115"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TSR. This is primarily due to the Company’s use of annual and long-term equity incentives, the value of which are tied directly to stock price performance and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68580</wp:posOffset>
            </wp:positionV>
            <wp:extent cx="5220335" cy="36601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20335" cy="366014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5340985</wp:posOffset>
            </wp:positionV>
            <wp:extent cx="754380" cy="2400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Annual Net Income</w:t>
      </w:r>
    </w:p>
    <w:p>
      <w:pPr>
        <w:spacing w:after="0" w:line="115" w:lineRule="exact"/>
        <w:rPr>
          <w:sz w:val="20"/>
          <w:szCs w:val="20"/>
          <w:color w:val="auto"/>
        </w:rPr>
      </w:pPr>
    </w:p>
    <w:p>
      <w:pPr>
        <w:ind w:left="760" w:right="320"/>
        <w:spacing w:after="0" w:line="268"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Net Income. This is primarily due to the Company’s use of quantitative financial performance metrics in determining annual bonus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77470</wp:posOffset>
            </wp:positionV>
            <wp:extent cx="5220335" cy="3463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2033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7"/>
          <w:szCs w:val="17"/>
          <w:color w:val="auto"/>
        </w:rPr>
        <w:t>EXECUTIVE COMPENSATION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Annual Adjusted EBITDA</w:t>
      </w:r>
    </w:p>
    <w:p>
      <w:pPr>
        <w:spacing w:after="0" w:line="115" w:lineRule="exact"/>
        <w:rPr>
          <w:sz w:val="20"/>
          <w:szCs w:val="20"/>
          <w:color w:val="auto"/>
        </w:rPr>
      </w:pPr>
    </w:p>
    <w:p>
      <w:pPr>
        <w:jc w:val="both"/>
        <w:ind w:left="760" w:right="660"/>
        <w:spacing w:after="0" w:line="268"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Adjusted EBITDA. This is primarily due to the Company’s use of quantitative financial performance metrics in determining annual bonus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77470</wp:posOffset>
            </wp:positionV>
            <wp:extent cx="5220335" cy="3463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2033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Most Important Financial Performance Measures</w:t>
      </w:r>
    </w:p>
    <w:p>
      <w:pPr>
        <w:spacing w:after="0" w:line="115" w:lineRule="exact"/>
        <w:rPr>
          <w:sz w:val="20"/>
          <w:szCs w:val="20"/>
          <w:color w:val="auto"/>
        </w:rPr>
      </w:pPr>
    </w:p>
    <w:p>
      <w:pPr>
        <w:ind w:left="760" w:right="260"/>
        <w:spacing w:after="0" w:line="262" w:lineRule="auto"/>
        <w:rPr>
          <w:sz w:val="20"/>
          <w:szCs w:val="20"/>
          <w:color w:val="auto"/>
        </w:rPr>
      </w:pPr>
      <w:r>
        <w:rPr>
          <w:rFonts w:ascii="Arial" w:cs="Arial" w:eastAsia="Arial" w:hAnsi="Arial"/>
          <w:sz w:val="18"/>
          <w:szCs w:val="18"/>
          <w:color w:val="auto"/>
        </w:rPr>
        <w:t>The following provides a list of the financial performance measures that we believe are the most important financial performance measures used to link the compensation awarded to our named executive officers to the Company’s performance. For more information, please see the “Executive Compensation — Compensation Discussion and Analysis” section above.</w:t>
      </w:r>
    </w:p>
    <w:p>
      <w:pPr>
        <w:spacing w:after="0" w:line="68" w:lineRule="exact"/>
        <w:rPr>
          <w:sz w:val="20"/>
          <w:szCs w:val="20"/>
          <w:color w:val="auto"/>
        </w:rPr>
      </w:pPr>
    </w:p>
    <w:p>
      <w:pPr>
        <w:ind w:left="1340" w:hanging="2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Adjusted EBITDA</w:t>
      </w:r>
    </w:p>
    <w:p>
      <w:pPr>
        <w:spacing w:after="0" w:line="117" w:lineRule="exact"/>
        <w:rPr>
          <w:rFonts w:ascii="Arial" w:cs="Arial" w:eastAsia="Arial" w:hAnsi="Arial"/>
          <w:sz w:val="18"/>
          <w:szCs w:val="18"/>
          <w:color w:val="auto"/>
        </w:rPr>
      </w:pPr>
    </w:p>
    <w:p>
      <w:pPr>
        <w:ind w:left="1340" w:hanging="2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Trading Income</w:t>
      </w:r>
    </w:p>
    <w:p>
      <w:pPr>
        <w:spacing w:after="0" w:line="117" w:lineRule="exact"/>
        <w:rPr>
          <w:rFonts w:ascii="Arial" w:cs="Arial" w:eastAsia="Arial" w:hAnsi="Arial"/>
          <w:sz w:val="18"/>
          <w:szCs w:val="18"/>
          <w:color w:val="auto"/>
        </w:rPr>
      </w:pPr>
    </w:p>
    <w:p>
      <w:pPr>
        <w:ind w:left="1340" w:hanging="2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Trading Income from Growth Initiatives</w:t>
      </w:r>
    </w:p>
    <w:p>
      <w:pPr>
        <w:spacing w:after="0" w:line="117" w:lineRule="exact"/>
        <w:rPr>
          <w:rFonts w:ascii="Arial" w:cs="Arial" w:eastAsia="Arial" w:hAnsi="Arial"/>
          <w:sz w:val="18"/>
          <w:szCs w:val="18"/>
          <w:color w:val="auto"/>
        </w:rPr>
      </w:pPr>
    </w:p>
    <w:p>
      <w:pPr>
        <w:ind w:left="1340" w:hanging="2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Operating Expenses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Employment Agreements and Restrictive Covenant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Cifu</w:t>
      </w:r>
    </w:p>
    <w:p>
      <w:pPr>
        <w:spacing w:after="0" w:line="115" w:lineRule="exact"/>
        <w:rPr>
          <w:sz w:val="20"/>
          <w:szCs w:val="20"/>
          <w:color w:val="auto"/>
        </w:rPr>
      </w:pPr>
    </w:p>
    <w:p>
      <w:pPr>
        <w:ind w:left="760" w:right="100"/>
        <w:spacing w:after="0" w:line="272" w:lineRule="auto"/>
        <w:rPr>
          <w:sz w:val="20"/>
          <w:szCs w:val="20"/>
          <w:color w:val="auto"/>
        </w:rPr>
      </w:pPr>
      <w:r>
        <w:rPr>
          <w:rFonts w:ascii="Arial" w:cs="Arial" w:eastAsia="Arial" w:hAnsi="Arial"/>
          <w:sz w:val="17"/>
          <w:szCs w:val="17"/>
          <w:color w:val="auto"/>
        </w:rPr>
        <w:t>On April 29, 2022, we entered into a new employment agreement (the “</w:t>
      </w:r>
      <w:r>
        <w:rPr>
          <w:rFonts w:ascii="Arial" w:cs="Arial" w:eastAsia="Arial" w:hAnsi="Arial"/>
          <w:sz w:val="17"/>
          <w:szCs w:val="17"/>
          <w:b w:val="1"/>
          <w:bCs w:val="1"/>
          <w:color w:val="auto"/>
        </w:rPr>
        <w:t>New CEO Employment Agreement</w:t>
      </w:r>
      <w:r>
        <w:rPr>
          <w:rFonts w:ascii="Arial" w:cs="Arial" w:eastAsia="Arial" w:hAnsi="Arial"/>
          <w:sz w:val="17"/>
          <w:szCs w:val="17"/>
          <w:color w:val="auto"/>
        </w:rPr>
        <w:t>”) with Mr. Cifu, which amended and restated the terms of his prior employment agreement dated November 15, 2017 (the “</w:t>
      </w:r>
      <w:r>
        <w:rPr>
          <w:rFonts w:ascii="Arial" w:cs="Arial" w:eastAsia="Arial" w:hAnsi="Arial"/>
          <w:sz w:val="17"/>
          <w:szCs w:val="17"/>
          <w:b w:val="1"/>
          <w:bCs w:val="1"/>
          <w:color w:val="auto"/>
        </w:rPr>
        <w:t>Prior CEO Employment Agreement</w:t>
      </w:r>
      <w:r>
        <w:rPr>
          <w:rFonts w:ascii="Arial" w:cs="Arial" w:eastAsia="Arial" w:hAnsi="Arial"/>
          <w:sz w:val="17"/>
          <w:szCs w:val="17"/>
          <w:color w:val="auto"/>
        </w:rPr>
        <w:t>”), pursuant to which Mr. Cifu will continue to serve as our Chief Executive Officer and report to our board of directors. Mr. Cifu’s duties, responsibilities and permitted activities are substantially identical to his prior employment agreement.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189865</wp:posOffset>
            </wp:positionV>
            <wp:extent cx="75438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Mr. Cifu is permitted to continue to be engaged in, or provide services to, certain specified businesses and activities (including, but not necessarily limited to, his role as the Vice Chairman and Alternate Governor of the Florida Panthers, a National Hockey League franchise), and to become engaged in, or provide services to, any other business or activity in which Mr. Vincent Viola, our founder and Chairman Emeritus, is permitted to become engaged in, to the extent that Mr. Cifu’s level of participation in such businesses or activities is consistent with his participation in the aforementioned specified businesses or activities prior to the effective date of the employment agreement. The New CEO Employment Agreement has an initial term ending on February 28, 2028, extended from November 22, 2022 under the Prior CEO Employment Agreement, with automatic renewals for successive one-year terms thereafter unless either the Company or Mr. Cifu provides notice of non-renewal at least ninety days in advance of the expiration of the then 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82"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Under the New CEO Employment Agreement, Mr. Cifu’s base salary is $1,200,000, as compared to $1,000,000 under the Prior CEO Employment Agreement, and Mr. Cifu is eligible to earn an annual bonus with a target bonus opportunity equal to $3,000,000 and a maximum bonus opportunity equal to $6,000,000, as compared to a target bonus opportunity of $2,500,000 and a maximum bonus opportunity equal to $5,000,000 under the Prior CEO Employment Agreement. 50% of the annual bonus will be based on the achievement of quantitative targets composed of specific components of the Company’s annual budget and 50% of the annual bonus will be based on the achievement of qualitative goals, as compared to 80% based on the achievement of quantitative targets and 20% based on the achievement of qualitative targets under the Prior CEO Employment Agreement. To the extent earned, a maximum of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deferred share units (“</w:t>
      </w:r>
      <w:r>
        <w:rPr>
          <w:rFonts w:ascii="Arial" w:cs="Arial" w:eastAsia="Arial" w:hAnsi="Arial"/>
          <w:sz w:val="18"/>
          <w:szCs w:val="18"/>
          <w:b w:val="1"/>
          <w:bCs w:val="1"/>
          <w:color w:val="auto"/>
        </w:rPr>
        <w:t>DSUs</w:t>
      </w:r>
      <w:r>
        <w:rPr>
          <w:rFonts w:ascii="Arial" w:cs="Arial" w:eastAsia="Arial" w:hAnsi="Arial"/>
          <w:sz w:val="18"/>
          <w:szCs w:val="18"/>
          <w:color w:val="auto"/>
        </w:rPr>
        <w:t>”), which is consistent with the Prior CEO Employment Agreement.</w:t>
      </w:r>
    </w:p>
    <w:p>
      <w:pPr>
        <w:spacing w:after="0" w:line="71"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Consistent with the Prior CEO Employment Agreement, the New CEO Employment Agreement provides that, Mr. Cifu is eligible to receive an equity award at the beginning of each calendar year during the term (each such award to any executive, an “</w:t>
      </w:r>
      <w:r>
        <w:rPr>
          <w:rFonts w:ascii="Arial" w:cs="Arial" w:eastAsia="Arial" w:hAnsi="Arial"/>
          <w:sz w:val="18"/>
          <w:szCs w:val="18"/>
          <w:b w:val="1"/>
          <w:bCs w:val="1"/>
          <w:color w:val="auto"/>
        </w:rPr>
        <w:t>annual equity grant</w:t>
      </w:r>
      <w:r>
        <w:rPr>
          <w:rFonts w:ascii="Arial" w:cs="Arial" w:eastAsia="Arial" w:hAnsi="Arial"/>
          <w:sz w:val="18"/>
          <w:szCs w:val="18"/>
          <w:color w:val="auto"/>
        </w:rPr>
        <w:t>”). It is our board of directors’ current intention that the annual equity grant will be in the form of 150,000 restricted stock units of Class A common stock that are subject to performance and service conditions. The number of shares earned under each annual equity grant under the New CEO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Cifu’s continued employment through each applicable vesting date and in each case subject to the terms of the applicable award agreement.</w:t>
      </w:r>
    </w:p>
    <w:p>
      <w:pPr>
        <w:spacing w:after="0" w:line="82" w:lineRule="exact"/>
        <w:rPr>
          <w:sz w:val="20"/>
          <w:szCs w:val="20"/>
          <w:color w:val="auto"/>
        </w:rPr>
      </w:pPr>
    </w:p>
    <w:p>
      <w:pPr>
        <w:ind w:left="760" w:right="180"/>
        <w:spacing w:after="0" w:line="259" w:lineRule="auto"/>
        <w:rPr>
          <w:sz w:val="20"/>
          <w:szCs w:val="20"/>
          <w:color w:val="auto"/>
        </w:rPr>
      </w:pPr>
      <w:r>
        <w:rPr>
          <w:rFonts w:ascii="Arial" w:cs="Arial" w:eastAsia="Arial" w:hAnsi="Arial"/>
          <w:sz w:val="18"/>
          <w:szCs w:val="18"/>
          <w:color w:val="auto"/>
        </w:rPr>
        <w:t>Consistent with the Prior CEO Employment Agreement, the New CEO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71"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Consistent with the Prior CEO Employment Agreement, the New CEO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Consistent with the Prior CEO Employment Agreement, the New CEO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Code.</w:t>
      </w:r>
    </w:p>
    <w:p>
      <w:pPr>
        <w:spacing w:after="0" w:line="2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80"/>
        <w:spacing w:after="0" w:line="261" w:lineRule="auto"/>
        <w:rPr>
          <w:sz w:val="20"/>
          <w:szCs w:val="20"/>
          <w:color w:val="auto"/>
        </w:rPr>
      </w:pPr>
      <w:r>
        <w:rPr>
          <w:rFonts w:ascii="Arial" w:cs="Arial" w:eastAsia="Arial" w:hAnsi="Arial"/>
          <w:sz w:val="18"/>
          <w:szCs w:val="18"/>
          <w:color w:val="auto"/>
        </w:rPr>
        <w:t>Finally, consistent with the Prior CEO Employment Agreement, the New CEO Employment Agreement provides for severance upon certain terminations of employment as described below under “Potential Payments Upon Termination of Employment or Change in Control.”</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Molluso</w:t>
      </w:r>
    </w:p>
    <w:p>
      <w:pPr>
        <w:spacing w:after="0" w:line="115"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Virtu East entered into a new employment agreement with Mr. Molluso on December 1, 2022 (the “</w:t>
      </w:r>
      <w:r>
        <w:rPr>
          <w:rFonts w:ascii="Arial" w:cs="Arial" w:eastAsia="Arial" w:hAnsi="Arial"/>
          <w:sz w:val="18"/>
          <w:szCs w:val="18"/>
          <w:b w:val="1"/>
          <w:bCs w:val="1"/>
          <w:color w:val="auto"/>
        </w:rPr>
        <w:t>New Molluso</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amended and restated the terms of his prior employment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April 30, 2020 (the “</w:t>
      </w:r>
      <w:r>
        <w:rPr>
          <w:rFonts w:ascii="Arial" w:cs="Arial" w:eastAsia="Arial" w:hAnsi="Arial"/>
          <w:sz w:val="18"/>
          <w:szCs w:val="18"/>
          <w:b w:val="1"/>
          <w:bCs w:val="1"/>
          <w:color w:val="auto"/>
        </w:rPr>
        <w:t>Prior Molluso Employment Agreement</w:t>
      </w:r>
      <w:r>
        <w:rPr>
          <w:rFonts w:ascii="Arial" w:cs="Arial" w:eastAsia="Arial" w:hAnsi="Arial"/>
          <w:sz w:val="18"/>
          <w:szCs w:val="18"/>
          <w:color w:val="auto"/>
        </w:rPr>
        <w:t>”), pursuant to which Mr. Molluso will continue to serve as our Co-President and Co-Chief Operating Officer, reporting to our Chief Executive Officer. The New Molluso Employment Agreement, consistent with the Prior Molluso Employment Agreement, further provides that to the extent such activities do not significantly interfere with the performance of his duties, service and responsibilities,</w:t>
      </w:r>
    </w:p>
    <w:p>
      <w:pPr>
        <w:spacing w:after="0" w:line="3" w:lineRule="exact"/>
        <w:rPr>
          <w:sz w:val="20"/>
          <w:szCs w:val="20"/>
          <w:color w:val="auto"/>
        </w:rPr>
      </w:pPr>
    </w:p>
    <w:p>
      <w:pPr>
        <w:ind w:left="760" w:right="320"/>
        <w:spacing w:after="0" w:line="279" w:lineRule="auto"/>
        <w:rPr>
          <w:sz w:val="20"/>
          <w:szCs w:val="20"/>
          <w:color w:val="auto"/>
        </w:rPr>
      </w:pPr>
      <w:r>
        <w:rPr>
          <w:rFonts w:ascii="Arial" w:cs="Arial" w:eastAsia="Arial" w:hAnsi="Arial"/>
          <w:sz w:val="17"/>
          <w:szCs w:val="17"/>
          <w:color w:val="auto"/>
        </w:rPr>
        <w:t>Mr. Molluso is permitted to manage his personal, financial and legal affairs, serve on civic or charitable boards and committees and, to the extent approved by our board of directors, serve on corporate boards and committees.</w:t>
      </w:r>
    </w:p>
    <w:p>
      <w:pPr>
        <w:spacing w:after="0" w:line="54"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On February 26, 2025, the Company amended the New Molluso Employment Agreement employment agreement to extend the initial termination date from ending on April 30, 2026, until February 28, 2028, with automatic renewals for successive one-year terms thereafter unless either we or Mr. Molluso provides notice of non-renewal at least ninety days in advance of the expiration of the then current term. All other terms of the New Molluso Employment Agreement remain in full force.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75" w:lineRule="exact"/>
        <w:rPr>
          <w:sz w:val="20"/>
          <w:szCs w:val="20"/>
          <w:color w:val="auto"/>
        </w:rPr>
      </w:pPr>
    </w:p>
    <w:p>
      <w:pPr>
        <w:ind w:left="760" w:right="100"/>
        <w:spacing w:after="0" w:line="269" w:lineRule="auto"/>
        <w:rPr>
          <w:sz w:val="20"/>
          <w:szCs w:val="20"/>
          <w:color w:val="auto"/>
        </w:rPr>
      </w:pPr>
      <w:r>
        <w:rPr>
          <w:rFonts w:ascii="Arial" w:cs="Arial" w:eastAsia="Arial" w:hAnsi="Arial"/>
          <w:sz w:val="17"/>
          <w:szCs w:val="17"/>
          <w:color w:val="auto"/>
        </w:rPr>
        <w:t>Under the New Molluso Employment Agreement, Mr. Molluso’s base salary is $600,000, as compared to $500,000 under the Prior Molluso Employment Agreement, and Mr. Molluso is eligible to earn an annual bonus with a target amount of $2,000,000 and a maximum bonus opportunity equal to $3,000,000. Under the Prior Molluso Employment Agreement, Mr. Molluso was entitled to an annual bonus with a minimum amount of $2,500,000 with respect to the fiscal year ended December 31, 2020, and $1,500,000 with respect to the fiscal years ended December 31, 2021 and December 31, 2022, and a maximum bonus opportunity equal to $2,500,000 for such periods. Under the New Molluso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targets and 20% based on the achievement of qualitative targets under the Prior Molluso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65"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The New Molluso Employment Agreement provides that Mr. Molluso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Molluso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Molluso’s continued employment through each applicable vesting date and in each case subject to the terms of the applicable award agreement.</w:t>
      </w:r>
    </w:p>
    <w:p>
      <w:pPr>
        <w:spacing w:after="0" w:line="74"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The Prior Molluso Employment Agreement provided for sign-on bonuses as compensation for forfeited equity interests in his former employer in the form of (i) a grant of 200,000 restricted stock units, vesting in three equal installments on each of January 24, 2021, January 24, 2022 and January 24, 2023 and otherwise issued pursuant to and subject to the terms and conditions of the Plan and a separate award agreement and (ii) a cash sign-on bonus of $2,500,000, $1,666,667 of which is subject to a prorated clawback right of the Company based on the proportion of the term elapsed as of the date that Mr. Molluso’s employment is terminated for Cause (as defined therein) or he resigns without Good Reason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196215</wp:posOffset>
            </wp:positionV>
            <wp:extent cx="754380" cy="240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60" w:lineRule="auto"/>
        <w:rPr>
          <w:sz w:val="20"/>
          <w:szCs w:val="20"/>
          <w:color w:val="auto"/>
        </w:rPr>
      </w:pPr>
      <w:r>
        <w:rPr>
          <w:rFonts w:ascii="Arial" w:cs="Arial" w:eastAsia="Arial" w:hAnsi="Arial"/>
          <w:sz w:val="17"/>
          <w:szCs w:val="17"/>
          <w:color w:val="auto"/>
        </w:rPr>
        <w:t>Consistent with the Prior Molluso Employment Agreement, the New Molluso Employment Agreement further provides that Mr. Molluso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The employment agreement includes an acknowledgment that Mr. Molluso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Molluso ceases to be an officer or employee of the Company. Consistent with the Prior Molluso Employment Agreement, the New Molluso Employment Agreement provides for severance upon certain terminations of employment as described below under “Potential Payments Upon Termination of Employment or Change in Control.”</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Fairclough</w:t>
      </w:r>
    </w:p>
    <w:p>
      <w:pPr>
        <w:spacing w:after="0" w:line="115"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Virtu East entered into a new employment agreement with Mr. Fairclough on December 1, 2022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Fairclough Employment Agreement”) </w:t>
      </w:r>
      <w:r>
        <w:rPr>
          <w:rFonts w:ascii="Arial" w:cs="Arial" w:eastAsia="Arial" w:hAnsi="Arial"/>
          <w:sz w:val="18"/>
          <w:szCs w:val="18"/>
          <w:color w:val="auto"/>
        </w:rPr>
        <w:t>which amended and restated the terms of his prior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February 26, 2020 (the “</w:t>
      </w:r>
      <w:r>
        <w:rPr>
          <w:rFonts w:ascii="Arial" w:cs="Arial" w:eastAsia="Arial" w:hAnsi="Arial"/>
          <w:sz w:val="18"/>
          <w:szCs w:val="18"/>
          <w:b w:val="1"/>
          <w:bCs w:val="1"/>
          <w:color w:val="auto"/>
        </w:rPr>
        <w:t>Prior Fairclough Employment Agreement</w:t>
      </w:r>
      <w:r>
        <w:rPr>
          <w:rFonts w:ascii="Arial" w:cs="Arial" w:eastAsia="Arial" w:hAnsi="Arial"/>
          <w:sz w:val="18"/>
          <w:szCs w:val="18"/>
          <w:color w:val="auto"/>
        </w:rPr>
        <w:t>”), pursuant to which Mr. Fairclough continues to serve as our Co-President &amp; Co-Chief Operating Officer, reporting to our Chief Executive Officer. Consistent with the Prior Fairclough Employment Agreement, the New Fairclough Employment Agreement further provides that to the extent such activities do not significantly interfere with the performance of his duties, service and responsibilities, Mr. Fairclough is permitted to manage his personal, financial and legal affairs, serve on civic or charitable boards and committees and, to the extent approved by our board of directors, serve on corporate boards and committees.</w:t>
      </w:r>
    </w:p>
    <w:p>
      <w:pPr>
        <w:spacing w:after="0" w:line="73" w:lineRule="exact"/>
        <w:rPr>
          <w:sz w:val="20"/>
          <w:szCs w:val="20"/>
          <w:color w:val="auto"/>
        </w:rPr>
      </w:pPr>
    </w:p>
    <w:p>
      <w:pPr>
        <w:ind w:left="760" w:right="140"/>
        <w:spacing w:after="0" w:line="257" w:lineRule="auto"/>
        <w:rPr>
          <w:sz w:val="20"/>
          <w:szCs w:val="20"/>
          <w:color w:val="auto"/>
        </w:rPr>
      </w:pPr>
      <w:r>
        <w:rPr>
          <w:rFonts w:ascii="Arial" w:cs="Arial" w:eastAsia="Arial" w:hAnsi="Arial"/>
          <w:sz w:val="18"/>
          <w:szCs w:val="18"/>
          <w:color w:val="auto"/>
        </w:rPr>
        <w:t>The New Fairclough Employment Agreement has an initial term ending on February 26, 2027, extended from February 26, 2024 under the Prior Fairclough Employment Agreement, with automatic renewals for successive one-year terms thereafter unless either we or Mr. Fairclough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the New Fairclough Employment Agreement, Mr. Fairclough’s base salary is $600,000, as compared to</w:t>
      </w:r>
    </w:p>
    <w:p>
      <w:pPr>
        <w:spacing w:after="0" w:line="27" w:lineRule="exact"/>
        <w:rPr>
          <w:sz w:val="20"/>
          <w:szCs w:val="20"/>
          <w:color w:val="auto"/>
        </w:rPr>
      </w:pPr>
    </w:p>
    <w:p>
      <w:pPr>
        <w:ind w:left="760" w:right="120"/>
        <w:spacing w:after="0" w:line="268" w:lineRule="auto"/>
        <w:rPr>
          <w:sz w:val="20"/>
          <w:szCs w:val="20"/>
          <w:color w:val="auto"/>
        </w:rPr>
      </w:pPr>
      <w:r>
        <w:rPr>
          <w:rFonts w:ascii="Arial" w:cs="Arial" w:eastAsia="Arial" w:hAnsi="Arial"/>
          <w:sz w:val="17"/>
          <w:szCs w:val="17"/>
          <w:color w:val="auto"/>
        </w:rPr>
        <w:t>$500,000 under the Prior Fairclough Employment Agreement, and Mr. Fairclough is eligible to earn an annual bonus with a target bonus opportunity equal to $2,000,000 and a maximum bonus opportunity equal to $3,000,000, as compared to a target bonus opportunity of $1,500,000 and a maximum bonus opportunity of $2,500,000 under the Prior Fairclough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targets and 20% based on the achievement of qualitative targets under the Prior Fairclough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65" w:lineRule="exact"/>
        <w:rPr>
          <w:sz w:val="20"/>
          <w:szCs w:val="20"/>
          <w:color w:val="auto"/>
        </w:rPr>
      </w:pPr>
    </w:p>
    <w:p>
      <w:pPr>
        <w:ind w:left="760" w:right="80"/>
        <w:spacing w:after="0" w:line="270" w:lineRule="auto"/>
        <w:rPr>
          <w:sz w:val="20"/>
          <w:szCs w:val="20"/>
          <w:color w:val="auto"/>
        </w:rPr>
      </w:pPr>
      <w:r>
        <w:rPr>
          <w:rFonts w:ascii="Arial" w:cs="Arial" w:eastAsia="Arial" w:hAnsi="Arial"/>
          <w:sz w:val="17"/>
          <w:szCs w:val="17"/>
          <w:color w:val="auto"/>
        </w:rPr>
        <w:t>The New Fairclough Employment Agreement provides that Mr. Fairclough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Fairclough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Fairclough’s continued employment through each applicable vesting date and in each case subject to the terms of the applicable award agreement.</w:t>
      </w:r>
    </w:p>
    <w:p>
      <w:pPr>
        <w:spacing w:after="0" w:line="65" w:lineRule="exact"/>
        <w:rPr>
          <w:sz w:val="20"/>
          <w:szCs w:val="20"/>
          <w:color w:val="auto"/>
        </w:rPr>
      </w:pPr>
    </w:p>
    <w:p>
      <w:pPr>
        <w:ind w:left="760" w:right="360"/>
        <w:spacing w:after="0" w:line="318" w:lineRule="auto"/>
        <w:rPr>
          <w:sz w:val="20"/>
          <w:szCs w:val="20"/>
          <w:color w:val="auto"/>
        </w:rPr>
      </w:pPr>
      <w:r>
        <w:rPr>
          <w:rFonts w:ascii="Arial" w:cs="Arial" w:eastAsia="Arial" w:hAnsi="Arial"/>
          <w:sz w:val="17"/>
          <w:szCs w:val="17"/>
          <w:color w:val="auto"/>
        </w:rPr>
        <w:t>Consistent with the Prior Fairclough Employment Agreement, the New Fairclough Employment Agreement further provides that Mr. Fairclough is entitled to participate in all of the Company’s benefit plans and programs, and to</w:t>
      </w:r>
    </w:p>
    <w:p>
      <w:pPr>
        <w:spacing w:after="0" w:line="25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340"/>
        <w:spacing w:after="0" w:line="287" w:lineRule="auto"/>
        <w:rPr>
          <w:sz w:val="20"/>
          <w:szCs w:val="20"/>
          <w:color w:val="auto"/>
        </w:rPr>
      </w:pPr>
      <w:r>
        <w:rPr>
          <w:rFonts w:ascii="Arial" w:cs="Arial" w:eastAsia="Arial" w:hAnsi="Arial"/>
          <w:sz w:val="18"/>
          <w:szCs w:val="18"/>
          <w:color w:val="auto"/>
        </w:rPr>
        <w:t>receive perquisites, commensurate with his position, that are provided by the Company from time to time to senior executives generally, and to receive director and officer indemnification and insurance protection.</w:t>
      </w:r>
    </w:p>
    <w:p>
      <w:pPr>
        <w:spacing w:after="0" w:line="45"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color w:val="auto"/>
        </w:rPr>
        <w:t>Finally, and consistent with the Prior Fairclough Employment Agreement, the New Fairclough Employment Agreement includes an acknowledgment that Mr. Fairclough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Fairclough ceases to be an officer or employee of the Company. Consistent with the Prior Fairclough Employment Agreement, the New Fairclough Employment Agreement provides for severance upon certain terminations of employment as described below under “Potential Payments Upon Termination of Employment or Change in Control.”</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Cavoli</w:t>
      </w:r>
    </w:p>
    <w:p>
      <w:pPr>
        <w:spacing w:after="0" w:line="115"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auto"/>
        </w:rPr>
        <w:t>Virtu East entered into a new employment agreement with Mr. Cavoli on December 1, 2022 (the “</w:t>
      </w:r>
      <w:r>
        <w:rPr>
          <w:rFonts w:ascii="Arial" w:cs="Arial" w:eastAsia="Arial" w:hAnsi="Arial"/>
          <w:sz w:val="18"/>
          <w:szCs w:val="18"/>
          <w:b w:val="1"/>
          <w:bCs w:val="1"/>
          <w:color w:val="auto"/>
        </w:rPr>
        <w:t>New Cavoli</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amended and restated the terms of his prior employment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26, 2020 (the “</w:t>
      </w:r>
      <w:r>
        <w:rPr>
          <w:rFonts w:ascii="Arial" w:cs="Arial" w:eastAsia="Arial" w:hAnsi="Arial"/>
          <w:sz w:val="18"/>
          <w:szCs w:val="18"/>
          <w:b w:val="1"/>
          <w:bCs w:val="1"/>
          <w:color w:val="auto"/>
        </w:rPr>
        <w:t>Prior Cavoli Employment Agreement</w:t>
      </w:r>
      <w:r>
        <w:rPr>
          <w:rFonts w:ascii="Arial" w:cs="Arial" w:eastAsia="Arial" w:hAnsi="Arial"/>
          <w:sz w:val="18"/>
          <w:szCs w:val="18"/>
          <w:color w:val="auto"/>
        </w:rPr>
        <w:t>”), pursuant to which Mr. Cavoli will continue to serve as our Executive Vice President, Markets and report to our Chief Executive Officer. Consistent with the Prior Cavoli Employment Agreement, the New Cavoli Employment Agreement further provides that to the extent such activities do not significantly interfere with the performance of his duties, service and responsibilities, Mr. Cavoli is permitted to manage his personal, financial and legal affairs, serve on civic or charitable boards and committees and, to the extent approved by our board of directors, serve on corporate boards and committees.</w:t>
      </w:r>
    </w:p>
    <w:p>
      <w:pPr>
        <w:spacing w:after="0" w:line="77"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On February 26, 2025, the Company amended the New Cavoli Employment Agreement to extend the initial termination date from ending on April 30, 2026, until February 28, 2028, with automatic renewals for successive one-year terms thereafter unless either we or Mr. Cavoli provides notice of non-renewal at least ninety days in advance of the expiration of the then current term. All other terms of the New Cavoli Employment Agreement remain in full force.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75" w:lineRule="exact"/>
        <w:rPr>
          <w:sz w:val="20"/>
          <w:szCs w:val="20"/>
          <w:color w:val="auto"/>
        </w:rPr>
      </w:pPr>
    </w:p>
    <w:p>
      <w:pPr>
        <w:ind w:left="760" w:right="60"/>
        <w:spacing w:after="0" w:line="270" w:lineRule="auto"/>
        <w:rPr>
          <w:sz w:val="20"/>
          <w:szCs w:val="20"/>
          <w:color w:val="auto"/>
        </w:rPr>
      </w:pPr>
      <w:r>
        <w:rPr>
          <w:rFonts w:ascii="Arial" w:cs="Arial" w:eastAsia="Arial" w:hAnsi="Arial"/>
          <w:sz w:val="17"/>
          <w:szCs w:val="17"/>
          <w:color w:val="auto"/>
        </w:rPr>
        <w:t>Under the New Cavoli Employment Agreement, Mr. Cavoli’s base salary is $600,000, as compared to $500,000 under the Prior Cavoli Employment Agreement, and Mr. Cavoli is eligible to earn an annual bonus with a target bonus opportunity equal to $2,000,000 and a maximum bonus opportunity equal to $3,000,000, as compared to a target bonus opportunity equal to $1,500,000 and a maximum bonus opportunity equal to $2,500,000 under the Prior Cavoli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goals and 20% based on the achievement of qualitative goals under the Prior Cavoli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61"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The New Cavoli Employment Agreement provides that Mr. Cavoli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Cavoli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Cavoli’s continued employment through each applicable vesting date and in each case subject to the terms of the applicable award agreement.</w:t>
      </w:r>
    </w:p>
    <w:p>
      <w:pPr>
        <w:spacing w:after="0" w:line="74" w:lineRule="exact"/>
        <w:rPr>
          <w:sz w:val="20"/>
          <w:szCs w:val="20"/>
          <w:color w:val="auto"/>
        </w:rPr>
      </w:pPr>
    </w:p>
    <w:p>
      <w:pPr>
        <w:ind w:left="760" w:right="60"/>
        <w:spacing w:after="0" w:line="318" w:lineRule="auto"/>
        <w:rPr>
          <w:sz w:val="20"/>
          <w:szCs w:val="20"/>
          <w:color w:val="auto"/>
        </w:rPr>
      </w:pPr>
      <w:r>
        <w:rPr>
          <w:rFonts w:ascii="Arial" w:cs="Arial" w:eastAsia="Arial" w:hAnsi="Arial"/>
          <w:sz w:val="17"/>
          <w:szCs w:val="17"/>
          <w:color w:val="auto"/>
        </w:rPr>
        <w:t>Consistent with the Prior Cavoli Employment Agreement, the New Cavoli Employment Agreement further provides that Mr. Cavoli is entitled to participate in all of the Company’s benefit plans and programs, and to receive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163195</wp:posOffset>
            </wp:positionV>
            <wp:extent cx="754380" cy="2400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6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20"/>
        <w:spacing w:after="0" w:line="287" w:lineRule="auto"/>
        <w:rPr>
          <w:sz w:val="20"/>
          <w:szCs w:val="20"/>
          <w:color w:val="auto"/>
        </w:rPr>
      </w:pPr>
      <w:r>
        <w:rPr>
          <w:rFonts w:ascii="Arial" w:cs="Arial" w:eastAsia="Arial" w:hAnsi="Arial"/>
          <w:sz w:val="18"/>
          <w:szCs w:val="18"/>
          <w:color w:val="auto"/>
        </w:rPr>
        <w:t>commensurate with his position, that are provided by the Company from time to time to senior executives generally, and to receive director and officer indemnification and insurance protection.</w:t>
      </w:r>
    </w:p>
    <w:p>
      <w:pPr>
        <w:spacing w:after="0" w:line="45" w:lineRule="exact"/>
        <w:rPr>
          <w:sz w:val="20"/>
          <w:szCs w:val="20"/>
          <w:color w:val="auto"/>
        </w:rPr>
      </w:pPr>
    </w:p>
    <w:p>
      <w:pPr>
        <w:ind w:left="760" w:right="260"/>
        <w:spacing w:after="0" w:line="259" w:lineRule="auto"/>
        <w:rPr>
          <w:sz w:val="20"/>
          <w:szCs w:val="20"/>
          <w:color w:val="auto"/>
        </w:rPr>
      </w:pPr>
      <w:r>
        <w:rPr>
          <w:rFonts w:ascii="Arial" w:cs="Arial" w:eastAsia="Arial" w:hAnsi="Arial"/>
          <w:sz w:val="18"/>
          <w:szCs w:val="18"/>
          <w:color w:val="auto"/>
        </w:rPr>
        <w:t>Finally, and consistent with the Prior Cavoli Employment Agreement, the New Cavoli Employment Agreement includes an acknowledgment that Mr. Cavoli continues to be bound by the confidentiality and restrictive covenant provisions set forth in his original agreement, which provides for confidentiality and non-disparagement restrictions, as well as non-compete and non-solicitation restrictions until the eighteen-month anniversary of the date on which Mr. Cavoli ceases to be an officer or employee of the Company.</w:t>
      </w:r>
    </w:p>
    <w:p>
      <w:pPr>
        <w:spacing w:after="0" w:line="71" w:lineRule="exact"/>
        <w:rPr>
          <w:sz w:val="20"/>
          <w:szCs w:val="20"/>
          <w:color w:val="auto"/>
        </w:rPr>
      </w:pPr>
    </w:p>
    <w:p>
      <w:pPr>
        <w:ind w:left="760" w:right="620"/>
        <w:spacing w:after="0" w:line="268" w:lineRule="auto"/>
        <w:rPr>
          <w:sz w:val="20"/>
          <w:szCs w:val="20"/>
          <w:color w:val="auto"/>
        </w:rPr>
      </w:pPr>
      <w:r>
        <w:rPr>
          <w:rFonts w:ascii="Arial" w:cs="Arial" w:eastAsia="Arial" w:hAnsi="Arial"/>
          <w:sz w:val="18"/>
          <w:szCs w:val="18"/>
          <w:color w:val="auto"/>
        </w:rPr>
        <w:t>Consistent with the Prior Cavoli Employment Agreement, the New Cavoli Employment Agreement provides for severance upon certain terminations of employment as described below under “Potential Payments Upon Termination of Employment or Change in Control.”</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Ms. Lee</w:t>
      </w:r>
    </w:p>
    <w:p>
      <w:pPr>
        <w:spacing w:after="0" w:line="115" w:lineRule="exact"/>
        <w:rPr>
          <w:sz w:val="20"/>
          <w:szCs w:val="20"/>
          <w:color w:val="auto"/>
        </w:rPr>
      </w:pPr>
    </w:p>
    <w:p>
      <w:pPr>
        <w:ind w:left="760" w:right="60"/>
        <w:spacing w:after="0" w:line="267" w:lineRule="auto"/>
        <w:rPr>
          <w:sz w:val="20"/>
          <w:szCs w:val="20"/>
          <w:color w:val="auto"/>
        </w:rPr>
      </w:pPr>
      <w:r>
        <w:rPr>
          <w:rFonts w:ascii="Arial" w:cs="Arial" w:eastAsia="Arial" w:hAnsi="Arial"/>
          <w:sz w:val="17"/>
          <w:szCs w:val="17"/>
          <w:color w:val="auto"/>
        </w:rPr>
        <w:t>In connection with Ms. Lee’s appointment as Chief Financial Officer, the Company entered into an employment letter agreement with Ms. Lee on April 29, 2024 (the “Lee Employment Agreement”) pursuant to which Ms. Lee will be employed by the Company’s subsidiary, Virtu Financial Operating LLC (“Virtu Operating”) on an “at will” employment basis. Under the Lee Employment Agreement, Ms. Lee’s annual base salary is $400,000 per year, and she was eligible to receive an annual bonus of not less than $700,000 for the year ended December 31, 2024, payable in cash and equity awards in accordance with the Company’s incentive and equity plans as in effect from time to time and subject to Ms. Lee’s continued employment through the date on which bonuses for such period are paid. Ms. Lee will be eligible in subsequent years to receive an annual bonus and equity award in accordance with the Company’s incentive and equity plans as in effect from time to time and annual equity grants on terms and conditions determined by the Company. Ms. Lee will also receive a special long-term equity award under the Lee Employment Agreement and in connection with the commencement of her employment as Chief Financial Officer of 35,000 restricted</w:t>
      </w:r>
    </w:p>
    <w:p>
      <w:pPr>
        <w:spacing w:after="0" w:line="2"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stock units (the “Sign-On RSUs”), subject to the terms and conditions of the Company’s 2015 Plan and the terms of a separate award agreement, the form of which has previously been filed with the SEC (the “RSU Award Agreement”). The Sign-On RSUs will vest in three equal annual installments on the first three anniversaries of the date of grant. In connection with the Lee Employment Agreement, Ms. Lee entered into a restrictive covenant agreement that provides for confidentiality and non-disparagement restrictions and that provides that she will not engage in any business that competes with the Company or its affiliates, and that she will not solicit or hire employees, consultants or members of Virtu Operating, its subsidiaries or its affiliates, during her employment and for a period of 12 months thereafter.</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Galvin</w:t>
      </w:r>
    </w:p>
    <w:p>
      <w:pPr>
        <w:spacing w:after="0" w:line="115" w:lineRule="exact"/>
        <w:rPr>
          <w:sz w:val="20"/>
          <w:szCs w:val="20"/>
          <w:color w:val="auto"/>
        </w:rPr>
      </w:pPr>
    </w:p>
    <w:p>
      <w:pPr>
        <w:ind w:left="760" w:right="100"/>
        <w:spacing w:after="0" w:line="272" w:lineRule="auto"/>
        <w:rPr>
          <w:sz w:val="20"/>
          <w:szCs w:val="20"/>
          <w:color w:val="auto"/>
        </w:rPr>
      </w:pPr>
      <w:r>
        <w:rPr>
          <w:rFonts w:ascii="Arial" w:cs="Arial" w:eastAsia="Arial" w:hAnsi="Arial"/>
          <w:sz w:val="17"/>
          <w:szCs w:val="17"/>
          <w:color w:val="auto"/>
        </w:rPr>
        <w:t>Virtu East entered into an employment agreement with Mr. Galvin on August 7, 2020, on an “at will” employment basis. The employment agreement provides for a salary of $250,000 per year, which was increased to $300,000 in fiscal year 2021. In addition, the employment agreement provides for eligibility to earn an annual bonus payable in cash and stock, as determined at the sole discretion of Virtu East, except that such bonus was specified in the amount of $450,000 for the year ended December 31, 2020. The employment agreement also provided for a grant of restricted stock units with the number of restricted stock units to be granted determined by dividing $300,000 by the applicable issue price of the Company’s Class A common stock following Mr. Galvin’s start date, and provided that Mr. Galvin is eligible to participate in all benefit programs of Virtu East available to similarly situated employees.</w:t>
      </w:r>
    </w:p>
    <w:p>
      <w:pPr>
        <w:spacing w:after="0" w:line="64" w:lineRule="exact"/>
        <w:rPr>
          <w:sz w:val="20"/>
          <w:szCs w:val="20"/>
          <w:color w:val="auto"/>
        </w:rPr>
      </w:pPr>
    </w:p>
    <w:p>
      <w:pPr>
        <w:jc w:val="both"/>
        <w:ind w:left="760" w:right="80"/>
        <w:spacing w:after="0" w:line="262" w:lineRule="auto"/>
        <w:rPr>
          <w:sz w:val="20"/>
          <w:szCs w:val="20"/>
          <w:color w:val="auto"/>
        </w:rPr>
      </w:pPr>
      <w:r>
        <w:rPr>
          <w:rFonts w:ascii="Arial" w:cs="Arial" w:eastAsia="Arial" w:hAnsi="Arial"/>
          <w:sz w:val="18"/>
          <w:szCs w:val="18"/>
          <w:color w:val="auto"/>
        </w:rPr>
        <w:t>In connection with his employment agreement, Mr. Galvin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12 months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29"/>
          <w:szCs w:val="29"/>
          <w:color w:val="00C08A"/>
        </w:rPr>
        <w:t>OUTSTANDING EQUITY AWARDS AT END OF FISCAL YEAR 2024</w:t>
      </w:r>
    </w:p>
    <w:p>
      <w:pPr>
        <w:spacing w:after="0" w:line="112" w:lineRule="exact"/>
        <w:rPr>
          <w:sz w:val="20"/>
          <w:szCs w:val="20"/>
          <w:color w:val="auto"/>
        </w:rPr>
      </w:pPr>
    </w:p>
    <w:p>
      <w:pPr>
        <w:ind w:left="760" w:right="300"/>
        <w:spacing w:after="0" w:line="287" w:lineRule="auto"/>
        <w:rPr>
          <w:sz w:val="20"/>
          <w:szCs w:val="20"/>
          <w:color w:val="auto"/>
        </w:rPr>
      </w:pPr>
      <w:r>
        <w:rPr>
          <w:rFonts w:ascii="Arial" w:cs="Arial" w:eastAsia="Arial" w:hAnsi="Arial"/>
          <w:sz w:val="18"/>
          <w:szCs w:val="18"/>
          <w:color w:val="auto"/>
        </w:rPr>
        <w:t>The following table provides information about each of the outstanding awards of options to purchase our common stock and restricted stock units held by each named executive officer as of December 31, 2024.</w:t>
      </w:r>
    </w:p>
    <w:p>
      <w:pPr>
        <w:spacing w:after="0" w:line="82" w:lineRule="exact"/>
        <w:rPr>
          <w:sz w:val="20"/>
          <w:szCs w:val="20"/>
          <w:color w:val="auto"/>
        </w:rPr>
      </w:pPr>
    </w:p>
    <w:tbl>
      <w:tblPr>
        <w:tblLayout w:type="fixed"/>
        <w:tblInd w:w="760" w:type="dxa"/>
        <w:tblCellMar>
          <w:top w:w="0" w:type="dxa"/>
          <w:left w:w="0" w:type="dxa"/>
          <w:bottom w:w="0" w:type="dxa"/>
          <w:right w:w="0" w:type="dxa"/>
        </w:tblCellMar>
      </w:tblPr>
      <w:tr>
        <w:trPr>
          <w:trHeight w:val="198"/>
        </w:trPr>
        <w:tc>
          <w:tcPr>
            <w:tcW w:w="1980" w:type="dxa"/>
            <w:vAlign w:val="bottom"/>
          </w:tcPr>
          <w:p>
            <w:pPr>
              <w:spacing w:after="0"/>
              <w:rPr>
                <w:sz w:val="20"/>
                <w:szCs w:val="20"/>
                <w:color w:val="auto"/>
              </w:rPr>
            </w:pPr>
            <w:r>
              <w:rPr>
                <w:rFonts w:ascii="Arial" w:cs="Arial" w:eastAsia="Arial" w:hAnsi="Arial"/>
                <w:sz w:val="14"/>
                <w:szCs w:val="14"/>
                <w:b w:val="1"/>
                <w:bCs w:val="1"/>
                <w:color w:val="002453"/>
              </w:rPr>
              <w:t>​</w:t>
            </w:r>
          </w:p>
        </w:tc>
        <w:tc>
          <w:tcPr>
            <w:tcW w:w="740" w:type="dxa"/>
            <w:vAlign w:val="bottom"/>
            <w:gridSpan w:val="2"/>
          </w:tcPr>
          <w:p>
            <w:pPr>
              <w:ind w:left="600"/>
              <w:spacing w:after="0"/>
              <w:rPr>
                <w:sz w:val="20"/>
                <w:szCs w:val="20"/>
                <w:color w:val="auto"/>
              </w:rPr>
            </w:pPr>
            <w:r>
              <w:rPr>
                <w:rFonts w:ascii="Arial" w:cs="Arial" w:eastAsia="Arial" w:hAnsi="Arial"/>
                <w:sz w:val="14"/>
                <w:szCs w:val="14"/>
                <w:b w:val="1"/>
                <w:bCs w:val="1"/>
                <w:color w:val="002453"/>
              </w:rPr>
              <w:t>​ ​</w:t>
            </w:r>
          </w:p>
        </w:tc>
        <w:tc>
          <w:tcPr>
            <w:tcW w:w="540" w:type="dxa"/>
            <w:vAlign w:val="bottom"/>
            <w:tcBorders>
              <w:bottom w:val="single" w:sz="8" w:color="00C08A"/>
            </w:tcBorders>
          </w:tcPr>
          <w:p>
            <w:pPr>
              <w:spacing w:after="0"/>
              <w:rPr>
                <w:sz w:val="17"/>
                <w:szCs w:val="17"/>
                <w:color w:val="auto"/>
              </w:rPr>
            </w:pPr>
          </w:p>
        </w:tc>
        <w:tc>
          <w:tcPr>
            <w:tcW w:w="320" w:type="dxa"/>
            <w:vAlign w:val="bottom"/>
            <w:tcBorders>
              <w:bottom w:val="single" w:sz="8" w:color="00C08A"/>
            </w:tcBorders>
          </w:tcPr>
          <w:p>
            <w:pPr>
              <w:spacing w:after="0"/>
              <w:rPr>
                <w:sz w:val="17"/>
                <w:szCs w:val="17"/>
                <w:color w:val="auto"/>
              </w:rPr>
            </w:pPr>
          </w:p>
        </w:tc>
        <w:tc>
          <w:tcPr>
            <w:tcW w:w="260" w:type="dxa"/>
            <w:vAlign w:val="bottom"/>
            <w:tcBorders>
              <w:bottom w:val="single" w:sz="8" w:color="00C08A"/>
            </w:tcBorders>
          </w:tcPr>
          <w:p>
            <w:pPr>
              <w:spacing w:after="0"/>
              <w:rPr>
                <w:sz w:val="17"/>
                <w:szCs w:val="17"/>
                <w:color w:val="auto"/>
              </w:rPr>
            </w:pPr>
          </w:p>
        </w:tc>
        <w:tc>
          <w:tcPr>
            <w:tcW w:w="1800" w:type="dxa"/>
            <w:vAlign w:val="bottom"/>
            <w:tcBorders>
              <w:bottom w:val="single" w:sz="8" w:color="00C08A"/>
            </w:tcBorders>
            <w:gridSpan w:val="3"/>
          </w:tcPr>
          <w:p>
            <w:pPr>
              <w:ind w:left="320"/>
              <w:spacing w:after="0"/>
              <w:rPr>
                <w:sz w:val="20"/>
                <w:szCs w:val="20"/>
                <w:color w:val="auto"/>
              </w:rPr>
            </w:pPr>
            <w:r>
              <w:rPr>
                <w:rFonts w:ascii="Arial" w:cs="Arial" w:eastAsia="Arial" w:hAnsi="Arial"/>
                <w:sz w:val="14"/>
                <w:szCs w:val="14"/>
                <w:b w:val="1"/>
                <w:bCs w:val="1"/>
                <w:color w:val="002453"/>
              </w:rPr>
              <w:t>Option Awards</w:t>
            </w:r>
          </w:p>
        </w:tc>
        <w:tc>
          <w:tcPr>
            <w:tcW w:w="240" w:type="dxa"/>
            <w:vAlign w:val="bottom"/>
            <w:tcBorders>
              <w:bottom w:val="single" w:sz="8" w:color="00C08A"/>
            </w:tcBorders>
          </w:tcPr>
          <w:p>
            <w:pPr>
              <w:spacing w:after="0"/>
              <w:rPr>
                <w:sz w:val="17"/>
                <w:szCs w:val="17"/>
                <w:color w:val="auto"/>
              </w:rPr>
            </w:pPr>
          </w:p>
        </w:tc>
        <w:tc>
          <w:tcPr>
            <w:tcW w:w="720" w:type="dxa"/>
            <w:vAlign w:val="bottom"/>
            <w:tcBorders>
              <w:bottom w:val="single" w:sz="8" w:color="00C08A"/>
            </w:tcBorders>
          </w:tcPr>
          <w:p>
            <w:pPr>
              <w:spacing w:after="0"/>
              <w:rPr>
                <w:sz w:val="17"/>
                <w:szCs w:val="17"/>
                <w:color w:val="auto"/>
              </w:rPr>
            </w:pPr>
          </w:p>
        </w:tc>
        <w:tc>
          <w:tcPr>
            <w:tcW w:w="20" w:type="dxa"/>
            <w:vAlign w:val="bottom"/>
            <w:tcBorders>
              <w:bottom w:val="single" w:sz="8" w:color="00C08A"/>
            </w:tcBorders>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002453"/>
              </w:rPr>
              <w:t>​ ​</w:t>
            </w:r>
          </w:p>
        </w:tc>
        <w:tc>
          <w:tcPr>
            <w:tcW w:w="220" w:type="dxa"/>
            <w:vAlign w:val="bottom"/>
            <w:tcBorders>
              <w:bottom w:val="single" w:sz="8" w:color="00C08A"/>
            </w:tcBorders>
          </w:tcPr>
          <w:p>
            <w:pPr>
              <w:spacing w:after="0"/>
              <w:rPr>
                <w:sz w:val="17"/>
                <w:szCs w:val="17"/>
                <w:color w:val="auto"/>
              </w:rPr>
            </w:pPr>
          </w:p>
        </w:tc>
        <w:tc>
          <w:tcPr>
            <w:tcW w:w="2120" w:type="dxa"/>
            <w:vAlign w:val="bottom"/>
            <w:tcBorders>
              <w:bottom w:val="single" w:sz="8" w:color="00C08A"/>
            </w:tcBorders>
            <w:gridSpan w:val="5"/>
          </w:tcPr>
          <w:p>
            <w:pPr>
              <w:jc w:val="right"/>
              <w:ind w:right="612"/>
              <w:spacing w:after="0"/>
              <w:rPr>
                <w:sz w:val="20"/>
                <w:szCs w:val="20"/>
                <w:color w:val="auto"/>
              </w:rPr>
            </w:pPr>
            <w:r>
              <w:rPr>
                <w:rFonts w:ascii="Arial" w:cs="Arial" w:eastAsia="Arial" w:hAnsi="Arial"/>
                <w:sz w:val="14"/>
                <w:szCs w:val="14"/>
                <w:b w:val="1"/>
                <w:bCs w:val="1"/>
                <w:color w:val="002453"/>
              </w:rPr>
              <w:t>Stock Awards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2453"/>
                <w:w w:val="99"/>
              </w:rPr>
              <w:t>Number of</w:t>
            </w:r>
          </w:p>
        </w:tc>
        <w:tc>
          <w:tcPr>
            <w:tcW w:w="26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Arial" w:cs="Arial" w:eastAsia="Arial" w:hAnsi="Arial"/>
                <w:sz w:val="14"/>
                <w:szCs w:val="14"/>
                <w:b w:val="1"/>
                <w:bCs w:val="1"/>
                <w:color w:val="002453"/>
              </w:rPr>
              <w:t>Number of</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Securities</w:t>
            </w:r>
          </w:p>
        </w:tc>
        <w:tc>
          <w:tcPr>
            <w:tcW w:w="26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Securities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Underlying</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Underlying</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Option</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6"/>
              <w:spacing w:after="0"/>
              <w:rPr>
                <w:sz w:val="20"/>
                <w:szCs w:val="20"/>
                <w:color w:val="auto"/>
              </w:rPr>
            </w:pPr>
            <w:r>
              <w:rPr>
                <w:rFonts w:ascii="Arial" w:cs="Arial" w:eastAsia="Arial" w:hAnsi="Arial"/>
                <w:sz w:val="14"/>
                <w:szCs w:val="14"/>
                <w:b w:val="1"/>
                <w:bCs w:val="1"/>
                <w:color w:val="002453"/>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Market 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rPr>
              <w:t>Unexercised</w:t>
            </w:r>
          </w:p>
        </w:tc>
        <w:tc>
          <w:tcPr>
            <w:tcW w:w="26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Unexercised</w:t>
            </w: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Option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Options</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Options</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Exercise</w:t>
            </w: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002453"/>
              </w:rPr>
              <w:t>Unvested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002453"/>
              </w:rPr>
              <w:t>Unvested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Exercisable</w:t>
            </w:r>
          </w:p>
        </w:tc>
        <w:tc>
          <w:tcPr>
            <w:tcW w:w="1220" w:type="dxa"/>
            <w:vAlign w:val="bottom"/>
            <w:gridSpan w:val="2"/>
          </w:tcPr>
          <w:p>
            <w:pPr>
              <w:jc w:val="center"/>
              <w:ind w:left="112"/>
              <w:spacing w:after="0" w:line="139" w:lineRule="exact"/>
              <w:rPr>
                <w:sz w:val="20"/>
                <w:szCs w:val="20"/>
                <w:color w:val="auto"/>
              </w:rPr>
            </w:pPr>
            <w:r>
              <w:rPr>
                <w:rFonts w:ascii="Arial" w:cs="Arial" w:eastAsia="Arial" w:hAnsi="Arial"/>
                <w:sz w:val="14"/>
                <w:szCs w:val="14"/>
                <w:b w:val="1"/>
                <w:bCs w:val="1"/>
                <w:color w:val="002453"/>
              </w:rPr>
              <w:t>Unexercisable</w:t>
            </w:r>
          </w:p>
        </w:tc>
        <w:tc>
          <w:tcPr>
            <w:tcW w:w="22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Price</w:t>
            </w:r>
          </w:p>
        </w:tc>
        <w:tc>
          <w:tcPr>
            <w:tcW w:w="24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Expiration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Stock Awards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Stock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740" w:type="dxa"/>
            <w:vAlign w:val="bottom"/>
            <w:tcBorders>
              <w:bottom w:val="single" w:sz="8" w:color="00C08A"/>
            </w:tcBorders>
            <w:gridSpan w:val="2"/>
          </w:tcPr>
          <w:p>
            <w:pPr>
              <w:ind w:left="600"/>
              <w:spacing w:after="0"/>
              <w:rPr>
                <w:sz w:val="20"/>
                <w:szCs w:val="20"/>
                <w:color w:val="auto"/>
              </w:rPr>
            </w:pPr>
            <w:r>
              <w:rPr>
                <w:rFonts w:ascii="Arial" w:cs="Arial" w:eastAsia="Arial" w:hAnsi="Arial"/>
                <w:sz w:val="14"/>
                <w:szCs w:val="14"/>
                <w:b w:val="1"/>
                <w:bCs w:val="1"/>
                <w:color w:val="002453"/>
              </w:rPr>
              <w:t>​ ​</w:t>
            </w:r>
          </w:p>
        </w:tc>
        <w:tc>
          <w:tcPr>
            <w:tcW w:w="86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9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3"/>
              </w:rPr>
              <w:t>(#)</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62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3"/>
              </w:rPr>
              <w:t>($)</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72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8"/>
              </w:rPr>
              <w:t>Date</w:t>
            </w:r>
          </w:p>
        </w:tc>
        <w:tc>
          <w:tcPr>
            <w:tcW w:w="20" w:type="dxa"/>
            <w:vAlign w:val="bottom"/>
            <w:tcBorders>
              <w:bottom w:val="single" w:sz="8" w:color="00C08A"/>
            </w:tcBorders>
          </w:tcPr>
          <w:p>
            <w:pPr>
              <w:spacing w:after="0"/>
              <w:rPr>
                <w:sz w:val="16"/>
                <w:szCs w:val="16"/>
                <w:color w:val="auto"/>
              </w:rPr>
            </w:pPr>
          </w:p>
        </w:tc>
        <w:tc>
          <w:tcPr>
            <w:tcW w:w="22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 ​</w:t>
            </w:r>
          </w:p>
        </w:tc>
        <w:tc>
          <w:tcPr>
            <w:tcW w:w="220" w:type="dxa"/>
            <w:vAlign w:val="bottom"/>
            <w:tcBorders>
              <w:bottom w:val="single" w:sz="8" w:color="00C08A"/>
            </w:tcBorders>
          </w:tcPr>
          <w:p>
            <w:pPr>
              <w:spacing w:after="0"/>
              <w:rPr>
                <w:sz w:val="16"/>
                <w:szCs w:val="16"/>
                <w:color w:val="auto"/>
              </w:rPr>
            </w:pPr>
          </w:p>
        </w:tc>
        <w:tc>
          <w:tcPr>
            <w:tcW w:w="740" w:type="dxa"/>
            <w:vAlign w:val="bottom"/>
            <w:tcBorders>
              <w:bottom w:val="single" w:sz="8" w:color="00C08A"/>
            </w:tcBorders>
          </w:tcPr>
          <w:p>
            <w:pPr>
              <w:jc w:val="center"/>
              <w:ind w:right="166"/>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w:t>
            </w:r>
          </w:p>
        </w:tc>
        <w:tc>
          <w:tcPr>
            <w:tcW w:w="200" w:type="dxa"/>
            <w:vAlign w:val="bottom"/>
            <w:tcBorders>
              <w:bottom w:val="single" w:sz="8" w:color="00C08A"/>
            </w:tcBorders>
          </w:tcPr>
          <w:p>
            <w:pPr>
              <w:spacing w:after="0"/>
              <w:rPr>
                <w:sz w:val="16"/>
                <w:szCs w:val="16"/>
                <w:color w:val="auto"/>
              </w:rPr>
            </w:pPr>
          </w:p>
        </w:tc>
        <w:tc>
          <w:tcPr>
            <w:tcW w:w="900" w:type="dxa"/>
            <w:vAlign w:val="bottom"/>
            <w:tcBorders>
              <w:bottom w:val="single" w:sz="8" w:color="00C08A"/>
            </w:tcBorders>
          </w:tcPr>
          <w:p>
            <w:pPr>
              <w:jc w:val="center"/>
              <w:ind w:right="112"/>
              <w:spacing w:after="0"/>
              <w:rPr>
                <w:sz w:val="20"/>
                <w:szCs w:val="20"/>
                <w:color w:val="auto"/>
              </w:rPr>
            </w:pPr>
            <w:r>
              <w:rPr>
                <w:rFonts w:ascii="Arial" w:cs="Arial" w:eastAsia="Arial" w:hAnsi="Arial"/>
                <w:sz w:val="14"/>
                <w:szCs w:val="14"/>
                <w:b w:val="1"/>
                <w:bCs w:val="1"/>
                <w:color w:val="002453"/>
                <w:w w:val="99"/>
              </w:rPr>
              <w:t>($)(1)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49"/>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640" w:type="dxa"/>
            <w:vAlign w:val="bottom"/>
            <w:shd w:val="clear" w:color="auto" w:fill="CCEEFF"/>
          </w:tcPr>
          <w:p>
            <w:pPr>
              <w:ind w:left="600"/>
              <w:spacing w:after="0" w:line="14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960" w:type="dxa"/>
            <w:vAlign w:val="bottom"/>
            <w:shd w:val="clear" w:color="auto" w:fill="CCEEFF"/>
          </w:tcPr>
          <w:p>
            <w:pPr>
              <w:ind w:left="360"/>
              <w:spacing w:after="0" w:line="14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62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720" w:type="dxa"/>
            <w:vAlign w:val="bottom"/>
            <w:shd w:val="clear" w:color="auto" w:fill="CCEEFF"/>
          </w:tcPr>
          <w:p>
            <w:pPr>
              <w:ind w:left="260"/>
              <w:spacing w:after="0" w:line="149" w:lineRule="exact"/>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 ​  ​</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7"/>
                <w:szCs w:val="17"/>
                <w:color w:val="auto"/>
              </w:rPr>
              <w:t>​  ​</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580,192</w:t>
            </w:r>
          </w:p>
        </w:tc>
        <w:tc>
          <w:tcPr>
            <w:tcW w:w="60" w:type="dxa"/>
            <w:vAlign w:val="bottom"/>
          </w:tcPr>
          <w:p>
            <w:pPr>
              <w:jc w:val="right"/>
              <w:spacing w:after="0" w:line="14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89"/>
        </w:trPr>
        <w:tc>
          <w:tcPr>
            <w:tcW w:w="198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gridSpan w:val="2"/>
            <w:shd w:val="clear" w:color="auto" w:fill="CCEEFF"/>
          </w:tcPr>
          <w:p>
            <w:pPr>
              <w:ind w:left="340"/>
              <w:spacing w:after="0" w:line="90"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ind w:left="380"/>
              <w:spacing w:after="0" w:line="90"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ind w:left="220"/>
              <w:spacing w:after="0" w:line="90"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ind w:left="260"/>
              <w:spacing w:after="0" w:line="90"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gridSpan w:val="3"/>
            <w:shd w:val="clear" w:color="auto" w:fill="CCEEFF"/>
          </w:tcPr>
          <w:p>
            <w:pPr>
              <w:jc w:val="right"/>
              <w:ind w:right="12"/>
              <w:spacing w:after="0" w:line="90" w:lineRule="exact"/>
              <w:rPr>
                <w:sz w:val="20"/>
                <w:szCs w:val="20"/>
                <w:color w:val="auto"/>
              </w:rPr>
            </w:pPr>
            <w:r>
              <w:rPr>
                <w:rFonts w:ascii="Arial" w:cs="Arial" w:eastAsia="Arial" w:hAnsi="Arial"/>
                <w:sz w:val="10"/>
                <w:szCs w:val="10"/>
                <w:color w:val="auto"/>
              </w:rPr>
              <w:t>​ 16,261(2)</w:t>
            </w: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ind w:left="140"/>
              <w:spacing w:after="0" w:line="90"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CCEEFF"/>
            </w:tcBorders>
            <w:vMerge w:val="continue"/>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2,676,000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75,000(3)</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1,837,627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51,503(5)</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2,601,036</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72,899(6)</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5,352,000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540" w:type="dxa"/>
            <w:vAlign w:val="bottom"/>
            <w:tcBorders>
              <w:bottom w:val="single" w:sz="8" w:color="00C08A"/>
            </w:tcBorders>
            <w:shd w:val="clear" w:color="auto" w:fill="CCEEFF"/>
          </w:tcPr>
          <w:p>
            <w:pPr>
              <w:spacing w:after="0"/>
              <w:rPr>
                <w:sz w:val="7"/>
                <w:szCs w:val="7"/>
                <w:color w:val="auto"/>
              </w:rPr>
            </w:pPr>
          </w:p>
        </w:tc>
        <w:tc>
          <w:tcPr>
            <w:tcW w:w="320" w:type="dxa"/>
            <w:vAlign w:val="bottom"/>
            <w:tcBorders>
              <w:bottom w:val="single" w:sz="8" w:color="00C08A"/>
            </w:tcBorders>
            <w:shd w:val="clear" w:color="auto" w:fill="CCEEFF"/>
          </w:tcPr>
          <w:p>
            <w:pPr>
              <w:spacing w:after="0"/>
              <w:rPr>
                <w:sz w:val="7"/>
                <w:szCs w:val="7"/>
                <w:color w:val="auto"/>
              </w:rPr>
            </w:pPr>
          </w:p>
        </w:tc>
        <w:tc>
          <w:tcPr>
            <w:tcW w:w="260" w:type="dxa"/>
            <w:vAlign w:val="bottom"/>
            <w:tcBorders>
              <w:bottom w:val="single" w:sz="8" w:color="00C08A"/>
            </w:tcBorders>
            <w:shd w:val="clear" w:color="auto" w:fill="CCEEFF"/>
          </w:tcPr>
          <w:p>
            <w:pPr>
              <w:spacing w:after="0"/>
              <w:rPr>
                <w:sz w:val="7"/>
                <w:szCs w:val="7"/>
                <w:color w:val="auto"/>
              </w:rPr>
            </w:pPr>
          </w:p>
        </w:tc>
        <w:tc>
          <w:tcPr>
            <w:tcW w:w="96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620" w:type="dxa"/>
            <w:vAlign w:val="bottom"/>
            <w:tcBorders>
              <w:bottom w:val="single" w:sz="8" w:color="00C08A"/>
            </w:tcBorders>
            <w:shd w:val="clear" w:color="auto" w:fill="CCEEFF"/>
          </w:tcPr>
          <w:p>
            <w:pPr>
              <w:spacing w:after="0"/>
              <w:rPr>
                <w:sz w:val="7"/>
                <w:szCs w:val="7"/>
                <w:color w:val="auto"/>
              </w:rPr>
            </w:pPr>
          </w:p>
        </w:tc>
        <w:tc>
          <w:tcPr>
            <w:tcW w:w="240" w:type="dxa"/>
            <w:vAlign w:val="bottom"/>
            <w:tcBorders>
              <w:bottom w:val="single" w:sz="8" w:color="00C08A"/>
            </w:tcBorders>
            <w:shd w:val="clear" w:color="auto" w:fill="CCEEFF"/>
          </w:tcPr>
          <w:p>
            <w:pPr>
              <w:spacing w:after="0"/>
              <w:rPr>
                <w:sz w:val="7"/>
                <w:szCs w:val="7"/>
                <w:color w:val="auto"/>
              </w:rPr>
            </w:pPr>
          </w:p>
        </w:tc>
        <w:tc>
          <w:tcPr>
            <w:tcW w:w="720" w:type="dxa"/>
            <w:vAlign w:val="bottom"/>
            <w:tcBorders>
              <w:bottom w:val="single" w:sz="8" w:color="00C08A"/>
            </w:tcBorders>
            <w:shd w:val="clear" w:color="auto" w:fill="CCEEFF"/>
          </w:tcPr>
          <w:p>
            <w:pPr>
              <w:spacing w:after="0"/>
              <w:rPr>
                <w:sz w:val="7"/>
                <w:szCs w:val="7"/>
                <w:color w:val="auto"/>
              </w:rPr>
            </w:pPr>
          </w:p>
        </w:tc>
        <w:tc>
          <w:tcPr>
            <w:tcW w:w="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1140" w:type="dxa"/>
            <w:vAlign w:val="bottom"/>
            <w:tcBorders>
              <w:bottom w:val="single" w:sz="8" w:color="00C08A"/>
            </w:tcBorders>
            <w:gridSpan w:val="3"/>
            <w:shd w:val="clear" w:color="auto" w:fill="CCEEFF"/>
          </w:tcPr>
          <w:p>
            <w:pPr>
              <w:jc w:val="right"/>
              <w:ind w:right="12"/>
              <w:spacing w:after="0" w:line="81" w:lineRule="exact"/>
              <w:rPr>
                <w:sz w:val="20"/>
                <w:szCs w:val="20"/>
                <w:color w:val="auto"/>
              </w:rPr>
            </w:pPr>
            <w:r>
              <w:rPr>
                <w:rFonts w:ascii="Arial" w:cs="Arial" w:eastAsia="Arial" w:hAnsi="Arial"/>
                <w:sz w:val="9"/>
                <w:szCs w:val="9"/>
                <w:b w:val="1"/>
                <w:bCs w:val="1"/>
                <w:color w:val="auto"/>
              </w:rPr>
              <w:t>​</w:t>
            </w:r>
            <w:r>
              <w:rPr>
                <w:rFonts w:ascii="Arial" w:cs="Arial" w:eastAsia="Arial" w:hAnsi="Arial"/>
                <w:sz w:val="9"/>
                <w:szCs w:val="9"/>
                <w:color w:val="auto"/>
              </w:rPr>
              <w:t>150,000(7)</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Joseph Molluso</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54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290,078</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ind w:left="340"/>
              <w:spacing w:after="0" w:line="76"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ind w:left="220"/>
              <w:spacing w:after="0" w:line="76"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2"/>
              <w:spacing w:after="0" w:line="76" w:lineRule="exact"/>
              <w:rPr>
                <w:sz w:val="20"/>
                <w:szCs w:val="20"/>
                <w:color w:val="auto"/>
              </w:rPr>
            </w:pPr>
            <w:r>
              <w:rPr>
                <w:rFonts w:ascii="Arial" w:cs="Arial" w:eastAsia="Arial" w:hAnsi="Arial"/>
                <w:sz w:val="8"/>
                <w:szCs w:val="8"/>
                <w:color w:val="auto"/>
              </w:rPr>
              <w:t>8,130(2)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1,338,000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37,500(4)</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826,920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23,176(5)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1,198,063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33,578(6)</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2,676,000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tcPr>
          <w:p>
            <w:pPr>
              <w:spacing w:after="0"/>
              <w:rPr>
                <w:sz w:val="7"/>
                <w:szCs w:val="7"/>
                <w:color w:val="auto"/>
              </w:rPr>
            </w:pPr>
          </w:p>
        </w:tc>
        <w:tc>
          <w:tcPr>
            <w:tcW w:w="64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260" w:type="dxa"/>
            <w:vAlign w:val="bottom"/>
            <w:tcBorders>
              <w:bottom w:val="single" w:sz="8" w:color="00C08A"/>
            </w:tcBorders>
          </w:tcPr>
          <w:p>
            <w:pPr>
              <w:spacing w:after="0"/>
              <w:rPr>
                <w:sz w:val="7"/>
                <w:szCs w:val="7"/>
                <w:color w:val="auto"/>
              </w:rPr>
            </w:pPr>
          </w:p>
        </w:tc>
        <w:tc>
          <w:tcPr>
            <w:tcW w:w="9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62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720" w:type="dxa"/>
            <w:vAlign w:val="bottom"/>
            <w:tcBorders>
              <w:bottom w:val="single" w:sz="8" w:color="00C08A"/>
            </w:tcBorders>
          </w:tcPr>
          <w:p>
            <w:pPr>
              <w:spacing w:after="0"/>
              <w:rPr>
                <w:sz w:val="7"/>
                <w:szCs w:val="7"/>
                <w:color w:val="auto"/>
              </w:rPr>
            </w:pPr>
          </w:p>
        </w:tc>
        <w:tc>
          <w:tcPr>
            <w:tcW w:w="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vMerge w:val="continue"/>
          </w:tcPr>
          <w:p>
            <w:pPr>
              <w:spacing w:after="0"/>
              <w:rPr>
                <w:sz w:val="7"/>
                <w:szCs w:val="7"/>
                <w:color w:val="auto"/>
              </w:rPr>
            </w:pPr>
          </w:p>
        </w:tc>
        <w:tc>
          <w:tcPr>
            <w:tcW w:w="920" w:type="dxa"/>
            <w:vAlign w:val="bottom"/>
            <w:tcBorders>
              <w:bottom w:val="single" w:sz="8" w:color="00C08A"/>
            </w:tcBorders>
            <w:gridSpan w:val="2"/>
          </w:tcPr>
          <w:p>
            <w:pPr>
              <w:jc w:val="right"/>
              <w:ind w:right="12"/>
              <w:spacing w:after="0" w:line="81" w:lineRule="exact"/>
              <w:rPr>
                <w:sz w:val="20"/>
                <w:szCs w:val="20"/>
                <w:color w:val="auto"/>
              </w:rPr>
            </w:pPr>
            <w:r>
              <w:rPr>
                <w:rFonts w:ascii="Arial" w:cs="Arial" w:eastAsia="Arial" w:hAnsi="Arial"/>
                <w:sz w:val="9"/>
                <w:szCs w:val="9"/>
                <w:color w:val="auto"/>
              </w:rPr>
              <w:t>75,000(9)</w:t>
            </w:r>
          </w:p>
        </w:tc>
        <w:tc>
          <w:tcPr>
            <w:tcW w:w="100" w:type="dxa"/>
            <w:vAlign w:val="bottom"/>
            <w:tcBorders>
              <w:bottom w:val="single" w:sz="8" w:color="00C08A"/>
            </w:tcBorders>
          </w:tcPr>
          <w:p>
            <w:pPr>
              <w:spacing w:after="0"/>
              <w:rPr>
                <w:sz w:val="7"/>
                <w:szCs w:val="7"/>
                <w:color w:val="auto"/>
              </w:rPr>
            </w:pPr>
          </w:p>
        </w:tc>
        <w:tc>
          <w:tcPr>
            <w:tcW w:w="1100" w:type="dxa"/>
            <w:vAlign w:val="bottom"/>
            <w:tcBorders>
              <w:bottom w:val="single" w:sz="8" w:color="00C08A"/>
            </w:tcBorders>
            <w:gridSpan w:val="2"/>
            <w:vMerge w:val="continue"/>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640" w:type="dxa"/>
            <w:vAlign w:val="bottom"/>
            <w:shd w:val="clear" w:color="auto" w:fill="CCEEFF"/>
          </w:tcPr>
          <w:p>
            <w:pPr>
              <w:ind w:left="600"/>
              <w:spacing w:after="0" w:line="15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290,078</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80" w:type="dxa"/>
            <w:vAlign w:val="bottom"/>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920" w:type="dxa"/>
            <w:vAlign w:val="bottom"/>
            <w:gridSpan w:val="2"/>
            <w:shd w:val="clear" w:color="auto" w:fill="CCEEFF"/>
          </w:tcPr>
          <w:p>
            <w:pPr>
              <w:jc w:val="right"/>
              <w:ind w:right="12"/>
              <w:spacing w:after="0" w:line="63" w:lineRule="exact"/>
              <w:rPr>
                <w:sz w:val="20"/>
                <w:szCs w:val="20"/>
                <w:color w:val="auto"/>
              </w:rPr>
            </w:pPr>
            <w:r>
              <w:rPr>
                <w:rFonts w:ascii="Arial" w:cs="Arial" w:eastAsia="Arial" w:hAnsi="Arial"/>
                <w:sz w:val="7"/>
                <w:szCs w:val="7"/>
                <w:color w:val="auto"/>
              </w:rPr>
              <w:t>8,130(2)</w:t>
            </w: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0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1,338,000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37,500(4)</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826,920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23,176(5)</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1,198,063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33,578(6)</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2,676,000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540" w:type="dxa"/>
            <w:vAlign w:val="bottom"/>
            <w:tcBorders>
              <w:bottom w:val="single" w:sz="8" w:color="00C08A"/>
            </w:tcBorders>
            <w:shd w:val="clear" w:color="auto" w:fill="CCEEFF"/>
          </w:tcPr>
          <w:p>
            <w:pPr>
              <w:spacing w:after="0"/>
              <w:rPr>
                <w:sz w:val="7"/>
                <w:szCs w:val="7"/>
                <w:color w:val="auto"/>
              </w:rPr>
            </w:pPr>
          </w:p>
        </w:tc>
        <w:tc>
          <w:tcPr>
            <w:tcW w:w="320" w:type="dxa"/>
            <w:vAlign w:val="bottom"/>
            <w:tcBorders>
              <w:bottom w:val="single" w:sz="8" w:color="00C08A"/>
            </w:tcBorders>
            <w:shd w:val="clear" w:color="auto" w:fill="CCEEFF"/>
          </w:tcPr>
          <w:p>
            <w:pPr>
              <w:spacing w:after="0"/>
              <w:rPr>
                <w:sz w:val="7"/>
                <w:szCs w:val="7"/>
                <w:color w:val="auto"/>
              </w:rPr>
            </w:pPr>
          </w:p>
        </w:tc>
        <w:tc>
          <w:tcPr>
            <w:tcW w:w="260" w:type="dxa"/>
            <w:vAlign w:val="bottom"/>
            <w:tcBorders>
              <w:bottom w:val="single" w:sz="8" w:color="00C08A"/>
            </w:tcBorders>
            <w:shd w:val="clear" w:color="auto" w:fill="CCEEFF"/>
          </w:tcPr>
          <w:p>
            <w:pPr>
              <w:spacing w:after="0"/>
              <w:rPr>
                <w:sz w:val="7"/>
                <w:szCs w:val="7"/>
                <w:color w:val="auto"/>
              </w:rPr>
            </w:pPr>
          </w:p>
        </w:tc>
        <w:tc>
          <w:tcPr>
            <w:tcW w:w="96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620" w:type="dxa"/>
            <w:vAlign w:val="bottom"/>
            <w:tcBorders>
              <w:bottom w:val="single" w:sz="8" w:color="00C08A"/>
            </w:tcBorders>
            <w:shd w:val="clear" w:color="auto" w:fill="CCEEFF"/>
          </w:tcPr>
          <w:p>
            <w:pPr>
              <w:spacing w:after="0"/>
              <w:rPr>
                <w:sz w:val="7"/>
                <w:szCs w:val="7"/>
                <w:color w:val="auto"/>
              </w:rPr>
            </w:pPr>
          </w:p>
        </w:tc>
        <w:tc>
          <w:tcPr>
            <w:tcW w:w="240" w:type="dxa"/>
            <w:vAlign w:val="bottom"/>
            <w:tcBorders>
              <w:bottom w:val="single" w:sz="8" w:color="00C08A"/>
            </w:tcBorders>
            <w:shd w:val="clear" w:color="auto" w:fill="CCEEFF"/>
          </w:tcPr>
          <w:p>
            <w:pPr>
              <w:spacing w:after="0"/>
              <w:rPr>
                <w:sz w:val="7"/>
                <w:szCs w:val="7"/>
                <w:color w:val="auto"/>
              </w:rPr>
            </w:pPr>
          </w:p>
        </w:tc>
        <w:tc>
          <w:tcPr>
            <w:tcW w:w="720" w:type="dxa"/>
            <w:vAlign w:val="bottom"/>
            <w:tcBorders>
              <w:bottom w:val="single" w:sz="8" w:color="00C08A"/>
            </w:tcBorders>
            <w:shd w:val="clear" w:color="auto" w:fill="CCEEFF"/>
          </w:tcPr>
          <w:p>
            <w:pPr>
              <w:spacing w:after="0"/>
              <w:rPr>
                <w:sz w:val="7"/>
                <w:szCs w:val="7"/>
                <w:color w:val="auto"/>
              </w:rPr>
            </w:pPr>
          </w:p>
        </w:tc>
        <w:tc>
          <w:tcPr>
            <w:tcW w:w="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vMerge w:val="continue"/>
            <w:shd w:val="clear" w:color="auto" w:fill="CCEEFF"/>
          </w:tcPr>
          <w:p>
            <w:pPr>
              <w:spacing w:after="0"/>
              <w:rPr>
                <w:sz w:val="7"/>
                <w:szCs w:val="7"/>
                <w:color w:val="auto"/>
              </w:rPr>
            </w:pPr>
          </w:p>
        </w:tc>
        <w:tc>
          <w:tcPr>
            <w:tcW w:w="920" w:type="dxa"/>
            <w:vAlign w:val="bottom"/>
            <w:tcBorders>
              <w:bottom w:val="single" w:sz="8" w:color="00C08A"/>
            </w:tcBorders>
            <w:gridSpan w:val="2"/>
            <w:shd w:val="clear" w:color="auto" w:fill="CCEEFF"/>
          </w:tcPr>
          <w:p>
            <w:pPr>
              <w:jc w:val="right"/>
              <w:ind w:right="12"/>
              <w:spacing w:after="0" w:line="81" w:lineRule="exact"/>
              <w:rPr>
                <w:sz w:val="20"/>
                <w:szCs w:val="20"/>
                <w:color w:val="auto"/>
              </w:rPr>
            </w:pPr>
            <w:r>
              <w:rPr>
                <w:rFonts w:ascii="Arial" w:cs="Arial" w:eastAsia="Arial" w:hAnsi="Arial"/>
                <w:sz w:val="9"/>
                <w:szCs w:val="9"/>
                <w:color w:val="auto"/>
              </w:rPr>
              <w:t>75,000(9)</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Stephen Cavoli</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54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290,078</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ind w:left="340"/>
              <w:spacing w:after="0" w:line="76"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ind w:left="220"/>
              <w:spacing w:after="0" w:line="76"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2"/>
              <w:spacing w:after="0" w:line="76" w:lineRule="exact"/>
              <w:rPr>
                <w:sz w:val="20"/>
                <w:szCs w:val="20"/>
                <w:color w:val="auto"/>
              </w:rPr>
            </w:pPr>
            <w:r>
              <w:rPr>
                <w:rFonts w:ascii="Arial" w:cs="Arial" w:eastAsia="Arial" w:hAnsi="Arial"/>
                <w:sz w:val="8"/>
                <w:szCs w:val="8"/>
                <w:color w:val="auto"/>
              </w:rPr>
              <w:t>8,130(2)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1,338,000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37,500(4)</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826,920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23,176(5)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1,103,475</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30,927(6)</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2,676,000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tcPr>
          <w:p>
            <w:pPr>
              <w:spacing w:after="0"/>
              <w:rPr>
                <w:sz w:val="7"/>
                <w:szCs w:val="7"/>
                <w:color w:val="auto"/>
              </w:rPr>
            </w:pPr>
          </w:p>
        </w:tc>
        <w:tc>
          <w:tcPr>
            <w:tcW w:w="64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260" w:type="dxa"/>
            <w:vAlign w:val="bottom"/>
            <w:tcBorders>
              <w:bottom w:val="single" w:sz="8" w:color="00C08A"/>
            </w:tcBorders>
          </w:tcPr>
          <w:p>
            <w:pPr>
              <w:spacing w:after="0"/>
              <w:rPr>
                <w:sz w:val="7"/>
                <w:szCs w:val="7"/>
                <w:color w:val="auto"/>
              </w:rPr>
            </w:pPr>
          </w:p>
        </w:tc>
        <w:tc>
          <w:tcPr>
            <w:tcW w:w="9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62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720" w:type="dxa"/>
            <w:vAlign w:val="bottom"/>
            <w:tcBorders>
              <w:bottom w:val="single" w:sz="8" w:color="00C08A"/>
            </w:tcBorders>
          </w:tcPr>
          <w:p>
            <w:pPr>
              <w:spacing w:after="0"/>
              <w:rPr>
                <w:sz w:val="7"/>
                <w:szCs w:val="7"/>
                <w:color w:val="auto"/>
              </w:rPr>
            </w:pPr>
          </w:p>
        </w:tc>
        <w:tc>
          <w:tcPr>
            <w:tcW w:w="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vMerge w:val="continue"/>
          </w:tcPr>
          <w:p>
            <w:pPr>
              <w:spacing w:after="0"/>
              <w:rPr>
                <w:sz w:val="7"/>
                <w:szCs w:val="7"/>
                <w:color w:val="auto"/>
              </w:rPr>
            </w:pPr>
          </w:p>
        </w:tc>
        <w:tc>
          <w:tcPr>
            <w:tcW w:w="920" w:type="dxa"/>
            <w:vAlign w:val="bottom"/>
            <w:tcBorders>
              <w:bottom w:val="single" w:sz="8" w:color="00C08A"/>
            </w:tcBorders>
            <w:gridSpan w:val="2"/>
          </w:tcPr>
          <w:p>
            <w:pPr>
              <w:jc w:val="right"/>
              <w:ind w:right="12"/>
              <w:spacing w:after="0" w:line="81" w:lineRule="exact"/>
              <w:rPr>
                <w:sz w:val="20"/>
                <w:szCs w:val="20"/>
                <w:color w:val="auto"/>
              </w:rPr>
            </w:pPr>
            <w:r>
              <w:rPr>
                <w:rFonts w:ascii="Arial" w:cs="Arial" w:eastAsia="Arial" w:hAnsi="Arial"/>
                <w:sz w:val="9"/>
                <w:szCs w:val="9"/>
                <w:color w:val="auto"/>
              </w:rPr>
              <w:t>75,000(9)</w:t>
            </w:r>
          </w:p>
        </w:tc>
        <w:tc>
          <w:tcPr>
            <w:tcW w:w="100" w:type="dxa"/>
            <w:vAlign w:val="bottom"/>
            <w:tcBorders>
              <w:bottom w:val="single" w:sz="8" w:color="00C08A"/>
            </w:tcBorders>
          </w:tcPr>
          <w:p>
            <w:pPr>
              <w:spacing w:after="0"/>
              <w:rPr>
                <w:sz w:val="7"/>
                <w:szCs w:val="7"/>
                <w:color w:val="auto"/>
              </w:rPr>
            </w:pPr>
          </w:p>
        </w:tc>
        <w:tc>
          <w:tcPr>
            <w:tcW w:w="1100" w:type="dxa"/>
            <w:vAlign w:val="bottom"/>
            <w:tcBorders>
              <w:bottom w:val="single" w:sz="8" w:color="00C08A"/>
            </w:tcBorders>
            <w:gridSpan w:val="2"/>
            <w:vMerge w:val="continue"/>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5"/>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Cindy Lee</w:t>
            </w:r>
          </w:p>
        </w:tc>
        <w:tc>
          <w:tcPr>
            <w:tcW w:w="640" w:type="dxa"/>
            <w:vAlign w:val="bottom"/>
            <w:shd w:val="clear" w:color="auto" w:fill="CCEEFF"/>
          </w:tcPr>
          <w:p>
            <w:pPr>
              <w:ind w:left="600"/>
              <w:spacing w:after="0" w:line="15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69,612</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80" w:type="dxa"/>
            <w:vAlign w:val="bottom"/>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920" w:type="dxa"/>
            <w:vAlign w:val="bottom"/>
            <w:gridSpan w:val="2"/>
            <w:shd w:val="clear" w:color="auto" w:fill="CCEEFF"/>
          </w:tcPr>
          <w:p>
            <w:pPr>
              <w:jc w:val="right"/>
              <w:ind w:right="12"/>
              <w:spacing w:after="0" w:line="63" w:lineRule="exact"/>
              <w:rPr>
                <w:sz w:val="20"/>
                <w:szCs w:val="20"/>
                <w:color w:val="auto"/>
              </w:rPr>
            </w:pPr>
            <w:r>
              <w:rPr>
                <w:rFonts w:ascii="Arial" w:cs="Arial" w:eastAsia="Arial" w:hAnsi="Arial"/>
                <w:sz w:val="7"/>
                <w:szCs w:val="7"/>
                <w:color w:val="auto"/>
              </w:rPr>
              <w:t>1,951(2)</w:t>
            </w: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0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237,843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6,666(2)</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220,502</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6,180(5)</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294,217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8,246(6)</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1,248,800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540" w:type="dxa"/>
            <w:vAlign w:val="bottom"/>
            <w:tcBorders>
              <w:bottom w:val="single" w:sz="8" w:color="00C08A"/>
            </w:tcBorders>
            <w:shd w:val="clear" w:color="auto" w:fill="CCEEFF"/>
          </w:tcPr>
          <w:p>
            <w:pPr>
              <w:spacing w:after="0"/>
              <w:rPr>
                <w:sz w:val="7"/>
                <w:szCs w:val="7"/>
                <w:color w:val="auto"/>
              </w:rPr>
            </w:pPr>
          </w:p>
        </w:tc>
        <w:tc>
          <w:tcPr>
            <w:tcW w:w="320" w:type="dxa"/>
            <w:vAlign w:val="bottom"/>
            <w:tcBorders>
              <w:bottom w:val="single" w:sz="8" w:color="00C08A"/>
            </w:tcBorders>
            <w:shd w:val="clear" w:color="auto" w:fill="CCEEFF"/>
          </w:tcPr>
          <w:p>
            <w:pPr>
              <w:spacing w:after="0"/>
              <w:rPr>
                <w:sz w:val="7"/>
                <w:szCs w:val="7"/>
                <w:color w:val="auto"/>
              </w:rPr>
            </w:pPr>
          </w:p>
        </w:tc>
        <w:tc>
          <w:tcPr>
            <w:tcW w:w="260" w:type="dxa"/>
            <w:vAlign w:val="bottom"/>
            <w:tcBorders>
              <w:bottom w:val="single" w:sz="8" w:color="00C08A"/>
            </w:tcBorders>
            <w:shd w:val="clear" w:color="auto" w:fill="CCEEFF"/>
          </w:tcPr>
          <w:p>
            <w:pPr>
              <w:spacing w:after="0"/>
              <w:rPr>
                <w:sz w:val="7"/>
                <w:szCs w:val="7"/>
                <w:color w:val="auto"/>
              </w:rPr>
            </w:pPr>
          </w:p>
        </w:tc>
        <w:tc>
          <w:tcPr>
            <w:tcW w:w="96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620" w:type="dxa"/>
            <w:vAlign w:val="bottom"/>
            <w:tcBorders>
              <w:bottom w:val="single" w:sz="8" w:color="00C08A"/>
            </w:tcBorders>
            <w:shd w:val="clear" w:color="auto" w:fill="CCEEFF"/>
          </w:tcPr>
          <w:p>
            <w:pPr>
              <w:spacing w:after="0"/>
              <w:rPr>
                <w:sz w:val="7"/>
                <w:szCs w:val="7"/>
                <w:color w:val="auto"/>
              </w:rPr>
            </w:pPr>
          </w:p>
        </w:tc>
        <w:tc>
          <w:tcPr>
            <w:tcW w:w="240" w:type="dxa"/>
            <w:vAlign w:val="bottom"/>
            <w:tcBorders>
              <w:bottom w:val="single" w:sz="8" w:color="00C08A"/>
            </w:tcBorders>
            <w:shd w:val="clear" w:color="auto" w:fill="CCEEFF"/>
          </w:tcPr>
          <w:p>
            <w:pPr>
              <w:spacing w:after="0"/>
              <w:rPr>
                <w:sz w:val="7"/>
                <w:szCs w:val="7"/>
                <w:color w:val="auto"/>
              </w:rPr>
            </w:pPr>
          </w:p>
        </w:tc>
        <w:tc>
          <w:tcPr>
            <w:tcW w:w="720" w:type="dxa"/>
            <w:vAlign w:val="bottom"/>
            <w:tcBorders>
              <w:bottom w:val="single" w:sz="8" w:color="00C08A"/>
            </w:tcBorders>
            <w:shd w:val="clear" w:color="auto" w:fill="CCEEFF"/>
          </w:tcPr>
          <w:p>
            <w:pPr>
              <w:spacing w:after="0"/>
              <w:rPr>
                <w:sz w:val="7"/>
                <w:szCs w:val="7"/>
                <w:color w:val="auto"/>
              </w:rPr>
            </w:pPr>
          </w:p>
        </w:tc>
        <w:tc>
          <w:tcPr>
            <w:tcW w:w="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vMerge w:val="continue"/>
            <w:shd w:val="clear" w:color="auto" w:fill="CCEEFF"/>
          </w:tcPr>
          <w:p>
            <w:pPr>
              <w:spacing w:after="0"/>
              <w:rPr>
                <w:sz w:val="7"/>
                <w:szCs w:val="7"/>
                <w:color w:val="auto"/>
              </w:rPr>
            </w:pPr>
          </w:p>
        </w:tc>
        <w:tc>
          <w:tcPr>
            <w:tcW w:w="920" w:type="dxa"/>
            <w:vAlign w:val="bottom"/>
            <w:tcBorders>
              <w:bottom w:val="single" w:sz="8" w:color="00C08A"/>
            </w:tcBorders>
            <w:gridSpan w:val="2"/>
            <w:shd w:val="clear" w:color="auto" w:fill="CCEEFF"/>
          </w:tcPr>
          <w:p>
            <w:pPr>
              <w:jc w:val="right"/>
              <w:ind w:right="12"/>
              <w:spacing w:after="0" w:line="81" w:lineRule="exact"/>
              <w:rPr>
                <w:sz w:val="20"/>
                <w:szCs w:val="20"/>
                <w:color w:val="auto"/>
              </w:rPr>
            </w:pPr>
            <w:r>
              <w:rPr>
                <w:rFonts w:ascii="Arial" w:cs="Arial" w:eastAsia="Arial" w:hAnsi="Arial"/>
                <w:sz w:val="9"/>
                <w:szCs w:val="9"/>
                <w:color w:val="auto"/>
              </w:rPr>
              <w:t>35,000(8)</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Sean P. Galvin</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54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535,200</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ind w:left="340"/>
              <w:spacing w:after="0" w:line="76"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ind w:left="220"/>
              <w:spacing w:after="0" w:line="76"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2"/>
              <w:spacing w:after="0" w:line="76" w:lineRule="exact"/>
              <w:rPr>
                <w:sz w:val="20"/>
                <w:szCs w:val="20"/>
                <w:color w:val="auto"/>
              </w:rPr>
            </w:pPr>
            <w:r>
              <w:rPr>
                <w:rFonts w:ascii="Arial" w:cs="Arial" w:eastAsia="Arial" w:hAnsi="Arial"/>
                <w:sz w:val="8"/>
                <w:szCs w:val="8"/>
                <w:color w:val="auto"/>
              </w:rPr>
              <w:t>15,000(2)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83,527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2,341(2)</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235,203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6,592(5)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283,727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gridSpan w:val="2"/>
          </w:tcPr>
          <w:p>
            <w:pPr>
              <w:jc w:val="right"/>
              <w:ind w:right="12"/>
              <w:spacing w:after="0" w:line="181" w:lineRule="exact"/>
              <w:rPr>
                <w:sz w:val="20"/>
                <w:szCs w:val="20"/>
                <w:color w:val="auto"/>
              </w:rPr>
            </w:pPr>
            <w:r>
              <w:rPr>
                <w:rFonts w:ascii="Arial" w:cs="Arial" w:eastAsia="Arial" w:hAnsi="Arial"/>
                <w:sz w:val="18"/>
                <w:szCs w:val="18"/>
                <w:color w:val="auto"/>
              </w:rPr>
              <w:t>7,952(6)</w:t>
            </w: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-45085</wp:posOffset>
            </wp:positionV>
            <wp:extent cx="58293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80" w:right="260" w:hanging="218"/>
        <w:spacing w:after="0" w:line="304"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Market value is based on the closing price of a share of our Class A common stock on December 31, 2023 (the last trading day of fiscal year 2024) equal to $35.68.</w:t>
      </w:r>
    </w:p>
    <w:p>
      <w:pPr>
        <w:spacing w:after="0" w:line="10"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restricted stock units will vest on February 3, 2025.</w:t>
      </w:r>
    </w:p>
    <w:p>
      <w:pPr>
        <w:spacing w:after="0" w:line="95" w:lineRule="exact"/>
        <w:rPr>
          <w:rFonts w:ascii="Arial" w:cs="Arial" w:eastAsia="Arial" w:hAnsi="Arial"/>
          <w:sz w:val="14"/>
          <w:szCs w:val="14"/>
          <w:color w:val="auto"/>
        </w:rPr>
      </w:pPr>
    </w:p>
    <w:p>
      <w:pPr>
        <w:ind w:left="980" w:right="260" w:hanging="218"/>
        <w:spacing w:after="0" w:line="305"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as further described above under “Cifu Equity Awards” that will vest on January 31, 2025.</w:t>
      </w:r>
    </w:p>
    <w:p>
      <w:pPr>
        <w:spacing w:after="0" w:line="22"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that will vest on January 31, 2025.</w:t>
      </w:r>
    </w:p>
    <w:p>
      <w:pPr>
        <w:spacing w:after="0" w:line="95"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February 3, 2025, and February 3, 2026.</w:t>
      </w:r>
    </w:p>
    <w:p>
      <w:pPr>
        <w:spacing w:after="0" w:line="82"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February 2, 2025, February 2, 2026, and February 2, 2027.</w:t>
      </w:r>
    </w:p>
    <w:p>
      <w:pPr>
        <w:spacing w:after="0" w:line="95" w:lineRule="exact"/>
        <w:rPr>
          <w:rFonts w:ascii="Arial" w:cs="Arial" w:eastAsia="Arial" w:hAnsi="Arial"/>
          <w:sz w:val="14"/>
          <w:szCs w:val="14"/>
          <w:color w:val="auto"/>
        </w:rPr>
      </w:pPr>
    </w:p>
    <w:p>
      <w:pPr>
        <w:ind w:left="980" w:right="260" w:hanging="218"/>
        <w:spacing w:after="0" w:line="305"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as further described above under “Cifu Equity Awards” that will vest on January 31, 2025 and January 31, 2026.</w:t>
      </w:r>
    </w:p>
    <w:p>
      <w:pPr>
        <w:spacing w:after="0" w:line="22"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August 1, 2025, August 1, 2026, and August 1, 2027.</w:t>
      </w:r>
    </w:p>
    <w:p>
      <w:pPr>
        <w:spacing w:after="0" w:line="95"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that will vest on January 31, 2025 and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220980</wp:posOffset>
            </wp:positionV>
            <wp:extent cx="754380" cy="2400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jc w:val="center"/>
        <w:ind w:right="-619"/>
        <w:spacing w:after="0"/>
        <w:rPr>
          <w:sz w:val="20"/>
          <w:szCs w:val="20"/>
          <w:color w:val="auto"/>
        </w:rPr>
      </w:pPr>
      <w:r>
        <w:rPr>
          <w:rFonts w:ascii="Arial" w:cs="Arial" w:eastAsia="Arial" w:hAnsi="Arial"/>
          <w:sz w:val="29"/>
          <w:szCs w:val="29"/>
          <w:color w:val="00C08A"/>
        </w:rPr>
        <w:t>STOCK VESTED</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29"/>
          <w:szCs w:val="29"/>
          <w:color w:val="00C08A"/>
        </w:rPr>
        <w:t>DURING FISCAL YEAR 2024</w:t>
      </w:r>
    </w:p>
    <w:p>
      <w:pPr>
        <w:spacing w:after="0" w:line="84" w:lineRule="exact"/>
        <w:rPr>
          <w:sz w:val="20"/>
          <w:szCs w:val="20"/>
          <w:color w:val="auto"/>
        </w:rPr>
      </w:pPr>
    </w:p>
    <w:p>
      <w:pPr>
        <w:ind w:left="760" w:right="540"/>
        <w:spacing w:after="0" w:line="287" w:lineRule="auto"/>
        <w:rPr>
          <w:sz w:val="20"/>
          <w:szCs w:val="20"/>
          <w:color w:val="auto"/>
        </w:rPr>
      </w:pPr>
      <w:r>
        <w:rPr>
          <w:rFonts w:ascii="Arial" w:cs="Arial" w:eastAsia="Arial" w:hAnsi="Arial"/>
          <w:sz w:val="18"/>
          <w:szCs w:val="18"/>
          <w:color w:val="auto"/>
        </w:rPr>
        <w:t>The following table sets forth as to each of the named executive officers’ information on the vesting of restricted stock units during 2024.</w:t>
      </w:r>
    </w:p>
    <w:p>
      <w:pPr>
        <w:spacing w:after="0" w:line="82"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3900" w:type="dxa"/>
            <w:vAlign w:val="bottom"/>
          </w:tcPr>
          <w:p>
            <w:pPr>
              <w:spacing w:after="0"/>
              <w:rPr>
                <w:sz w:val="20"/>
                <w:szCs w:val="20"/>
                <w:color w:val="auto"/>
              </w:rPr>
            </w:pPr>
            <w:r>
              <w:rPr>
                <w:rFonts w:ascii="Arial" w:cs="Arial" w:eastAsia="Arial" w:hAnsi="Arial"/>
                <w:sz w:val="14"/>
                <w:szCs w:val="14"/>
                <w:b w:val="1"/>
                <w:bCs w:val="1"/>
                <w:color w:val="002453"/>
              </w:rPr>
              <w:t>​</w:t>
            </w:r>
          </w:p>
        </w:tc>
        <w:tc>
          <w:tcPr>
            <w:tcW w:w="2460" w:type="dxa"/>
            <w:vAlign w:val="bottom"/>
          </w:tcPr>
          <w:p>
            <w:pPr>
              <w:ind w:left="2320"/>
              <w:spacing w:after="0"/>
              <w:rPr>
                <w:sz w:val="20"/>
                <w:szCs w:val="20"/>
                <w:color w:val="auto"/>
              </w:rPr>
            </w:pPr>
            <w:r>
              <w:rPr>
                <w:rFonts w:ascii="Arial" w:cs="Arial" w:eastAsia="Arial" w:hAnsi="Arial"/>
                <w:sz w:val="14"/>
                <w:szCs w:val="14"/>
                <w:b w:val="1"/>
                <w:bCs w:val="1"/>
                <w:color w:val="002453"/>
              </w:rPr>
              <w:t>​ ​</w:t>
            </w:r>
          </w:p>
        </w:tc>
        <w:tc>
          <w:tcPr>
            <w:tcW w:w="60" w:type="dxa"/>
            <w:vAlign w:val="bottom"/>
          </w:tcPr>
          <w:p>
            <w:pPr>
              <w:spacing w:after="0"/>
              <w:rPr>
                <w:sz w:val="18"/>
                <w:szCs w:val="18"/>
                <w:color w:val="auto"/>
              </w:rPr>
            </w:pPr>
          </w:p>
        </w:tc>
        <w:tc>
          <w:tcPr>
            <w:tcW w:w="1860" w:type="dxa"/>
            <w:vAlign w:val="bottom"/>
            <w:tcBorders>
              <w:bottom w:val="single" w:sz="8" w:color="00C08A"/>
            </w:tcBorders>
            <w:gridSpan w:val="3"/>
          </w:tcPr>
          <w:p>
            <w:pPr>
              <w:ind w:left="920"/>
              <w:spacing w:after="0"/>
              <w:rPr>
                <w:sz w:val="20"/>
                <w:szCs w:val="20"/>
                <w:color w:val="auto"/>
              </w:rPr>
            </w:pPr>
            <w:r>
              <w:rPr>
                <w:rFonts w:ascii="Arial" w:cs="Arial" w:eastAsia="Arial" w:hAnsi="Arial"/>
                <w:sz w:val="14"/>
                <w:szCs w:val="14"/>
                <w:b w:val="1"/>
                <w:bCs w:val="1"/>
                <w:color w:val="002453"/>
                <w:w w:val="99"/>
              </w:rPr>
              <w:t>Stock Awards</w:t>
            </w:r>
          </w:p>
        </w:tc>
        <w:tc>
          <w:tcPr>
            <w:tcW w:w="900" w:type="dxa"/>
            <w:vAlign w:val="bottom"/>
            <w:tcBorders>
              <w:bottom w:val="single" w:sz="8" w:color="00C08A"/>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453"/>
              </w:rPr>
              <w:t>Number of Shares</w:t>
            </w:r>
          </w:p>
        </w:tc>
        <w:tc>
          <w:tcPr>
            <w:tcW w:w="24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Value Realized 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Acquired on</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w w:val="98"/>
              </w:rPr>
              <w:t>Vesting</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319"/>
              <w:spacing w:after="0" w:line="139" w:lineRule="exact"/>
              <w:rPr>
                <w:sz w:val="20"/>
                <w:szCs w:val="20"/>
                <w:color w:val="auto"/>
              </w:rPr>
            </w:pPr>
            <w:r>
              <w:rPr>
                <w:rFonts w:ascii="Arial" w:cs="Arial" w:eastAsia="Arial" w:hAnsi="Arial"/>
                <w:sz w:val="14"/>
                <w:szCs w:val="14"/>
                <w:b w:val="1"/>
                <w:bCs w:val="1"/>
                <w:color w:val="002453"/>
                <w:w w:val="98"/>
              </w:rPr>
              <w:t>Vesting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90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2460" w:type="dxa"/>
            <w:vAlign w:val="bottom"/>
            <w:tcBorders>
              <w:bottom w:val="single" w:sz="8" w:color="00C08A"/>
            </w:tcBorders>
          </w:tcPr>
          <w:p>
            <w:pPr>
              <w:ind w:left="2360"/>
              <w:spacing w:after="0"/>
              <w:rPr>
                <w:sz w:val="20"/>
                <w:szCs w:val="20"/>
                <w:color w:val="auto"/>
              </w:rPr>
            </w:pPr>
            <w:r>
              <w:rPr>
                <w:rFonts w:ascii="Arial" w:cs="Arial" w:eastAsia="Arial" w:hAnsi="Arial"/>
                <w:sz w:val="14"/>
                <w:szCs w:val="14"/>
                <w:b w:val="1"/>
                <w:bCs w:val="1"/>
                <w:color w:val="002453"/>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4"/>
                <w:szCs w:val="14"/>
                <w:b w:val="1"/>
                <w:bCs w:val="1"/>
                <w:color w:val="002453"/>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9"/>
              </w:rPr>
              <w:t>(#)(7)</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360" w:type="dxa"/>
            <w:vAlign w:val="bottom"/>
            <w:tcBorders>
              <w:bottom w:val="single" w:sz="8" w:color="00C08A"/>
            </w:tcBorders>
          </w:tcPr>
          <w:p>
            <w:pPr>
              <w:spacing w:after="0"/>
              <w:rPr>
                <w:sz w:val="18"/>
                <w:szCs w:val="18"/>
                <w:color w:val="auto"/>
              </w:rPr>
            </w:pPr>
          </w:p>
        </w:tc>
        <w:tc>
          <w:tcPr>
            <w:tcW w:w="900" w:type="dxa"/>
            <w:vAlign w:val="bottom"/>
            <w:tcBorders>
              <w:bottom w:val="single" w:sz="8" w:color="00C08A"/>
            </w:tcBorders>
          </w:tcPr>
          <w:p>
            <w:pPr>
              <w:jc w:val="center"/>
              <w:ind w:right="279"/>
              <w:spacing w:after="0"/>
              <w:rPr>
                <w:sz w:val="20"/>
                <w:szCs w:val="20"/>
                <w:color w:val="auto"/>
              </w:rPr>
            </w:pPr>
            <w:r>
              <w:rPr>
                <w:rFonts w:ascii="Arial" w:cs="Arial" w:eastAsia="Arial" w:hAnsi="Arial"/>
                <w:sz w:val="14"/>
                <w:szCs w:val="14"/>
                <w:b w:val="1"/>
                <w:bCs w:val="1"/>
                <w:color w:val="002453"/>
              </w:rPr>
              <w:t>($)</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Douglas A. Cifu(1)</w:t>
            </w:r>
          </w:p>
        </w:tc>
        <w:tc>
          <w:tcPr>
            <w:tcW w:w="2460" w:type="dxa"/>
            <w:vAlign w:val="bottom"/>
            <w:tcBorders>
              <w:bottom w:val="single" w:sz="8" w:color="00C08A"/>
            </w:tcBorders>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​183,696</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​3,088,788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Joseph Molluso(2)</w:t>
            </w:r>
          </w:p>
        </w:tc>
        <w:tc>
          <w:tcPr>
            <w:tcW w:w="2460" w:type="dxa"/>
            <w:vAlign w:val="bottom"/>
            <w:tcBorders>
              <w:bottom w:val="single" w:sz="8" w:color="00C08A"/>
            </w:tcBorders>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 88,647</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tcPr>
          <w:p>
            <w:pPr>
              <w:jc w:val="right"/>
              <w:ind w:right="139"/>
              <w:spacing w:after="0"/>
              <w:rPr>
                <w:sz w:val="20"/>
                <w:szCs w:val="20"/>
                <w:color w:val="auto"/>
              </w:rPr>
            </w:pPr>
            <w:r>
              <w:rPr>
                <w:rFonts w:ascii="Arial" w:cs="Arial" w:eastAsia="Arial" w:hAnsi="Arial"/>
                <w:sz w:val="18"/>
                <w:szCs w:val="18"/>
                <w:color w:val="auto"/>
              </w:rPr>
              <w:t>​1,490,457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Fairclough(3)</w:t>
            </w:r>
          </w:p>
        </w:tc>
        <w:tc>
          <w:tcPr>
            <w:tcW w:w="2460" w:type="dxa"/>
            <w:vAlign w:val="bottom"/>
            <w:tcBorders>
              <w:bottom w:val="single" w:sz="8" w:color="00C08A"/>
            </w:tcBorders>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88,104</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​1,481,368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Stephen Cavoli(4)</w:t>
            </w:r>
          </w:p>
        </w:tc>
        <w:tc>
          <w:tcPr>
            <w:tcW w:w="2460" w:type="dxa"/>
            <w:vAlign w:val="bottom"/>
            <w:tcBorders>
              <w:bottom w:val="single" w:sz="8" w:color="00C08A"/>
            </w:tcBorders>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 86,336</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tcPr>
          <w:p>
            <w:pPr>
              <w:jc w:val="right"/>
              <w:ind w:right="139"/>
              <w:spacing w:after="0"/>
              <w:rPr>
                <w:sz w:val="20"/>
                <w:szCs w:val="20"/>
                <w:color w:val="auto"/>
              </w:rPr>
            </w:pPr>
            <w:r>
              <w:rPr>
                <w:rFonts w:ascii="Arial" w:cs="Arial" w:eastAsia="Arial" w:hAnsi="Arial"/>
                <w:sz w:val="18"/>
                <w:szCs w:val="18"/>
                <w:color w:val="auto"/>
              </w:rPr>
              <w:t>​1,451,577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Cindy Lee(5)</w:t>
            </w:r>
          </w:p>
        </w:tc>
        <w:tc>
          <w:tcPr>
            <w:tcW w:w="2460" w:type="dxa"/>
            <w:vAlign w:val="bottom"/>
            <w:tcBorders>
              <w:bottom w:val="single" w:sz="8" w:color="00C08A"/>
            </w:tcBorders>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17,206</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0C08A"/>
            </w:tcBorders>
            <w:shd w:val="clear" w:color="auto" w:fill="CCEEFF"/>
          </w:tcPr>
          <w:p>
            <w:pPr>
              <w:jc w:val="right"/>
              <w:ind w:right="139"/>
              <w:spacing w:after="0"/>
              <w:rPr>
                <w:sz w:val="20"/>
                <w:szCs w:val="20"/>
                <w:color w:val="auto"/>
              </w:rPr>
            </w:pPr>
            <w:r>
              <w:rPr>
                <w:rFonts w:ascii="Arial" w:cs="Arial" w:eastAsia="Arial" w:hAnsi="Arial"/>
                <w:sz w:val="18"/>
                <w:szCs w:val="18"/>
                <w:color w:val="auto"/>
              </w:rPr>
              <w:t>289,921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Sean P. Galvin(6)</w:t>
            </w:r>
          </w:p>
        </w:tc>
        <w:tc>
          <w:tcPr>
            <w:tcW w:w="2460" w:type="dxa"/>
            <w:vAlign w:val="bottom"/>
            <w:tcBorders>
              <w:bottom w:val="single" w:sz="8" w:color="00C08A"/>
            </w:tcBorders>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 25,940</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0C08A"/>
            </w:tcBorders>
          </w:tcPr>
          <w:p>
            <w:pPr>
              <w:jc w:val="right"/>
              <w:ind w:right="139"/>
              <w:spacing w:after="0"/>
              <w:rPr>
                <w:sz w:val="20"/>
                <w:szCs w:val="20"/>
                <w:color w:val="auto"/>
              </w:rPr>
            </w:pPr>
            <w:r>
              <w:rPr>
                <w:rFonts w:ascii="Arial" w:cs="Arial" w:eastAsia="Arial" w:hAnsi="Arial"/>
                <w:sz w:val="18"/>
                <w:szCs w:val="18"/>
                <w:color w:val="auto"/>
              </w:rPr>
              <w:t>437,089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980" w:right="140" w:hanging="218"/>
        <w:spacing w:after="0" w:line="282"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Cifu, this includes the vesting of 18,084 RSUs on February 1, 2024, at a closing price of $16.74, 75,000 RSUs on January 31, 2024, at a closing price of $16.79, 48,600 RSUs on February 2, 2024, at a closing price of $16.85, 16,261 RSUs on February 2, 2024 at a closing price of $16.85 and 25,751 RSUs on February 3, 2024 at a closing price of $16.85, the latter two of which awards were subject to a deferral election under the DCP.</w:t>
      </w:r>
    </w:p>
    <w:p>
      <w:pPr>
        <w:spacing w:after="0" w:line="80" w:lineRule="exact"/>
        <w:rPr>
          <w:rFonts w:ascii="Arial" w:cs="Arial" w:eastAsia="Arial" w:hAnsi="Arial"/>
          <w:sz w:val="14"/>
          <w:szCs w:val="14"/>
          <w:color w:val="auto"/>
        </w:rPr>
      </w:pPr>
    </w:p>
    <w:p>
      <w:pPr>
        <w:ind w:left="980" w:right="140" w:hanging="218"/>
        <w:spacing w:after="0" w:line="282"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Molluso, this includes the vesting of 37,500 RSUs on January 31, 2024, at a closing price of $16.79, 9,042 RSUs on February 1, 2024, at a closing price of $16.74, 22,386 RSUs on February 2, 2024, at a closing price of $16.85, 8,131 RSUs on February 4, 2024, at a closing price of $16.85 and 11,588 RSUs on February 3, 2024, at a closing price of $16.85, the latter two were subject to a deferral election under the DCP.</w:t>
      </w:r>
    </w:p>
    <w:p>
      <w:pPr>
        <w:spacing w:after="0" w:line="66" w:lineRule="exact"/>
        <w:rPr>
          <w:rFonts w:ascii="Arial" w:cs="Arial" w:eastAsia="Arial" w:hAnsi="Arial"/>
          <w:sz w:val="14"/>
          <w:szCs w:val="14"/>
          <w:color w:val="auto"/>
        </w:rPr>
      </w:pPr>
    </w:p>
    <w:p>
      <w:pPr>
        <w:ind w:left="980" w:right="60" w:hanging="218"/>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Fairclough, this includes the vesting of 8,499 RSUs on February 1, 2024, at a closing price of $16.74, 8,131 RSUs on February 3, 2024, at a closing price of $16.85, 37,500 RSUs on January 31, 2024, at a closing price of $16.79, 11,588 RSUs on February 3, 2024, at a closing price of $16.85 and 22,386 RSUs on February 2, 2024, at a closing price of $16.85.</w:t>
      </w:r>
    </w:p>
    <w:p>
      <w:pPr>
        <w:spacing w:after="0" w:line="58" w:lineRule="exact"/>
        <w:rPr>
          <w:rFonts w:ascii="Arial" w:cs="Arial" w:eastAsia="Arial" w:hAnsi="Arial"/>
          <w:sz w:val="14"/>
          <w:szCs w:val="14"/>
          <w:color w:val="auto"/>
        </w:rPr>
      </w:pPr>
    </w:p>
    <w:p>
      <w:pPr>
        <w:ind w:left="980" w:right="100" w:hanging="218"/>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Cavoli, this includes the vesting of 8,499 RSUs on February 1, 2024, at a closing price of $16.74, 8,131 RSUs on February 3, 2024, at a closing price of $16.85, 37,500 RSUs on January 31, 2024, at a closing price of $16.79, 11,588 RSUs on February 3, 2024, at a closing price of $16.85 and 20,618 RSUs on February 2, 2024, at a closing price of $16.85.</w:t>
      </w:r>
    </w:p>
    <w:p>
      <w:pPr>
        <w:spacing w:after="0" w:line="58" w:lineRule="exact"/>
        <w:rPr>
          <w:rFonts w:ascii="Arial" w:cs="Arial" w:eastAsia="Arial" w:hAnsi="Arial"/>
          <w:sz w:val="14"/>
          <w:szCs w:val="14"/>
          <w:color w:val="auto"/>
        </w:rPr>
      </w:pPr>
    </w:p>
    <w:p>
      <w:pPr>
        <w:jc w:val="both"/>
        <w:ind w:left="980" w:right="160" w:hanging="218"/>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Ms. Lee, this includes the vesting of 6,667 RSUs on February 3, 2024, at a closing price of $16.85, 1,951 RSUs on February 3, 2024, at a closing price of $16.85, 3,090 RSUs on February 3, 2024, at a closing price of $16.85 and 5,498 RSUs on February 2, 2024, at a closing price of $16.85.</w:t>
      </w:r>
    </w:p>
    <w:p>
      <w:pPr>
        <w:spacing w:after="0" w:line="58" w:lineRule="exact"/>
        <w:rPr>
          <w:rFonts w:ascii="Arial" w:cs="Arial" w:eastAsia="Arial" w:hAnsi="Arial"/>
          <w:sz w:val="14"/>
          <w:szCs w:val="14"/>
          <w:color w:val="auto"/>
        </w:rPr>
      </w:pPr>
    </w:p>
    <w:p>
      <w:pPr>
        <w:ind w:left="980" w:right="120" w:hanging="218"/>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Galvin, this includes the vesting of 4,412 RSUs on August 12, 2023, at a closing price of $18.79, 15,000 RSUs on February 3, 2023, at a closing price of $19.41, 2,341 RSUs on February 3, 2023, at a closing price of $19.41 and 6,593 RSUs on February 3, 2023, at a closing price of $19.41.</w:t>
      </w:r>
    </w:p>
    <w:p>
      <w:pPr>
        <w:spacing w:after="0" w:line="58" w:lineRule="exact"/>
        <w:rPr>
          <w:rFonts w:ascii="Arial" w:cs="Arial" w:eastAsia="Arial" w:hAnsi="Arial"/>
          <w:sz w:val="14"/>
          <w:szCs w:val="14"/>
          <w:color w:val="auto"/>
        </w:rPr>
      </w:pPr>
    </w:p>
    <w:p>
      <w:pPr>
        <w:ind w:left="980" w:right="120" w:hanging="218"/>
        <w:spacing w:after="0" w:line="282"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number of shares delivered upon vesting of the executive’s stock awards were reduced by a number of shares with a market value equal to the applicable tax withholding amounts on their awards. As a result, the actual shares acquired by Messrs. Cifu, Molluso, Fairclough, Cavoli, Galvin and Ms. Lee upon the vesting and settlement of their stock awards was 123,237, 51,247, 53,744, 43,649 and 16,586 and 10,270,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198" w:lineRule="exact"/>
        <w:rPr>
          <w:sz w:val="20"/>
          <w:szCs w:val="20"/>
          <w:color w:val="auto"/>
        </w:rPr>
      </w:pPr>
    </w:p>
    <w:p>
      <w:pPr>
        <w:jc w:val="center"/>
        <w:ind w:right="-639"/>
        <w:spacing w:after="0"/>
        <w:rPr>
          <w:sz w:val="20"/>
          <w:szCs w:val="20"/>
          <w:color w:val="auto"/>
        </w:rPr>
      </w:pPr>
      <w:r>
        <w:rPr>
          <w:rFonts w:ascii="Arial" w:cs="Arial" w:eastAsia="Arial" w:hAnsi="Arial"/>
          <w:sz w:val="29"/>
          <w:szCs w:val="29"/>
          <w:color w:val="00C08A"/>
        </w:rPr>
        <w:t>NONQUALIFIED DEFERRED COMPENSATION</w:t>
      </w:r>
    </w:p>
    <w:p>
      <w:pPr>
        <w:spacing w:after="0" w:line="5" w:lineRule="exact"/>
        <w:rPr>
          <w:sz w:val="20"/>
          <w:szCs w:val="20"/>
          <w:color w:val="auto"/>
        </w:rPr>
      </w:pPr>
    </w:p>
    <w:p>
      <w:pPr>
        <w:jc w:val="center"/>
        <w:ind w:right="-719"/>
        <w:spacing w:after="0"/>
        <w:rPr>
          <w:sz w:val="20"/>
          <w:szCs w:val="20"/>
          <w:color w:val="auto"/>
        </w:rPr>
      </w:pPr>
      <w:r>
        <w:rPr>
          <w:rFonts w:ascii="Arial" w:cs="Arial" w:eastAsia="Arial" w:hAnsi="Arial"/>
          <w:sz w:val="29"/>
          <w:szCs w:val="29"/>
          <w:color w:val="00C08A"/>
        </w:rPr>
        <w:t>DURING FISCAL YEAR 2024</w:t>
      </w:r>
    </w:p>
    <w:p>
      <w:pPr>
        <w:spacing w:after="0" w:line="97" w:lineRule="exact"/>
        <w:rPr>
          <w:sz w:val="20"/>
          <w:szCs w:val="20"/>
          <w:color w:val="auto"/>
        </w:rPr>
      </w:pPr>
    </w:p>
    <w:p>
      <w:pPr>
        <w:jc w:val="both"/>
        <w:ind w:left="760" w:right="220"/>
        <w:spacing w:after="0" w:line="301" w:lineRule="auto"/>
        <w:rPr>
          <w:sz w:val="20"/>
          <w:szCs w:val="20"/>
          <w:color w:val="auto"/>
        </w:rPr>
      </w:pPr>
      <w:r>
        <w:rPr>
          <w:rFonts w:ascii="Arial" w:cs="Arial" w:eastAsia="Arial" w:hAnsi="Arial"/>
          <w:sz w:val="17"/>
          <w:szCs w:val="17"/>
          <w:color w:val="auto"/>
        </w:rPr>
        <w:t>The following table sets forth the information as to each of our named executive officers who participate in our DCP, as discussed in the “Employee Benefits and Perquisites — Compensation Discussion and Analysis” section above.</w:t>
      </w:r>
    </w:p>
    <w:p>
      <w:pPr>
        <w:spacing w:after="0" w:line="23"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In fiscal year 2024, only Mr. Molluso elected to defer a portion of his compensation in the form of deferred stock units. His contributions represent deferred bonus and deferred annual equity awards and are included in the amounts reported for bonus in the Summary Compensation Table for each of them. The compensation amounts for Mr. Cifu represent the vesting of previously awarded compensation in fiscal year 2024, which was subject to a prior deferral election, and which upon vesting was contributed to the DCP and converted to deferred stock units.</w:t>
      </w:r>
    </w:p>
    <w:p>
      <w:pPr>
        <w:spacing w:after="0" w:line="8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Executive</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Registrant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2453"/>
              </w:rPr>
              <w:t>Aggregate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2453"/>
              </w:rPr>
              <w:t>Aggregate</w:t>
            </w:r>
          </w:p>
        </w:tc>
        <w:tc>
          <w:tcPr>
            <w:tcW w:w="3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002453"/>
              </w:rPr>
              <w:t>Aggregate</w:t>
            </w:r>
          </w:p>
        </w:tc>
      </w:tr>
      <w:tr>
        <w:trPr>
          <w:trHeight w:val="139"/>
        </w:trPr>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Contributions</w:t>
            </w:r>
          </w:p>
        </w:tc>
        <w:tc>
          <w:tcPr>
            <w:tcW w:w="22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Contributions</w:t>
            </w:r>
          </w:p>
        </w:tc>
        <w:tc>
          <w:tcPr>
            <w:tcW w:w="138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Earnings in</w:t>
            </w:r>
          </w:p>
        </w:tc>
        <w:tc>
          <w:tcPr>
            <w:tcW w:w="11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002453"/>
              </w:rPr>
              <w:t>Withdrawals/​</w:t>
            </w:r>
          </w:p>
        </w:tc>
        <w:tc>
          <w:tcPr>
            <w:tcW w:w="10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002453"/>
              </w:rPr>
              <w:t>Balance at</w:t>
            </w:r>
          </w:p>
        </w:tc>
      </w:tr>
      <w:tr>
        <w:trPr>
          <w:trHeight w:val="212"/>
        </w:trPr>
        <w:tc>
          <w:tcPr>
            <w:tcW w:w="1720" w:type="dxa"/>
            <w:vAlign w:val="bottom"/>
          </w:tcPr>
          <w:p>
            <w:pPr>
              <w:ind w:left="20"/>
              <w:spacing w:after="0"/>
              <w:rPr>
                <w:sz w:val="20"/>
                <w:szCs w:val="20"/>
                <w:color w:val="auto"/>
              </w:rPr>
            </w:pPr>
            <w:r>
              <w:rPr>
                <w:rFonts w:ascii="Arial" w:cs="Arial" w:eastAsia="Arial" w:hAnsi="Arial"/>
                <w:sz w:val="14"/>
                <w:szCs w:val="14"/>
                <w:b w:val="1"/>
                <w:bCs w:val="1"/>
                <w:color w:val="002453"/>
              </w:rPr>
              <w:t>Name</w:t>
            </w:r>
          </w:p>
        </w:tc>
        <w:tc>
          <w:tcPr>
            <w:tcW w:w="1460" w:type="dxa"/>
            <w:vAlign w:val="bottom"/>
            <w:gridSpan w:val="2"/>
          </w:tcPr>
          <w:p>
            <w:pPr>
              <w:ind w:left="360"/>
              <w:spacing w:after="0" w:line="212" w:lineRule="exact"/>
              <w:rPr>
                <w:sz w:val="20"/>
                <w:szCs w:val="20"/>
                <w:color w:val="auto"/>
              </w:rPr>
            </w:pP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in Last FY(1)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in Last FY</w:t>
            </w:r>
          </w:p>
        </w:tc>
        <w:tc>
          <w:tcPr>
            <w:tcW w:w="2560" w:type="dxa"/>
            <w:vAlign w:val="bottom"/>
            <w:gridSpan w:val="3"/>
          </w:tcPr>
          <w:p>
            <w:pPr>
              <w:ind w:left="80"/>
              <w:spacing w:after="0" w:line="212" w:lineRule="exact"/>
              <w:rPr>
                <w:sz w:val="20"/>
                <w:szCs w:val="20"/>
                <w:color w:val="auto"/>
              </w:rPr>
            </w:pP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Last FY(2)  </w:t>
            </w: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Distributions </w:t>
            </w:r>
            <w:r>
              <w:rPr>
                <w:rFonts w:ascii="Arial" w:cs="Arial" w:eastAsia="Arial" w:hAnsi="Arial"/>
                <w:sz w:val="24"/>
                <w:szCs w:val="24"/>
                <w:b w:val="1"/>
                <w:bCs w:val="1"/>
                <w:color w:val="002453"/>
                <w:vertAlign w:val="subscript"/>
              </w:rPr>
              <w:t>​ ​</w:t>
            </w:r>
          </w:p>
        </w:tc>
        <w:tc>
          <w:tcPr>
            <w:tcW w:w="1020" w:type="dxa"/>
            <w:vAlign w:val="bottom"/>
            <w:gridSpan w:val="2"/>
          </w:tcPr>
          <w:p>
            <w:pPr>
              <w:ind w:left="60"/>
              <w:spacing w:after="0" w:line="212" w:lineRule="exact"/>
              <w:rPr>
                <w:sz w:val="20"/>
                <w:szCs w:val="20"/>
                <w:color w:val="auto"/>
              </w:rPr>
            </w:pPr>
            <w:r>
              <w:rPr>
                <w:rFonts w:ascii="Arial" w:cs="Arial" w:eastAsia="Arial" w:hAnsi="Arial"/>
                <w:sz w:val="13"/>
                <w:szCs w:val="13"/>
                <w:b w:val="1"/>
                <w:bCs w:val="1"/>
                <w:color w:val="002453"/>
              </w:rPr>
              <w:t xml:space="preserve">Last FYE(3)  </w:t>
            </w:r>
            <w:r>
              <w:rPr>
                <w:rFonts w:ascii="Arial" w:cs="Arial" w:eastAsia="Arial" w:hAnsi="Arial"/>
                <w:sz w:val="24"/>
                <w:szCs w:val="24"/>
                <w:b w:val="1"/>
                <w:bCs w:val="1"/>
                <w:color w:val="002453"/>
                <w:vertAlign w:val="subscript"/>
              </w:rPr>
              <w:t>​</w:t>
            </w:r>
          </w:p>
        </w:tc>
      </w:tr>
      <w:tr>
        <w:trPr>
          <w:trHeight w:val="263"/>
        </w:trPr>
        <w:tc>
          <w:tcPr>
            <w:tcW w:w="1720" w:type="dxa"/>
            <w:vAlign w:val="bottom"/>
            <w:tcBorders>
              <w:top w:val="single" w:sz="8" w:color="00C08A"/>
              <w:bottom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Douglas A. Cifu</w:t>
            </w:r>
          </w:p>
        </w:tc>
        <w:tc>
          <w:tcPr>
            <w:tcW w:w="500" w:type="dxa"/>
            <w:vAlign w:val="bottom"/>
            <w:tcBorders>
              <w:top w:val="single" w:sz="8" w:color="00C08A"/>
              <w:bottom w:val="single" w:sz="8" w:color="00C08A"/>
            </w:tcBorders>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$707,902</w:t>
            </w:r>
          </w:p>
        </w:tc>
        <w:tc>
          <w:tcPr>
            <w:tcW w:w="2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$7,417,386</w:t>
            </w:r>
            <w:r>
              <w:rPr>
                <w:rFonts w:ascii="Arial" w:cs="Arial" w:eastAsia="Arial" w:hAnsi="Arial"/>
                <w:sz w:val="30"/>
                <w:szCs w:val="30"/>
                <w:color w:val="auto"/>
                <w:vertAlign w:val="subscript"/>
              </w:rPr>
              <w:t>​​ ​</w:t>
            </w:r>
          </w:p>
        </w:tc>
        <w:tc>
          <w:tcPr>
            <w:tcW w:w="84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00C08A"/>
              <w:bottom w:val="single" w:sz="8" w:color="00C08A"/>
            </w:tcBorders>
            <w:gridSpan w:val="2"/>
            <w:shd w:val="clear" w:color="auto" w:fill="CCEEFF"/>
          </w:tcPr>
          <w:p>
            <w:pPr>
              <w:ind w:left="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$16,661,592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Joseph Molluso</w:t>
            </w:r>
          </w:p>
        </w:tc>
        <w:tc>
          <w:tcPr>
            <w:tcW w:w="500" w:type="dxa"/>
            <w:vAlign w:val="bottom"/>
          </w:tcPr>
          <w:p>
            <w:pPr>
              <w:ind w:left="360"/>
              <w:spacing w:after="0"/>
              <w:rPr>
                <w:sz w:val="20"/>
                <w:szCs w:val="20"/>
                <w:color w:val="auto"/>
              </w:rPr>
            </w:pPr>
            <w:r>
              <w:rPr>
                <w:rFonts w:ascii="Arial" w:cs="Arial" w:eastAsia="Arial" w:hAnsi="Arial"/>
                <w:sz w:val="18"/>
                <w:szCs w:val="18"/>
                <w:color w:val="auto"/>
              </w:rPr>
              <w:t>​ ​</w:t>
            </w:r>
          </w:p>
        </w:tc>
        <w:tc>
          <w:tcPr>
            <w:tcW w:w="96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$332,265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960" w:type="dxa"/>
            <w:vAlign w:val="bottom"/>
          </w:tcPr>
          <w:p>
            <w:pPr>
              <w:jc w:val="center"/>
              <w:spacing w:after="0" w:line="264" w:lineRule="exact"/>
              <w:rPr>
                <w:sz w:val="20"/>
                <w:szCs w:val="20"/>
                <w:color w:val="auto"/>
              </w:rPr>
            </w:pPr>
            <w:r>
              <w:rPr>
                <w:rFonts w:ascii="Arial" w:cs="Arial" w:eastAsia="Arial" w:hAnsi="Arial"/>
                <w:sz w:val="16"/>
                <w:szCs w:val="16"/>
                <w:color w:val="auto"/>
                <w:w w:val="99"/>
              </w:rPr>
              <w:t>​</w:t>
            </w:r>
            <w:r>
              <w:rPr>
                <w:rFonts w:ascii="Arial" w:cs="Arial" w:eastAsia="Arial" w:hAnsi="Arial"/>
                <w:sz w:val="30"/>
                <w:szCs w:val="30"/>
                <w:color w:val="auto"/>
                <w:w w:val="99"/>
                <w:vertAlign w:val="superscript"/>
              </w:rPr>
              <w:t>—</w:t>
            </w:r>
          </w:p>
        </w:tc>
        <w:tc>
          <w:tcPr>
            <w:tcW w:w="138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$1,173,769</w:t>
            </w:r>
            <w:r>
              <w:rPr>
                <w:rFonts w:ascii="Arial" w:cs="Arial" w:eastAsia="Arial" w:hAnsi="Arial"/>
                <w:sz w:val="30"/>
                <w:szCs w:val="30"/>
                <w:color w:val="auto"/>
                <w:vertAlign w:val="subscript"/>
              </w:rPr>
              <w:t>​​ ​</w:t>
            </w:r>
          </w:p>
        </w:tc>
        <w:tc>
          <w:tcPr>
            <w:tcW w:w="840" w:type="dxa"/>
            <w:vAlign w:val="bottom"/>
          </w:tcPr>
          <w:p>
            <w:pPr>
              <w:jc w:val="center"/>
              <w:spacing w:after="0" w:line="264" w:lineRule="exact"/>
              <w:rPr>
                <w:sz w:val="20"/>
                <w:szCs w:val="20"/>
                <w:color w:val="auto"/>
              </w:rPr>
            </w:pPr>
            <w:r>
              <w:rPr>
                <w:rFonts w:ascii="Arial" w:cs="Arial" w:eastAsia="Arial" w:hAnsi="Arial"/>
                <w:sz w:val="16"/>
                <w:szCs w:val="16"/>
                <w:color w:val="auto"/>
                <w:w w:val="89"/>
              </w:rPr>
              <w:t>​</w:t>
            </w:r>
            <w:r>
              <w:rPr>
                <w:rFonts w:ascii="Arial" w:cs="Arial" w:eastAsia="Arial" w:hAnsi="Arial"/>
                <w:sz w:val="30"/>
                <w:szCs w:val="30"/>
                <w:color w:val="auto"/>
                <w:w w:val="89"/>
                <w:vertAlign w:val="superscript"/>
              </w:rPr>
              <w:t>—</w:t>
            </w:r>
          </w:p>
        </w:tc>
        <w:tc>
          <w:tcPr>
            <w:tcW w:w="136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$ 2,532,964</w:t>
            </w:r>
            <w:r>
              <w:rPr>
                <w:rFonts w:ascii="Arial" w:cs="Arial" w:eastAsia="Arial" w:hAnsi="Arial"/>
                <w:sz w:val="30"/>
                <w:szCs w:val="30"/>
                <w:color w:val="auto"/>
                <w:vertAlign w:val="subscript"/>
              </w:rPr>
              <w:t>​</w:t>
            </w:r>
          </w:p>
        </w:tc>
      </w:tr>
      <w:tr>
        <w:trPr>
          <w:trHeight w:val="20"/>
        </w:trPr>
        <w:tc>
          <w:tcPr>
            <w:tcW w:w="172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96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960" w:type="dxa"/>
            <w:vAlign w:val="bottom"/>
            <w:shd w:val="clear" w:color="auto" w:fill="00C08A"/>
          </w:tcPr>
          <w:p>
            <w:pPr>
              <w:spacing w:after="0" w:line="20" w:lineRule="exact"/>
              <w:rPr>
                <w:sz w:val="1"/>
                <w:szCs w:val="1"/>
                <w:color w:val="auto"/>
              </w:rPr>
            </w:pPr>
          </w:p>
        </w:tc>
        <w:tc>
          <w:tcPr>
            <w:tcW w:w="1380" w:type="dxa"/>
            <w:vAlign w:val="bottom"/>
            <w:shd w:val="clear" w:color="auto" w:fill="00C08A"/>
          </w:tcPr>
          <w:p>
            <w:pPr>
              <w:spacing w:after="0" w:line="20" w:lineRule="exact"/>
              <w:rPr>
                <w:sz w:val="1"/>
                <w:szCs w:val="1"/>
                <w:color w:val="auto"/>
              </w:rPr>
            </w:pPr>
          </w:p>
        </w:tc>
        <w:tc>
          <w:tcPr>
            <w:tcW w:w="840" w:type="dxa"/>
            <w:vAlign w:val="bottom"/>
            <w:shd w:val="clear" w:color="auto" w:fill="00C08A"/>
          </w:tcPr>
          <w:p>
            <w:pPr>
              <w:spacing w:after="0" w:line="20" w:lineRule="exact"/>
              <w:rPr>
                <w:sz w:val="1"/>
                <w:szCs w:val="1"/>
                <w:color w:val="auto"/>
              </w:rPr>
            </w:pPr>
          </w:p>
        </w:tc>
        <w:tc>
          <w:tcPr>
            <w:tcW w:w="34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40" w:type="dxa"/>
            <w:vAlign w:val="bottom"/>
            <w:tcBorders>
              <w:left w:val="single" w:sz="8" w:color="00C08A"/>
            </w:tcBorders>
          </w:tcPr>
          <w:p>
            <w:pPr>
              <w:spacing w:after="0" w:line="20" w:lineRule="exact"/>
              <w:rPr>
                <w:sz w:val="1"/>
                <w:szCs w:val="1"/>
                <w:color w:val="auto"/>
              </w:rPr>
            </w:pPr>
          </w:p>
        </w:tc>
      </w:tr>
    </w:tbl>
    <w:p>
      <w:pPr>
        <w:spacing w:after="0" w:line="45" w:lineRule="exact"/>
        <w:rPr>
          <w:sz w:val="20"/>
          <w:szCs w:val="20"/>
          <w:color w:val="auto"/>
        </w:rPr>
      </w:pPr>
    </w:p>
    <w:p>
      <w:pPr>
        <w:ind w:left="980" w:right="400" w:hanging="218"/>
        <w:spacing w:after="0" w:line="325"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vest date fair value of equity awards which vested during the fiscal year and were subject to a qualifying deferral under the DCP and were issued in the form of DSUs.</w:t>
      </w:r>
    </w:p>
    <w:p>
      <w:pPr>
        <w:spacing w:after="0" w:line="36" w:lineRule="exact"/>
        <w:rPr>
          <w:rFonts w:ascii="Arial" w:cs="Arial" w:eastAsia="Arial" w:hAnsi="Arial"/>
          <w:sz w:val="14"/>
          <w:szCs w:val="14"/>
          <w:color w:val="auto"/>
        </w:rPr>
      </w:pPr>
    </w:p>
    <w:p>
      <w:pPr>
        <w:ind w:left="980" w:right="380" w:hanging="218"/>
        <w:spacing w:after="0" w:line="305"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change in value of DSUs disclosed under “Executive Contributions in Last FY” column from vest date to year end, plus the value of dividend equivalents issued in respect of such DSUs.</w:t>
      </w:r>
    </w:p>
    <w:p>
      <w:pPr>
        <w:spacing w:after="0" w:line="49" w:lineRule="exact"/>
        <w:rPr>
          <w:rFonts w:ascii="Arial" w:cs="Arial" w:eastAsia="Arial" w:hAnsi="Arial"/>
          <w:sz w:val="14"/>
          <w:szCs w:val="14"/>
          <w:color w:val="auto"/>
        </w:rPr>
      </w:pPr>
    </w:p>
    <w:p>
      <w:pPr>
        <w:ind w:left="980" w:hanging="218"/>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aggregate value of all deferred amounts by each participant as of last fiscal year end.</w:t>
      </w:r>
    </w:p>
    <w:p>
      <w:pPr>
        <w:spacing w:after="0" w:line="208" w:lineRule="exact"/>
        <w:rPr>
          <w:sz w:val="20"/>
          <w:szCs w:val="20"/>
          <w:color w:val="auto"/>
        </w:rPr>
      </w:pPr>
    </w:p>
    <w:p>
      <w:pPr>
        <w:jc w:val="center"/>
        <w:ind w:left="1280" w:right="80"/>
        <w:spacing w:after="0" w:line="257" w:lineRule="auto"/>
        <w:rPr>
          <w:sz w:val="20"/>
          <w:szCs w:val="20"/>
          <w:color w:val="auto"/>
        </w:rPr>
      </w:pPr>
      <w:r>
        <w:rPr>
          <w:rFonts w:ascii="Arial" w:cs="Arial" w:eastAsia="Arial" w:hAnsi="Arial"/>
          <w:sz w:val="29"/>
          <w:szCs w:val="29"/>
          <w:color w:val="00C08A"/>
        </w:rPr>
        <w:t>POTENTIAL PAYMENTS UPON TERMINATION OF EMPLOYMENT OR CHANGE IN CONTROL</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w:t>
      </w:r>
    </w:p>
    <w:p>
      <w:pPr>
        <w:spacing w:after="0" w:line="115" w:lineRule="exact"/>
        <w:rPr>
          <w:sz w:val="20"/>
          <w:szCs w:val="20"/>
          <w:color w:val="auto"/>
        </w:rPr>
      </w:pPr>
    </w:p>
    <w:p>
      <w:pPr>
        <w:ind w:left="760" w:right="220"/>
        <w:spacing w:after="0" w:line="257" w:lineRule="auto"/>
        <w:rPr>
          <w:sz w:val="20"/>
          <w:szCs w:val="20"/>
          <w:color w:val="auto"/>
        </w:rPr>
      </w:pPr>
      <w:r>
        <w:rPr>
          <w:rFonts w:ascii="Arial" w:cs="Arial" w:eastAsia="Arial" w:hAnsi="Arial"/>
          <w:sz w:val="17"/>
          <w:szCs w:val="17"/>
          <w:color w:val="auto"/>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Cifu Severance</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(B) continued health, dental, vision and life insurance benefits under the terms of our benefit plans for</w:t>
      </w:r>
    </w:p>
    <w:p>
      <w:pPr>
        <w:spacing w:after="0" w:line="4" w:lineRule="exact"/>
        <w:rPr>
          <w:sz w:val="20"/>
          <w:szCs w:val="20"/>
          <w:color w:val="auto"/>
        </w:rPr>
      </w:pPr>
    </w:p>
    <w:p>
      <w:pPr>
        <w:ind w:left="760" w:right="120" w:firstLine="2"/>
        <w:spacing w:after="0" w:line="255" w:lineRule="auto"/>
        <w:tabs>
          <w:tab w:leader="none" w:pos="10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twelve months or (y) the period from termination of employment through the remainder of the term, whichever is longer (the “</w:t>
      </w:r>
      <w:r>
        <w:rPr>
          <w:rFonts w:ascii="Arial" w:cs="Arial" w:eastAsia="Arial" w:hAnsi="Arial"/>
          <w:sz w:val="17"/>
          <w:szCs w:val="17"/>
          <w:b w:val="1"/>
          <w:bCs w:val="1"/>
          <w:color w:val="auto"/>
        </w:rPr>
        <w:t>Benefits Continuation Period</w:t>
      </w:r>
      <w:r>
        <w:rPr>
          <w:rFonts w:ascii="Arial" w:cs="Arial" w:eastAsia="Arial" w:hAnsi="Arial"/>
          <w:sz w:val="17"/>
          <w:szCs w:val="17"/>
          <w:color w:val="auto"/>
        </w:rPr>
        <w:t>”); and following the Benefits Continuation Period, continued participation in the Company’s health, dental, vision and life insurance until the earlier of (i) Mr. Cifu’s independents reaching the age of 26, (ii) Mr. Cifu or his spouse becoming eligible for Medicare, or (iii) Mr. Cifu becoming eligible for comparable coverage under another employer’s benefit plans, subject to Mr. Cifu’s payment of the full cost of such benefits;</w:t>
      </w:r>
    </w:p>
    <w:p>
      <w:pPr>
        <w:spacing w:after="0" w:line="1" w:lineRule="exact"/>
        <w:rPr>
          <w:rFonts w:ascii="Arial" w:cs="Arial" w:eastAsia="Arial" w:hAnsi="Arial"/>
          <w:sz w:val="17"/>
          <w:szCs w:val="17"/>
          <w:color w:val="auto"/>
        </w:rPr>
      </w:pPr>
    </w:p>
    <w:p>
      <w:pPr>
        <w:ind w:left="760" w:right="280"/>
        <w:spacing w:after="0" w:line="242" w:lineRule="auto"/>
        <w:rPr>
          <w:rFonts w:ascii="Arial" w:cs="Arial" w:eastAsia="Arial" w:hAnsi="Arial"/>
          <w:sz w:val="17"/>
          <w:szCs w:val="17"/>
          <w:color w:val="auto"/>
        </w:rPr>
      </w:pPr>
      <w:r>
        <w:rPr>
          <w:rFonts w:ascii="Arial" w:cs="Arial" w:eastAsia="Arial" w:hAnsi="Arial"/>
          <w:sz w:val="18"/>
          <w:szCs w:val="18"/>
          <w:color w:val="auto"/>
        </w:rPr>
        <w:t>(C)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Cifu Equity Acceleration</w:t>
      </w:r>
      <w:r>
        <w:rPr>
          <w:rFonts w:ascii="Arial" w:cs="Arial" w:eastAsia="Arial" w:hAnsi="Arial"/>
          <w:sz w:val="18"/>
          <w:szCs w:val="18"/>
          <w:color w:val="auto"/>
        </w:rPr>
        <w:t>”); (D) accelerated vesting of any earned but unvested shares of Class A common stock under the annual equity grant granted in the year prior to the year of termination; and (E) 150,000 shares of fully vested Class A common stock or DSUs, if elected.</w:t>
      </w:r>
    </w:p>
    <w:p>
      <w:pPr>
        <w:spacing w:after="0" w:line="72" w:lineRule="exact"/>
        <w:rPr>
          <w:sz w:val="20"/>
          <w:szCs w:val="20"/>
          <w:color w:val="auto"/>
        </w:rPr>
      </w:pPr>
    </w:p>
    <w:p>
      <w:pPr>
        <w:ind w:left="760" w:right="100"/>
        <w:spacing w:after="0" w:line="262" w:lineRule="auto"/>
        <w:rPr>
          <w:sz w:val="20"/>
          <w:szCs w:val="20"/>
          <w:color w:val="auto"/>
        </w:rPr>
      </w:pPr>
      <w:r>
        <w:rPr>
          <w:rFonts w:ascii="Arial" w:cs="Arial" w:eastAsia="Arial" w:hAnsi="Arial"/>
          <w:sz w:val="17"/>
          <w:szCs w:val="17"/>
          <w:color w:val="auto"/>
        </w:rPr>
        <w:t>Under the New Molluso Employment Agreement, if Mr. Molluso’s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Molluso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Molluso</w:t>
      </w:r>
      <w:r>
        <w:rPr>
          <w:rFonts w:ascii="Arial" w:cs="Arial" w:eastAsia="Arial" w:hAnsi="Arial"/>
          <w:sz w:val="17"/>
          <w:szCs w:val="17"/>
          <w:color w:val="auto"/>
        </w:rPr>
        <w:t xml:space="preserve"> </w:t>
      </w:r>
      <w:r>
        <w:rPr>
          <w:rFonts w:ascii="Arial" w:cs="Arial" w:eastAsia="Arial" w:hAnsi="Arial"/>
          <w:sz w:val="17"/>
          <w:szCs w:val="17"/>
          <w:b w:val="1"/>
          <w:bCs w:val="1"/>
          <w:color w:val="auto"/>
        </w:rPr>
        <w:t>Severance Amount</w:t>
      </w:r>
      <w:r>
        <w:rPr>
          <w:rFonts w:ascii="Arial" w:cs="Arial" w:eastAsia="Arial" w:hAnsi="Arial"/>
          <w:sz w:val="17"/>
          <w:szCs w:val="17"/>
          <w:color w:val="auto"/>
        </w:rPr>
        <w:t>”); (B) Mr. Molluso will receive any bonus that the Company has definitively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187960</wp:posOffset>
            </wp:positionV>
            <wp:extent cx="754380" cy="240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70" w:lineRule="auto"/>
        <w:rPr>
          <w:sz w:val="20"/>
          <w:szCs w:val="20"/>
          <w:color w:val="auto"/>
        </w:rPr>
      </w:pPr>
      <w:r>
        <w:rPr>
          <w:rFonts w:ascii="Arial" w:cs="Arial" w:eastAsia="Arial" w:hAnsi="Arial"/>
          <w:sz w:val="17"/>
          <w:szCs w:val="17"/>
          <w:color w:val="auto"/>
        </w:rPr>
        <w:t>determined to pay Mr. Molluso and which was authorized and approved, but had not yet been paid as of the date of termination; (C) Mr. Molluso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Molluso’s independents reaching the age of 26, (ii) Mr. Molluso or his spouse becoming eligible for Medicare, or (iii) Mr. Molluso becoming eligible for comparable coverage under another employer’s benefit plans, subject to Mr. Molluso’s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7"/>
          <w:szCs w:val="17"/>
          <w:b w:val="1"/>
          <w:bCs w:val="1"/>
          <w:color w:val="auto"/>
        </w:rPr>
        <w:t>Molluso Equity Acceleration</w:t>
      </w:r>
      <w:r>
        <w:rPr>
          <w:rFonts w:ascii="Arial" w:cs="Arial" w:eastAsia="Arial" w:hAnsi="Arial"/>
          <w:sz w:val="17"/>
          <w:szCs w:val="17"/>
          <w:color w:val="auto"/>
        </w:rPr>
        <w:t>”); (E) accelerated vesting of any earned but unvested shares of Class A common stock under the annual equity grant granted in the year prior to the year of termination; and (F) 75,000 shares of fully vested Class A common stock or DSUs, if elected.</w:t>
      </w:r>
    </w:p>
    <w:p>
      <w:pPr>
        <w:spacing w:after="0" w:line="65" w:lineRule="exact"/>
        <w:rPr>
          <w:sz w:val="20"/>
          <w:szCs w:val="20"/>
          <w:color w:val="auto"/>
        </w:rPr>
      </w:pPr>
    </w:p>
    <w:p>
      <w:pPr>
        <w:ind w:left="760" w:right="80"/>
        <w:spacing w:after="0" w:line="267" w:lineRule="auto"/>
        <w:rPr>
          <w:sz w:val="20"/>
          <w:szCs w:val="20"/>
          <w:color w:val="auto"/>
        </w:rPr>
      </w:pPr>
      <w:r>
        <w:rPr>
          <w:rFonts w:ascii="Arial" w:cs="Arial" w:eastAsia="Arial" w:hAnsi="Arial"/>
          <w:sz w:val="17"/>
          <w:szCs w:val="17"/>
          <w:color w:val="auto"/>
        </w:rPr>
        <w:t>Under the New Fairclough Employment Agreement, if Mr. Fairclough’s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Fairclough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Fairclough Severance Amount</w:t>
      </w:r>
      <w:r>
        <w:rPr>
          <w:rFonts w:ascii="Arial" w:cs="Arial" w:eastAsia="Arial" w:hAnsi="Arial"/>
          <w:sz w:val="17"/>
          <w:szCs w:val="17"/>
          <w:color w:val="auto"/>
        </w:rPr>
        <w:t>”); (B) Mr. Fairclough will receive any bonus that the Company has definitively determined to pay Mr. Fairclough and which was authorized and approved, but had not yet been paid as of the date of termination; (C) Mr. Fairclough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w:t>
      </w:r>
    </w:p>
    <w:p>
      <w:pPr>
        <w:ind w:left="760" w:right="120" w:firstLine="2"/>
        <w:spacing w:after="0" w:line="252" w:lineRule="auto"/>
        <w:tabs>
          <w:tab w:leader="none" w:pos="9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Fairclough’s independents reaching the age of 26, (ii) Mr. Fairclough or his spouse becoming eligible for Medicare, or (iii) Mr. Fairclough becoming eligible for comparable coverage under another employer’s benefit plans, subject to Mr. Fairclough’s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Fairclough Equity</w:t>
      </w:r>
      <w:r>
        <w:rPr>
          <w:rFonts w:ascii="Arial" w:cs="Arial" w:eastAsia="Arial" w:hAnsi="Arial"/>
          <w:sz w:val="18"/>
          <w:szCs w:val="18"/>
          <w:color w:val="auto"/>
        </w:rPr>
        <w:t xml:space="preserve"> </w:t>
      </w:r>
      <w:r>
        <w:rPr>
          <w:rFonts w:ascii="Arial" w:cs="Arial" w:eastAsia="Arial" w:hAnsi="Arial"/>
          <w:sz w:val="18"/>
          <w:szCs w:val="18"/>
          <w:b w:val="1"/>
          <w:bCs w:val="1"/>
          <w:color w:val="auto"/>
        </w:rPr>
        <w:t>Acceleration</w:t>
      </w:r>
      <w:r>
        <w:rPr>
          <w:rFonts w:ascii="Arial" w:cs="Arial" w:eastAsia="Arial" w:hAnsi="Arial"/>
          <w:sz w:val="18"/>
          <w:szCs w:val="18"/>
          <w:color w:val="auto"/>
        </w:rPr>
        <w:t>”); (E) accelerated vesting of any earned but unvested shares of Class A common stock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equity grant granted in the year prior to the year of termination; and (F) 75,000 shares of fully vested Class A common stock or DSUs, if elected.</w:t>
      </w:r>
    </w:p>
    <w:p>
      <w:pPr>
        <w:spacing w:after="0" w:line="79" w:lineRule="exact"/>
        <w:rPr>
          <w:sz w:val="20"/>
          <w:szCs w:val="20"/>
          <w:color w:val="auto"/>
        </w:rPr>
      </w:pPr>
    </w:p>
    <w:p>
      <w:pPr>
        <w:ind w:left="760" w:right="120"/>
        <w:spacing w:after="0" w:line="267" w:lineRule="auto"/>
        <w:rPr>
          <w:sz w:val="20"/>
          <w:szCs w:val="20"/>
          <w:color w:val="auto"/>
        </w:rPr>
      </w:pPr>
      <w:r>
        <w:rPr>
          <w:rFonts w:ascii="Arial" w:cs="Arial" w:eastAsia="Arial" w:hAnsi="Arial"/>
          <w:sz w:val="17"/>
          <w:szCs w:val="17"/>
          <w:color w:val="auto"/>
        </w:rPr>
        <w:t>Under Mr. Cavoli’s current employment agreement, if Mr. Cavoli’s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Cavoli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Cavoli</w:t>
      </w:r>
      <w:r>
        <w:rPr>
          <w:rFonts w:ascii="Arial" w:cs="Arial" w:eastAsia="Arial" w:hAnsi="Arial"/>
          <w:sz w:val="17"/>
          <w:szCs w:val="17"/>
          <w:color w:val="auto"/>
        </w:rPr>
        <w:t xml:space="preserve"> </w:t>
      </w:r>
      <w:r>
        <w:rPr>
          <w:rFonts w:ascii="Arial" w:cs="Arial" w:eastAsia="Arial" w:hAnsi="Arial"/>
          <w:sz w:val="17"/>
          <w:szCs w:val="17"/>
          <w:b w:val="1"/>
          <w:bCs w:val="1"/>
          <w:color w:val="auto"/>
        </w:rPr>
        <w:t>Severance Amount</w:t>
      </w:r>
      <w:r>
        <w:rPr>
          <w:rFonts w:ascii="Arial" w:cs="Arial" w:eastAsia="Arial" w:hAnsi="Arial"/>
          <w:sz w:val="17"/>
          <w:szCs w:val="17"/>
          <w:color w:val="auto"/>
        </w:rPr>
        <w:t>”); (B) Mr. Cavoli will receive any bonus that the Company has definitively determined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Mr. Cavoli and which was authorized and approved, but had not yet been paid as of the date of termination;</w:t>
      </w:r>
    </w:p>
    <w:p>
      <w:pPr>
        <w:spacing w:after="0" w:line="5" w:lineRule="exact"/>
        <w:rPr>
          <w:sz w:val="20"/>
          <w:szCs w:val="20"/>
          <w:color w:val="auto"/>
        </w:rPr>
      </w:pPr>
    </w:p>
    <w:p>
      <w:pPr>
        <w:ind w:left="760" w:right="120" w:firstLine="2"/>
        <w:spacing w:after="0" w:line="252" w:lineRule="auto"/>
        <w:tabs>
          <w:tab w:leader="none" w:pos="10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Cavoli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Cavoli’s independents reaching the age of 26, (ii) Mr. Cavoli or his spouse becoming eligible for Medicare, or (iii) Mr. Cavoli becoming eligible for comparable coverage under another employer’s benefit plans, subject to Mr. Cavoli’s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Cavoli Equity Acceleration</w:t>
      </w:r>
      <w:r>
        <w:rPr>
          <w:rFonts w:ascii="Arial" w:cs="Arial" w:eastAsia="Arial" w:hAnsi="Arial"/>
          <w:sz w:val="18"/>
          <w:szCs w:val="18"/>
          <w:color w:val="auto"/>
        </w:rPr>
        <w:t>”); (E) accelerated vesting of any earned but unvested shares of Class A common stock under the annual equity grant granted in the year prior to the year of termination; and (F) 75,000 shares of fully vested Class A common stock or DSUs, if elected.</w:t>
      </w:r>
    </w:p>
    <w:p>
      <w:pPr>
        <w:spacing w:after="0" w:line="77" w:lineRule="exact"/>
        <w:rPr>
          <w:sz w:val="20"/>
          <w:szCs w:val="20"/>
          <w:color w:val="auto"/>
        </w:rPr>
      </w:pPr>
    </w:p>
    <w:p>
      <w:pPr>
        <w:ind w:left="760" w:right="80"/>
        <w:spacing w:after="0" w:line="287" w:lineRule="auto"/>
        <w:rPr>
          <w:sz w:val="20"/>
          <w:szCs w:val="20"/>
          <w:color w:val="auto"/>
        </w:rPr>
      </w:pPr>
      <w:r>
        <w:rPr>
          <w:rFonts w:ascii="Arial" w:cs="Arial" w:eastAsia="Arial" w:hAnsi="Arial"/>
          <w:sz w:val="18"/>
          <w:szCs w:val="18"/>
          <w:color w:val="auto"/>
        </w:rPr>
        <w:t>Ms. Lee and Mr. Galvin are not entitled to any payments or benefits in connection with the termination of each of their employment.</w:t>
      </w:r>
    </w:p>
    <w:p>
      <w:pPr>
        <w:spacing w:after="0" w:line="24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 Upon a Change in Control Termination</w:t>
      </w:r>
    </w:p>
    <w:p>
      <w:pPr>
        <w:spacing w:after="0" w:line="115" w:lineRule="exact"/>
        <w:rPr>
          <w:sz w:val="20"/>
          <w:szCs w:val="20"/>
          <w:color w:val="auto"/>
        </w:rPr>
      </w:pPr>
    </w:p>
    <w:p>
      <w:pPr>
        <w:ind w:left="760" w:right="60"/>
        <w:spacing w:after="0" w:line="272" w:lineRule="auto"/>
        <w:rPr>
          <w:sz w:val="20"/>
          <w:szCs w:val="20"/>
          <w:color w:val="auto"/>
        </w:rPr>
      </w:pPr>
      <w:r>
        <w:rPr>
          <w:rFonts w:ascii="Arial" w:cs="Arial" w:eastAsia="Arial" w:hAnsi="Arial"/>
          <w:sz w:val="17"/>
          <w:szCs w:val="17"/>
          <w:color w:val="auto"/>
        </w:rPr>
        <w:t>If Mr. Cifu is terminated at any time within sixty days before, or 24 months following, a change in control, then Mr. Cifu is entitled to the payments and benefits described above, however (1) in lieu of the Cifu Severance Amount, Mr. Cifu will be entitled to receive two and a half times the sum of (x) his base salary and (y) the annual bonus (including any amounts deferred or satisfied through the grant of equity awards) most recently awarded to Mr. Cifu for a completed fiscal year of the Company; (2) the Benefits Continuation Period will be extended to (x) 24 months or (y) the period from termination of employment through the remainder of the term, whichever is longer; and (3) in lieu of the Cifu Equity Acceleration, Mr. Cifu will be entitled to a pro rata portion of all of the shares underlying his then current annual equity grant, which shall be deemed vested on the last day of the calendar year to which such award relates.</w:t>
      </w:r>
    </w:p>
    <w:p>
      <w:pPr>
        <w:spacing w:after="0" w:line="64" w:lineRule="exact"/>
        <w:rPr>
          <w:sz w:val="20"/>
          <w:szCs w:val="20"/>
          <w:color w:val="auto"/>
        </w:rPr>
      </w:pPr>
    </w:p>
    <w:p>
      <w:pPr>
        <w:ind w:left="760" w:right="200"/>
        <w:spacing w:after="0" w:line="269" w:lineRule="auto"/>
        <w:rPr>
          <w:sz w:val="20"/>
          <w:szCs w:val="20"/>
          <w:color w:val="auto"/>
        </w:rPr>
      </w:pPr>
      <w:r>
        <w:rPr>
          <w:rFonts w:ascii="Arial" w:cs="Arial" w:eastAsia="Arial" w:hAnsi="Arial"/>
          <w:sz w:val="17"/>
          <w:szCs w:val="17"/>
          <w:color w:val="auto"/>
        </w:rPr>
        <w:t>If Mr. Molluso is terminated at any time in anticipation of, or within 12 months following, a change in control, then Mr. Molluso is entitled to the payments and benefits described above, however (1) in lieu of the Molluso Severance Amount, Mr. Molluso will be entitled to receive two and a half times the sum of (x) his base salary and (y) the annual bonus (including any amounts deferred or satisfied through the grant of equity awards) most recently awarded to Mr. Molluso for a completed fiscal year of the Company; (2) the Benefits Continuation Period will be extended to</w:t>
      </w:r>
    </w:p>
    <w:p>
      <w:pPr>
        <w:spacing w:after="0" w:line="3" w:lineRule="exact"/>
        <w:rPr>
          <w:sz w:val="20"/>
          <w:szCs w:val="20"/>
          <w:color w:val="auto"/>
        </w:rPr>
      </w:pPr>
    </w:p>
    <w:p>
      <w:pPr>
        <w:ind w:left="760" w:right="140" w:firstLine="2"/>
        <w:spacing w:after="0" w:line="255" w:lineRule="auto"/>
        <w:tabs>
          <w:tab w:leader="none" w:pos="10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24 months or (y) the period from termination of employment through the remainder of the term, whichever is longer; and (3) in lieu of the Molluso Equity Acceleration, Mr. Molluso will be entitled to a pro rata portion of all of the shares underlying his then current annual equity grant, which shall be deemed vested on the last day of the calendar year to which such award relates.</w:t>
      </w:r>
    </w:p>
    <w:p>
      <w:pPr>
        <w:spacing w:after="0" w:line="74" w:lineRule="exact"/>
        <w:rPr>
          <w:sz w:val="20"/>
          <w:szCs w:val="20"/>
          <w:color w:val="auto"/>
        </w:rPr>
      </w:pPr>
    </w:p>
    <w:p>
      <w:pPr>
        <w:ind w:left="760" w:right="220"/>
        <w:spacing w:after="0" w:line="272" w:lineRule="auto"/>
        <w:rPr>
          <w:sz w:val="20"/>
          <w:szCs w:val="20"/>
          <w:color w:val="auto"/>
        </w:rPr>
      </w:pPr>
      <w:r>
        <w:rPr>
          <w:rFonts w:ascii="Arial" w:cs="Arial" w:eastAsia="Arial" w:hAnsi="Arial"/>
          <w:sz w:val="17"/>
          <w:szCs w:val="17"/>
          <w:color w:val="auto"/>
        </w:rPr>
        <w:t>If Mr. Fairclough is terminated at any time in anticipation of, or within 12 months following, a change in control, then Mr. Fairclough is entitled to the payments and benefits described above, however (1) in lieu of the Fairclough Severance Amount, Mr. Fairclough will be entitled to receive two and a half times the sum of (x) his base salary and</w:t>
      </w:r>
    </w:p>
    <w:p>
      <w:pPr>
        <w:spacing w:after="0" w:line="1" w:lineRule="exact"/>
        <w:rPr>
          <w:sz w:val="20"/>
          <w:szCs w:val="20"/>
          <w:color w:val="auto"/>
        </w:rPr>
      </w:pPr>
    </w:p>
    <w:p>
      <w:pPr>
        <w:ind w:left="760" w:right="180" w:firstLine="2"/>
        <w:spacing w:after="0" w:line="253" w:lineRule="auto"/>
        <w:tabs>
          <w:tab w:leader="none" w:pos="10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bonus (including any amounts deferred or satisfied through the grant of equity awards) most recently awarded to Mr. Fairclough for a completed fiscal year of the Company; (2) the Benefits Continuation Period will be extended to (x) 24 months or (y) the period from termination of employment through the remainder of the term, whichever is longer; and (3) in lieu of the Fairclough Equity Acceleration, Mr. Fairclough will be entitled to a pro rata portion of all of the shares underlying his then current annual equity grant, which shall be deemed vested on the last day of the calendar year to which such award relates.</w:t>
      </w:r>
    </w:p>
    <w:p>
      <w:pPr>
        <w:spacing w:after="0" w:line="77" w:lineRule="exact"/>
        <w:rPr>
          <w:sz w:val="20"/>
          <w:szCs w:val="20"/>
          <w:color w:val="auto"/>
        </w:rPr>
      </w:pPr>
    </w:p>
    <w:p>
      <w:pPr>
        <w:ind w:left="760" w:right="320"/>
        <w:spacing w:after="0" w:line="269" w:lineRule="auto"/>
        <w:rPr>
          <w:sz w:val="20"/>
          <w:szCs w:val="20"/>
          <w:color w:val="auto"/>
        </w:rPr>
      </w:pPr>
      <w:r>
        <w:rPr>
          <w:rFonts w:ascii="Arial" w:cs="Arial" w:eastAsia="Arial" w:hAnsi="Arial"/>
          <w:sz w:val="17"/>
          <w:szCs w:val="17"/>
          <w:color w:val="auto"/>
        </w:rPr>
        <w:t>If Mr. Cavoli is terminated at any time in anticipation of, or within 12 months following, a change in control, then Mr. Cavoli is entitled to the payments and benefits described above, however (1) in lieu of the Cavoli Severance Amount, Mr. Cavoli will be entitled to receive two and a half times the sum of (x) his base salary and (y) the annual bonus (including any amounts deferred or satisfied through the grant of equity awards) most recently awarded to Mr. Cavoli for a completed fiscal year of the Company; (2) the Benefits Continuation Period will be extended to</w:t>
      </w:r>
    </w:p>
    <w:p>
      <w:pPr>
        <w:spacing w:after="0" w:line="3" w:lineRule="exact"/>
        <w:rPr>
          <w:sz w:val="20"/>
          <w:szCs w:val="20"/>
          <w:color w:val="auto"/>
        </w:rPr>
      </w:pPr>
    </w:p>
    <w:p>
      <w:pPr>
        <w:ind w:left="760" w:right="140" w:firstLine="2"/>
        <w:spacing w:after="0" w:line="255" w:lineRule="auto"/>
        <w:tabs>
          <w:tab w:leader="none" w:pos="10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24 months or (y) the period from termination of employment through the remainder of the term, whichever is longer; and (3) in lieu of the Cavoli Equity Acceleration, Mr. Cavoli will be entitled to a pro rata portion of all of the shares underlying his then current annual equity grant, which shall be deemed vested on the last day of the calendar year to which such award relates.</w:t>
      </w:r>
    </w:p>
    <w:p>
      <w:pPr>
        <w:spacing w:after="0" w:line="74" w:lineRule="exact"/>
        <w:rPr>
          <w:sz w:val="20"/>
          <w:szCs w:val="20"/>
          <w:color w:val="auto"/>
        </w:rPr>
      </w:pPr>
    </w:p>
    <w:p>
      <w:pPr>
        <w:ind w:left="760" w:right="720"/>
        <w:spacing w:after="0" w:line="287" w:lineRule="auto"/>
        <w:rPr>
          <w:sz w:val="20"/>
          <w:szCs w:val="20"/>
          <w:color w:val="auto"/>
        </w:rPr>
      </w:pPr>
      <w:r>
        <w:rPr>
          <w:rFonts w:ascii="Arial" w:cs="Arial" w:eastAsia="Arial" w:hAnsi="Arial"/>
          <w:sz w:val="18"/>
          <w:szCs w:val="18"/>
          <w:color w:val="auto"/>
        </w:rPr>
        <w:t>Ms. Lee and Mr. Galvin are not entitled to any payments or benefits in connection with the termination of their employment in anticipation of, or within 12 months following, a change in control.</w:t>
      </w:r>
    </w:p>
    <w:p>
      <w:pPr>
        <w:spacing w:after="0" w:line="45"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For purposes of the employment agreements with Messrs. Cifu, Molluso, Fairclough, and Cavoli,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 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200660</wp:posOffset>
            </wp:positionV>
            <wp:extent cx="754380" cy="240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40"/>
        <w:spacing w:after="0" w:line="294" w:lineRule="auto"/>
        <w:rPr>
          <w:sz w:val="20"/>
          <w:szCs w:val="20"/>
          <w:color w:val="auto"/>
        </w:rPr>
      </w:pPr>
      <w:r>
        <w:rPr>
          <w:rFonts w:ascii="Arial" w:cs="Arial" w:eastAsia="Arial" w:hAnsi="Arial"/>
          <w:sz w:val="17"/>
          <w:szCs w:val="17"/>
          <w:color w:val="auto"/>
        </w:rPr>
        <w:t>If any payments to Messrs. Cifu, Molluso, Fairclough, Cavoli, and Galvin and Ms. Lee are determined to be so called “golden parachute” payments subject to the excise tax under Section 4999 of the Code, then such payments will be reduced to the extent such reduction would result in the executive retaining a greater net after tax amount than he would have retained had he received the full amount of the payments and paid the applicable excise tax.</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Estimated Payments Upon Termination of Employment or Change in Control</w:t>
      </w:r>
    </w:p>
    <w:p>
      <w:pPr>
        <w:spacing w:after="0" w:line="117" w:lineRule="exact"/>
        <w:rPr>
          <w:sz w:val="20"/>
          <w:szCs w:val="20"/>
          <w:color w:val="auto"/>
        </w:rPr>
      </w:pPr>
    </w:p>
    <w:p>
      <w:pPr>
        <w:ind w:left="760" w:right="60"/>
        <w:spacing w:after="0" w:line="276" w:lineRule="auto"/>
        <w:rPr>
          <w:sz w:val="20"/>
          <w:szCs w:val="20"/>
          <w:color w:val="auto"/>
        </w:rPr>
      </w:pPr>
      <w:r>
        <w:rPr>
          <w:rFonts w:ascii="Arial" w:cs="Arial" w:eastAsia="Arial" w:hAnsi="Arial"/>
          <w:sz w:val="18"/>
          <w:szCs w:val="18"/>
          <w:color w:val="auto"/>
        </w:rPr>
        <w:t>Assuming each named executive officer’s termination of employment occurred on December 31, 2024, or a change in control occurred on December 31, 2024, the dollar value of the payments and other benefits to be provided to each of the named executive officers are estimated in the table below.</w:t>
      </w:r>
    </w:p>
    <w:p>
      <w:pPr>
        <w:spacing w:after="0" w:line="8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2453"/>
              </w:rPr>
              <w:t>Death,</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Disability,</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w w:val="99"/>
              </w:rPr>
              <w:t>Termination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002453"/>
              </w:rPr>
              <w:t>Non-Renewal</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169"/>
              <w:spacing w:after="0" w:line="139" w:lineRule="exact"/>
              <w:rPr>
                <w:sz w:val="20"/>
                <w:szCs w:val="20"/>
                <w:color w:val="auto"/>
              </w:rPr>
            </w:pPr>
            <w:r>
              <w:rPr>
                <w:rFonts w:ascii="Arial" w:cs="Arial" w:eastAsia="Arial" w:hAnsi="Arial"/>
                <w:sz w:val="14"/>
                <w:szCs w:val="14"/>
                <w:b w:val="1"/>
                <w:bCs w:val="1"/>
                <w:color w:val="002453"/>
              </w:rPr>
              <w:t>Without Cause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267"/>
              <w:spacing w:after="0"/>
              <w:rPr>
                <w:sz w:val="20"/>
                <w:szCs w:val="20"/>
                <w:color w:val="auto"/>
              </w:rPr>
            </w:pPr>
            <w:r>
              <w:rPr>
                <w:rFonts w:ascii="Arial" w:cs="Arial" w:eastAsia="Arial" w:hAnsi="Arial"/>
                <w:sz w:val="14"/>
                <w:szCs w:val="14"/>
                <w:b w:val="1"/>
                <w:bCs w:val="1"/>
                <w:color w:val="002453"/>
              </w:rPr>
              <w:t>Death,</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or for Good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002453"/>
              </w:rPr>
              <w:t>by the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189"/>
              <w:spacing w:after="0" w:line="145" w:lineRule="exact"/>
              <w:rPr>
                <w:sz w:val="20"/>
                <w:szCs w:val="20"/>
                <w:color w:val="auto"/>
              </w:rPr>
            </w:pPr>
            <w:r>
              <w:rPr>
                <w:rFonts w:ascii="Arial" w:cs="Arial" w:eastAsia="Arial" w:hAnsi="Arial"/>
                <w:sz w:val="14"/>
                <w:szCs w:val="14"/>
                <w:b w:val="1"/>
                <w:bCs w:val="1"/>
                <w:color w:val="002453"/>
              </w:rPr>
              <w:t>Reason 60 Days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4"/>
              <w:spacing w:after="0" w:line="145" w:lineRule="exact"/>
              <w:rPr>
                <w:sz w:val="20"/>
                <w:szCs w:val="20"/>
                <w:color w:val="auto"/>
              </w:rPr>
            </w:pPr>
            <w:r>
              <w:rPr>
                <w:rFonts w:ascii="Arial" w:cs="Arial" w:eastAsia="Arial" w:hAnsi="Arial"/>
                <w:sz w:val="14"/>
                <w:szCs w:val="14"/>
                <w:b w:val="1"/>
                <w:bCs w:val="1"/>
                <w:color w:val="002453"/>
              </w:rPr>
              <w:t>Company</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7"/>
              <w:spacing w:after="0" w:line="139" w:lineRule="exact"/>
              <w:rPr>
                <w:sz w:val="20"/>
                <w:szCs w:val="20"/>
                <w:color w:val="auto"/>
              </w:rPr>
            </w:pPr>
            <w:r>
              <w:rPr>
                <w:rFonts w:ascii="Arial" w:cs="Arial" w:eastAsia="Arial" w:hAnsi="Arial"/>
                <w:sz w:val="14"/>
                <w:szCs w:val="14"/>
                <w:b w:val="1"/>
                <w:bCs w:val="1"/>
                <w:color w:val="002453"/>
                <w:w w:val="99"/>
              </w:rPr>
              <w:t>Disability,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Prior to or</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002453"/>
              </w:rPr>
              <w:t>60 Days Prior</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7"/>
              <w:spacing w:after="0" w:line="145" w:lineRule="exact"/>
              <w:rPr>
                <w:sz w:val="20"/>
                <w:szCs w:val="20"/>
                <w:color w:val="auto"/>
              </w:rPr>
            </w:pPr>
            <w:r>
              <w:rPr>
                <w:rFonts w:ascii="Arial" w:cs="Arial" w:eastAsia="Arial" w:hAnsi="Arial"/>
                <w:sz w:val="14"/>
                <w:szCs w:val="14"/>
                <w:b w:val="1"/>
                <w:bCs w:val="1"/>
                <w:color w:val="002453"/>
              </w:rPr>
              <w:t>Termination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24 Months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tcPr>
          <w:p>
            <w:pPr>
              <w:jc w:val="center"/>
              <w:ind w:right="149"/>
              <w:spacing w:after="0" w:line="145" w:lineRule="exact"/>
              <w:rPr>
                <w:sz w:val="20"/>
                <w:szCs w:val="20"/>
                <w:color w:val="auto"/>
              </w:rPr>
            </w:pPr>
            <w:r>
              <w:rPr>
                <w:rFonts w:ascii="Arial" w:cs="Arial" w:eastAsia="Arial" w:hAnsi="Arial"/>
                <w:sz w:val="14"/>
                <w:szCs w:val="14"/>
                <w:b w:val="1"/>
                <w:bCs w:val="1"/>
                <w:color w:val="002453"/>
              </w:rPr>
              <w:t>to or 24 Months</w:t>
            </w:r>
          </w:p>
        </w:tc>
        <w:tc>
          <w:tcPr>
            <w:tcW w:w="6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Resignation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67"/>
              <w:spacing w:after="0" w:line="149" w:lineRule="exact"/>
              <w:rPr>
                <w:sz w:val="20"/>
                <w:szCs w:val="20"/>
                <w:color w:val="auto"/>
              </w:rPr>
            </w:pPr>
            <w:r>
              <w:rPr>
                <w:rFonts w:ascii="Arial" w:cs="Arial" w:eastAsia="Arial" w:hAnsi="Arial"/>
                <w:sz w:val="14"/>
                <w:szCs w:val="14"/>
                <w:b w:val="1"/>
                <w:bCs w:val="1"/>
                <w:color w:val="002453"/>
              </w:rPr>
              <w:t>Without Cause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Following a</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002453"/>
              </w:rPr>
              <w:t>Non-Renewal by</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Following a</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002453"/>
              </w:rPr>
              <w:t>Name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7"/>
              <w:spacing w:after="0" w:line="139" w:lineRule="exact"/>
              <w:rPr>
                <w:sz w:val="20"/>
                <w:szCs w:val="20"/>
                <w:color w:val="auto"/>
              </w:rPr>
            </w:pPr>
            <w:r>
              <w:rPr>
                <w:rFonts w:ascii="Arial" w:cs="Arial" w:eastAsia="Arial" w:hAnsi="Arial"/>
                <w:sz w:val="14"/>
                <w:szCs w:val="14"/>
                <w:b w:val="1"/>
                <w:bCs w:val="1"/>
                <w:color w:val="002453"/>
              </w:rPr>
              <w:t>or for Good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Change in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4"/>
              <w:spacing w:after="0" w:line="139" w:lineRule="exact"/>
              <w:rPr>
                <w:sz w:val="20"/>
                <w:szCs w:val="20"/>
                <w:color w:val="auto"/>
              </w:rPr>
            </w:pPr>
            <w:r>
              <w:rPr>
                <w:rFonts w:ascii="Arial" w:cs="Arial" w:eastAsia="Arial" w:hAnsi="Arial"/>
                <w:sz w:val="14"/>
                <w:szCs w:val="14"/>
                <w:b w:val="1"/>
                <w:bCs w:val="1"/>
                <w:color w:val="002453"/>
              </w:rPr>
              <w:t>Change in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without Good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20" w:type="dxa"/>
            <w:vAlign w:val="bottom"/>
            <w:tcBorders>
              <w:bottom w:val="single" w:sz="8" w:color="00C08A"/>
            </w:tcBorders>
            <w:vMerge w:val="continue"/>
          </w:tcPr>
          <w:p>
            <w:pPr>
              <w:spacing w:after="0"/>
              <w:rPr>
                <w:sz w:val="17"/>
                <w:szCs w:val="17"/>
                <w:color w:val="auto"/>
              </w:rPr>
            </w:pPr>
          </w:p>
        </w:tc>
        <w:tc>
          <w:tcPr>
            <w:tcW w:w="640" w:type="dxa"/>
            <w:vAlign w:val="bottom"/>
            <w:tcBorders>
              <w:bottom w:val="single" w:sz="8" w:color="00C08A"/>
            </w:tcBorders>
          </w:tcPr>
          <w:p>
            <w:pPr>
              <w:ind w:left="540"/>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spacing w:after="0"/>
              <w:rPr>
                <w:sz w:val="17"/>
                <w:szCs w:val="17"/>
                <w:color w:val="auto"/>
              </w:rPr>
            </w:pPr>
          </w:p>
        </w:tc>
        <w:tc>
          <w:tcPr>
            <w:tcW w:w="1140" w:type="dxa"/>
            <w:vAlign w:val="bottom"/>
            <w:tcBorders>
              <w:bottom w:val="single" w:sz="8" w:color="00C08A"/>
            </w:tcBorders>
          </w:tcPr>
          <w:p>
            <w:pPr>
              <w:jc w:val="right"/>
              <w:ind w:right="7"/>
              <w:spacing w:after="0" w:line="199" w:lineRule="exact"/>
              <w:rPr>
                <w:sz w:val="20"/>
                <w:szCs w:val="20"/>
                <w:color w:val="auto"/>
              </w:rPr>
            </w:pPr>
            <w:r>
              <w:rPr>
                <w:rFonts w:ascii="Arial" w:cs="Arial" w:eastAsia="Arial" w:hAnsi="Arial"/>
                <w:sz w:val="12"/>
                <w:szCs w:val="12"/>
                <w:b w:val="1"/>
                <w:bCs w:val="1"/>
                <w:color w:val="002453"/>
              </w:rPr>
              <w:t xml:space="preserve">Reason ($)   </w:t>
            </w:r>
            <w:r>
              <w:rPr>
                <w:rFonts w:ascii="Arial" w:cs="Arial" w:eastAsia="Arial" w:hAnsi="Arial"/>
                <w:sz w:val="22"/>
                <w:szCs w:val="22"/>
                <w:b w:val="1"/>
                <w:bCs w:val="1"/>
                <w:color w:val="002453"/>
                <w:vertAlign w:val="subscript"/>
              </w:rPr>
              <w:t>​</w:t>
            </w:r>
          </w:p>
        </w:tc>
        <w:tc>
          <w:tcPr>
            <w:tcW w:w="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160" w:type="dxa"/>
            <w:vAlign w:val="bottom"/>
            <w:tcBorders>
              <w:bottom w:val="single" w:sz="8" w:color="00C08A"/>
            </w:tcBorders>
          </w:tcPr>
          <w:p>
            <w:pPr>
              <w:spacing w:after="0"/>
              <w:rPr>
                <w:sz w:val="17"/>
                <w:szCs w:val="17"/>
                <w:color w:val="auto"/>
              </w:rPr>
            </w:pPr>
          </w:p>
        </w:tc>
        <w:tc>
          <w:tcPr>
            <w:tcW w:w="88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Control ($)</w:t>
            </w:r>
          </w:p>
        </w:tc>
        <w:tc>
          <w:tcPr>
            <w:tcW w:w="320" w:type="dxa"/>
            <w:vAlign w:val="bottom"/>
            <w:tcBorders>
              <w:bottom w:val="single" w:sz="8" w:color="00C08A"/>
            </w:tcBorders>
          </w:tcPr>
          <w:p>
            <w:pPr>
              <w:jc w:val="right"/>
              <w:ind w:right="29"/>
              <w:spacing w:after="0"/>
              <w:rPr>
                <w:sz w:val="20"/>
                <w:szCs w:val="20"/>
                <w:color w:val="auto"/>
              </w:rPr>
            </w:pPr>
            <w:r>
              <w:rPr>
                <w:rFonts w:ascii="Arial" w:cs="Arial" w:eastAsia="Arial" w:hAnsi="Arial"/>
                <w:sz w:val="14"/>
                <w:szCs w:val="14"/>
                <w:b w:val="1"/>
                <w:bCs w:val="1"/>
                <w:color w:val="002453"/>
              </w:rPr>
              <w:t>​</w:t>
            </w:r>
          </w:p>
        </w:tc>
        <w:tc>
          <w:tcPr>
            <w:tcW w:w="1200" w:type="dxa"/>
            <w:vAlign w:val="bottom"/>
            <w:tcBorders>
              <w:bottom w:val="single" w:sz="8" w:color="00C08A"/>
            </w:tcBorders>
            <w:gridSpan w:val="3"/>
          </w:tcPr>
          <w:p>
            <w:pPr>
              <w:spacing w:after="0" w:line="199" w:lineRule="exact"/>
              <w:rPr>
                <w:sz w:val="20"/>
                <w:szCs w:val="20"/>
                <w:color w:val="auto"/>
              </w:rPr>
            </w:pPr>
            <w:r>
              <w:rPr>
                <w:rFonts w:ascii="Arial" w:cs="Arial" w:eastAsia="Arial" w:hAnsi="Arial"/>
                <w:sz w:val="22"/>
                <w:szCs w:val="22"/>
                <w:b w:val="1"/>
                <w:bCs w:val="1"/>
                <w:color w:val="002453"/>
                <w:vertAlign w:val="subscript"/>
              </w:rPr>
              <w:t>​</w:t>
            </w:r>
            <w:r>
              <w:rPr>
                <w:rFonts w:ascii="Arial" w:cs="Arial" w:eastAsia="Arial" w:hAnsi="Arial"/>
                <w:sz w:val="12"/>
                <w:szCs w:val="12"/>
                <w:b w:val="1"/>
                <w:bCs w:val="1"/>
                <w:color w:val="002453"/>
              </w:rPr>
              <w:t xml:space="preserve"> the Company ($)</w:t>
            </w:r>
          </w:p>
        </w:tc>
        <w:tc>
          <w:tcPr>
            <w:tcW w:w="220" w:type="dxa"/>
            <w:vAlign w:val="bottom"/>
            <w:tcBorders>
              <w:bottom w:val="single" w:sz="8" w:color="00C08A"/>
            </w:tcBorders>
          </w:tcPr>
          <w:p>
            <w:pPr>
              <w:jc w:val="right"/>
              <w:ind w:right="10"/>
              <w:spacing w:after="0"/>
              <w:rPr>
                <w:sz w:val="20"/>
                <w:szCs w:val="20"/>
                <w:color w:val="auto"/>
              </w:rPr>
            </w:pPr>
            <w:r>
              <w:rPr>
                <w:rFonts w:ascii="Arial" w:cs="Arial" w:eastAsia="Arial" w:hAnsi="Arial"/>
                <w:sz w:val="14"/>
                <w:szCs w:val="14"/>
                <w:b w:val="1"/>
                <w:bCs w:val="1"/>
                <w:color w:val="002453"/>
              </w:rPr>
              <w:t>​</w:t>
            </w:r>
          </w:p>
        </w:tc>
        <w:tc>
          <w:tcPr>
            <w:tcW w:w="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spacing w:after="0"/>
              <w:rPr>
                <w:sz w:val="17"/>
                <w:szCs w:val="17"/>
                <w:color w:val="auto"/>
              </w:rPr>
            </w:pPr>
          </w:p>
        </w:tc>
        <w:tc>
          <w:tcPr>
            <w:tcW w:w="84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Control ($)</w:t>
            </w:r>
          </w:p>
        </w:tc>
        <w:tc>
          <w:tcPr>
            <w:tcW w:w="300" w:type="dxa"/>
            <w:vAlign w:val="bottom"/>
            <w:tcBorders>
              <w:bottom w:val="single" w:sz="8" w:color="00C08A"/>
            </w:tcBorders>
          </w:tcPr>
          <w:p>
            <w:pPr>
              <w:jc w:val="right"/>
              <w:ind w:right="29"/>
              <w:spacing w:after="0"/>
              <w:rPr>
                <w:sz w:val="20"/>
                <w:szCs w:val="20"/>
                <w:color w:val="auto"/>
              </w:rPr>
            </w:pPr>
            <w:r>
              <w:rPr>
                <w:rFonts w:ascii="Arial" w:cs="Arial" w:eastAsia="Arial" w:hAnsi="Arial"/>
                <w:sz w:val="14"/>
                <w:szCs w:val="14"/>
                <w:b w:val="1"/>
                <w:bCs w:val="1"/>
                <w:color w:val="002453"/>
              </w:rPr>
              <w:t>​</w:t>
            </w:r>
          </w:p>
        </w:tc>
        <w:tc>
          <w:tcPr>
            <w:tcW w:w="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98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Reason</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3"/>
        </w:trPr>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6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4,268,219(1)</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​14,260,993(2)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99"/>
              </w:rPr>
              <w:t>4,268,219(1)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9"/>
              <w:spacing w:after="0" w:line="202" w:lineRule="exact"/>
              <w:rPr>
                <w:sz w:val="20"/>
                <w:szCs w:val="20"/>
                <w:color w:val="auto"/>
              </w:rPr>
            </w:pPr>
            <w:r>
              <w:rPr>
                <w:rFonts w:ascii="Arial" w:cs="Arial" w:eastAsia="Arial" w:hAnsi="Arial"/>
                <w:sz w:val="18"/>
                <w:szCs w:val="18"/>
                <w:color w:val="auto"/>
              </w:rPr>
              <w:t>​14,260,993(2)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6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​10,704,000(3)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​10,704,000(3)</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​10,704,000(3)</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9"/>
              <w:spacing w:after="0" w:line="202" w:lineRule="exact"/>
              <w:rPr>
                <w:sz w:val="20"/>
                <w:szCs w:val="20"/>
                <w:color w:val="auto"/>
              </w:rPr>
            </w:pPr>
            <w:r>
              <w:rPr>
                <w:rFonts w:ascii="Arial" w:cs="Arial" w:eastAsia="Arial" w:hAnsi="Arial"/>
                <w:sz w:val="18"/>
                <w:szCs w:val="18"/>
                <w:color w:val="auto"/>
              </w:rPr>
              <w:t>​10,704,000(3)</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Joseph Molluso</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00C08A"/>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6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896,918(4)</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9"/>
              <w:spacing w:after="0" w:line="202" w:lineRule="exact"/>
              <w:rPr>
                <w:sz w:val="20"/>
                <w:szCs w:val="20"/>
                <w:color w:val="auto"/>
              </w:rPr>
            </w:pPr>
            <w:r>
              <w:rPr>
                <w:rFonts w:ascii="Arial" w:cs="Arial" w:eastAsia="Arial" w:hAnsi="Arial"/>
                <w:sz w:val="18"/>
                <w:szCs w:val="18"/>
                <w:color w:val="auto"/>
              </w:rPr>
              <w:t>6,449,315(5)</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896,918(4)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
              <w:spacing w:after="0" w:line="202" w:lineRule="exact"/>
              <w:rPr>
                <w:sz w:val="20"/>
                <w:szCs w:val="20"/>
                <w:color w:val="auto"/>
              </w:rPr>
            </w:pPr>
            <w:r>
              <w:rPr>
                <w:rFonts w:ascii="Arial" w:cs="Arial" w:eastAsia="Arial" w:hAnsi="Arial"/>
                <w:sz w:val="18"/>
                <w:szCs w:val="18"/>
                <w:color w:val="auto"/>
              </w:rPr>
              <w:t>6,449,315(5)</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6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9"/>
              <w:spacing w:after="0" w:line="202" w:lineRule="exact"/>
              <w:rPr>
                <w:sz w:val="20"/>
                <w:szCs w:val="20"/>
                <w:color w:val="auto"/>
              </w:rPr>
            </w:pPr>
            <w:r>
              <w:rPr>
                <w:rFonts w:ascii="Arial" w:cs="Arial" w:eastAsia="Arial" w:hAnsi="Arial"/>
                <w:sz w:val="18"/>
                <w:szCs w:val="18"/>
                <w:color w:val="auto"/>
              </w:rPr>
              <w:t>5,352,000(6)</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5,352,000(6)</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
              <w:spacing w:after="0" w:line="202" w:lineRule="exact"/>
              <w:rPr>
                <w:sz w:val="20"/>
                <w:szCs w:val="20"/>
                <w:color w:val="auto"/>
              </w:rPr>
            </w:pPr>
            <w:r>
              <w:rPr>
                <w:rFonts w:ascii="Arial" w:cs="Arial" w:eastAsia="Arial" w:hAnsi="Arial"/>
                <w:sz w:val="18"/>
                <w:szCs w:val="18"/>
                <w:color w:val="auto"/>
              </w:rPr>
              <w:t>5,352,000(6)</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6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1,455,411(7)</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9"/>
              <w:spacing w:after="0" w:line="202" w:lineRule="exact"/>
              <w:rPr>
                <w:sz w:val="20"/>
                <w:szCs w:val="20"/>
                <w:color w:val="auto"/>
              </w:rPr>
            </w:pPr>
            <w:r>
              <w:rPr>
                <w:rFonts w:ascii="Arial" w:cs="Arial" w:eastAsia="Arial" w:hAnsi="Arial"/>
                <w:sz w:val="18"/>
                <w:szCs w:val="18"/>
                <w:color w:val="auto"/>
              </w:rPr>
              <w:t>6,573,425(8)</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99"/>
              </w:rPr>
              <w:t>1,455,411(7)</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
              <w:spacing w:after="0" w:line="202" w:lineRule="exact"/>
              <w:rPr>
                <w:sz w:val="20"/>
                <w:szCs w:val="20"/>
                <w:color w:val="auto"/>
              </w:rPr>
            </w:pPr>
            <w:r>
              <w:rPr>
                <w:rFonts w:ascii="Arial" w:cs="Arial" w:eastAsia="Arial" w:hAnsi="Arial"/>
                <w:sz w:val="18"/>
                <w:szCs w:val="18"/>
                <w:color w:val="auto"/>
              </w:rPr>
              <w:t>6,573,425(8)</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6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9"/>
              <w:spacing w:after="0" w:line="202" w:lineRule="exact"/>
              <w:rPr>
                <w:sz w:val="20"/>
                <w:szCs w:val="20"/>
                <w:color w:val="auto"/>
              </w:rPr>
            </w:pPr>
            <w:r>
              <w:rPr>
                <w:rFonts w:ascii="Arial" w:cs="Arial" w:eastAsia="Arial" w:hAnsi="Arial"/>
                <w:sz w:val="18"/>
                <w:szCs w:val="18"/>
                <w:color w:val="auto"/>
              </w:rPr>
              <w:t>5,352,000(9)</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5,352,000(9)</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
              <w:spacing w:after="0" w:line="202" w:lineRule="exact"/>
              <w:rPr>
                <w:sz w:val="20"/>
                <w:szCs w:val="20"/>
                <w:color w:val="auto"/>
              </w:rPr>
            </w:pPr>
            <w:r>
              <w:rPr>
                <w:rFonts w:ascii="Arial" w:cs="Arial" w:eastAsia="Arial" w:hAnsi="Arial"/>
                <w:sz w:val="18"/>
                <w:szCs w:val="18"/>
                <w:color w:val="auto"/>
              </w:rPr>
              <w:t>5,352,000(9)</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Stephen Cavoli</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6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780,411(10)</w:t>
            </w:r>
          </w:p>
        </w:tc>
        <w:tc>
          <w:tcPr>
            <w:tcW w:w="1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6,048,425(11)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780,411(10)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6,048,425(11)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6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5,352,000(12)</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5,352,000(12)</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5,352,000(12)</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5,352,000(12)</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Cindy Lee</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Sean P. Galvin</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tcBorders>
              <w:bottom w:val="single" w:sz="8" w:color="00C08A"/>
            </w:tcBorders>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Borders>
              <w:bottom w:val="single" w:sz="8" w:color="00C08A"/>
            </w:tcBorders>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C08A"/>
            </w:tcBorders>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00C08A"/>
            </w:tcBorders>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08A"/>
            </w:tcBorders>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00C08A"/>
            </w:tcBorders>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00C08A"/>
            </w:tcBorders>
          </w:tcPr>
          <w:p>
            <w:pPr>
              <w:ind w:left="38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Borders>
              <w:bottom w:val="single" w:sz="8" w:color="00C08A"/>
            </w:tcBorders>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1060" w:right="480" w:hanging="298"/>
        <w:spacing w:after="0" w:line="293"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the greater of (i) base salary and continued health, dental, vision and life insurance benefits through the remainder of applicable employment term and (ii) 12 months of base salary health, dental, vision and life insurance benefits.</w:t>
      </w:r>
    </w:p>
    <w:p>
      <w:pPr>
        <w:spacing w:after="0" w:line="71" w:lineRule="exact"/>
        <w:rPr>
          <w:rFonts w:ascii="Arial" w:cs="Arial" w:eastAsia="Arial" w:hAnsi="Arial"/>
          <w:sz w:val="14"/>
          <w:szCs w:val="14"/>
          <w:color w:val="auto"/>
        </w:rPr>
      </w:pPr>
    </w:p>
    <w:p>
      <w:pPr>
        <w:ind w:left="1060" w:right="280" w:hanging="298"/>
        <w:spacing w:after="0" w:line="305"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$4,125,000) and (ii) continued health, dental, vision and life insurance benefits for twenty-four months.</w:t>
      </w:r>
    </w:p>
    <w:p>
      <w:pPr>
        <w:spacing w:after="0" w:line="63" w:lineRule="exact"/>
        <w:rPr>
          <w:rFonts w:ascii="Arial" w:cs="Arial" w:eastAsia="Arial" w:hAnsi="Arial"/>
          <w:sz w:val="14"/>
          <w:szCs w:val="14"/>
          <w:color w:val="auto"/>
        </w:rPr>
      </w:pPr>
    </w:p>
    <w:p>
      <w:pPr>
        <w:ind w:left="1060" w:right="160" w:hanging="298"/>
        <w:spacing w:after="0" w:line="305"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then-current annual equity grant based on shares earned, which was 150,000, and (ii) a grant of 150,000 shares of Class A common stock.</w:t>
      </w:r>
    </w:p>
    <w:p>
      <w:pPr>
        <w:spacing w:after="0" w:line="25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1060" w:right="10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April 30, 2026).</w:t>
      </w:r>
    </w:p>
    <w:p>
      <w:pPr>
        <w:spacing w:after="0" w:line="63" w:lineRule="exact"/>
        <w:rPr>
          <w:rFonts w:ascii="Arial" w:cs="Arial" w:eastAsia="Arial" w:hAnsi="Arial"/>
          <w:sz w:val="14"/>
          <w:szCs w:val="14"/>
          <w:color w:val="auto"/>
        </w:rPr>
      </w:pPr>
    </w:p>
    <w:p>
      <w:pPr>
        <w:ind w:left="1060" w:right="28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$1,900,000) and (ii) continued health, dental, vision and life insurance benefits for twenty-four months.</w:t>
      </w:r>
    </w:p>
    <w:p>
      <w:pPr>
        <w:spacing w:after="0" w:line="49" w:lineRule="exact"/>
        <w:rPr>
          <w:rFonts w:ascii="Arial" w:cs="Arial" w:eastAsia="Arial" w:hAnsi="Arial"/>
          <w:sz w:val="14"/>
          <w:szCs w:val="14"/>
          <w:color w:val="auto"/>
        </w:rPr>
      </w:pPr>
    </w:p>
    <w:p>
      <w:pPr>
        <w:ind w:left="1060" w:right="220" w:hanging="298"/>
        <w:spacing w:after="0" w:line="32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75,000, and (ii) a grant of 75,000 shares of Class A common stock.</w:t>
      </w:r>
    </w:p>
    <w:p>
      <w:pPr>
        <w:spacing w:after="0" w:line="36" w:lineRule="exact"/>
        <w:rPr>
          <w:rFonts w:ascii="Arial" w:cs="Arial" w:eastAsia="Arial" w:hAnsi="Arial"/>
          <w:sz w:val="14"/>
          <w:szCs w:val="14"/>
          <w:color w:val="auto"/>
        </w:rPr>
      </w:pPr>
    </w:p>
    <w:p>
      <w:pPr>
        <w:ind w:left="1060" w:right="10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2027).</w:t>
      </w:r>
    </w:p>
    <w:p>
      <w:pPr>
        <w:spacing w:after="0" w:line="63" w:lineRule="exact"/>
        <w:rPr>
          <w:rFonts w:ascii="Arial" w:cs="Arial" w:eastAsia="Arial" w:hAnsi="Arial"/>
          <w:sz w:val="14"/>
          <w:szCs w:val="14"/>
          <w:color w:val="auto"/>
        </w:rPr>
      </w:pPr>
    </w:p>
    <w:p>
      <w:pPr>
        <w:jc w:val="both"/>
        <w:ind w:left="1060" w:right="240" w:hanging="298"/>
        <w:spacing w:after="0" w:line="283"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$1,900,000) and (ii) continued health, dental, vision and life insurance benefits through the remainder of the employment term (i.e., February 26, 2027).</w:t>
      </w:r>
    </w:p>
    <w:p>
      <w:pPr>
        <w:spacing w:after="0" w:line="78" w:lineRule="exact"/>
        <w:rPr>
          <w:rFonts w:ascii="Arial" w:cs="Arial" w:eastAsia="Arial" w:hAnsi="Arial"/>
          <w:sz w:val="14"/>
          <w:szCs w:val="14"/>
          <w:color w:val="auto"/>
        </w:rPr>
      </w:pPr>
    </w:p>
    <w:p>
      <w:pPr>
        <w:ind w:left="1060" w:right="22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75,000, and (ii) a grant of 75,000 shares of Class A common stock.</w:t>
      </w:r>
    </w:p>
    <w:p>
      <w:pPr>
        <w:spacing w:after="0" w:line="49" w:lineRule="exact"/>
        <w:rPr>
          <w:rFonts w:ascii="Arial" w:cs="Arial" w:eastAsia="Arial" w:hAnsi="Arial"/>
          <w:sz w:val="14"/>
          <w:szCs w:val="14"/>
          <w:color w:val="auto"/>
        </w:rPr>
      </w:pPr>
    </w:p>
    <w:p>
      <w:pPr>
        <w:ind w:left="1060" w:right="100" w:hanging="298"/>
        <w:spacing w:after="0" w:line="32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2026).</w:t>
      </w:r>
    </w:p>
    <w:p>
      <w:pPr>
        <w:spacing w:after="0" w:line="36" w:lineRule="exact"/>
        <w:rPr>
          <w:rFonts w:ascii="Arial" w:cs="Arial" w:eastAsia="Arial" w:hAnsi="Arial"/>
          <w:sz w:val="14"/>
          <w:szCs w:val="14"/>
          <w:color w:val="auto"/>
        </w:rPr>
      </w:pPr>
    </w:p>
    <w:p>
      <w:pPr>
        <w:jc w:val="both"/>
        <w:ind w:left="1060" w:right="240" w:hanging="298"/>
        <w:spacing w:after="0" w:line="293"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$1,750,000) and (ii) continued health, dental, vision and life insurance benefits through the remainder of the employment term (i.e., February 26, 2026).</w:t>
      </w:r>
    </w:p>
    <w:p>
      <w:pPr>
        <w:spacing w:after="0" w:line="58" w:lineRule="exact"/>
        <w:rPr>
          <w:rFonts w:ascii="Arial" w:cs="Arial" w:eastAsia="Arial" w:hAnsi="Arial"/>
          <w:sz w:val="14"/>
          <w:szCs w:val="14"/>
          <w:color w:val="auto"/>
        </w:rPr>
      </w:pPr>
    </w:p>
    <w:p>
      <w:pPr>
        <w:ind w:left="1060" w:right="22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75,000, and (ii) a grant of 75,000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4786630</wp:posOffset>
            </wp:positionV>
            <wp:extent cx="75438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CEO Pay Ratio Disclosure</w:t>
      </w:r>
    </w:p>
    <w:p>
      <w:pPr>
        <w:spacing w:after="0" w:line="146" w:lineRule="exact"/>
        <w:rPr>
          <w:sz w:val="20"/>
          <w:szCs w:val="20"/>
          <w:color w:val="auto"/>
        </w:rPr>
      </w:pPr>
    </w:p>
    <w:p>
      <w:pPr>
        <w:ind w:left="760" w:right="120"/>
        <w:spacing w:after="0" w:line="268" w:lineRule="auto"/>
        <w:rPr>
          <w:sz w:val="20"/>
          <w:szCs w:val="20"/>
          <w:color w:val="auto"/>
        </w:rPr>
      </w:pPr>
      <w:r>
        <w:rPr>
          <w:rFonts w:ascii="Arial" w:cs="Arial" w:eastAsia="Arial" w:hAnsi="Arial"/>
          <w:sz w:val="18"/>
          <w:szCs w:val="18"/>
          <w:color w:val="auto"/>
        </w:rPr>
        <w:t>As required by Section 953(b) of the Dodd-Frank Act, we are providing the following information about the relationship of the annual total compensation of our Chief Executive Officer, Mr. Douglas A. Cifu, and the annual total compensation of our median employee. For the year ended December 31, 2024:</w:t>
      </w:r>
    </w:p>
    <w:p>
      <w:pPr>
        <w:spacing w:after="0" w:line="63" w:lineRule="exact"/>
        <w:rPr>
          <w:sz w:val="20"/>
          <w:szCs w:val="20"/>
          <w:color w:val="auto"/>
        </w:rPr>
      </w:pPr>
    </w:p>
    <w:p>
      <w:pPr>
        <w:ind w:left="1340" w:right="800" w:hanging="218"/>
        <w:spacing w:after="0" w:line="287"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The median of the annual total compensation of all employees of our Company (other than our Chief Executive Officer) was approximately $287,500;</w:t>
      </w:r>
    </w:p>
    <w:p>
      <w:pPr>
        <w:spacing w:after="0" w:line="44" w:lineRule="exact"/>
        <w:rPr>
          <w:rFonts w:ascii="Arial" w:cs="Arial" w:eastAsia="Arial" w:hAnsi="Arial"/>
          <w:sz w:val="18"/>
          <w:szCs w:val="18"/>
          <w:color w:val="002453"/>
        </w:rPr>
      </w:pPr>
    </w:p>
    <w:p>
      <w:pPr>
        <w:ind w:left="1340" w:right="220" w:hanging="218"/>
        <w:spacing w:after="0" w:line="287"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The annual total compensation of our Chief Executive Officer was $9,863,432 (as disclosed in the Summary Compensation Table herein); and</w:t>
      </w:r>
    </w:p>
    <w:p>
      <w:pPr>
        <w:spacing w:after="0" w:line="44" w:lineRule="exact"/>
        <w:rPr>
          <w:rFonts w:ascii="Arial" w:cs="Arial" w:eastAsia="Arial" w:hAnsi="Arial"/>
          <w:sz w:val="18"/>
          <w:szCs w:val="18"/>
          <w:color w:val="002453"/>
        </w:rPr>
      </w:pPr>
    </w:p>
    <w:p>
      <w:pPr>
        <w:ind w:left="1340" w:right="480" w:hanging="218"/>
        <w:spacing w:after="0" w:line="287"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Based on this information, the ratio of the annual total compensation of our Chief Executive Officer to the median employee was 34 to 1.</w:t>
      </w:r>
    </w:p>
    <w:p>
      <w:pPr>
        <w:spacing w:after="0" w:line="45" w:lineRule="exact"/>
        <w:rPr>
          <w:sz w:val="20"/>
          <w:szCs w:val="20"/>
          <w:color w:val="auto"/>
        </w:rPr>
      </w:pPr>
    </w:p>
    <w:p>
      <w:pPr>
        <w:ind w:left="760" w:right="380"/>
        <w:spacing w:after="0" w:line="268" w:lineRule="auto"/>
        <w:rPr>
          <w:sz w:val="20"/>
          <w:szCs w:val="20"/>
          <w:color w:val="auto"/>
        </w:rPr>
      </w:pPr>
      <w:r>
        <w:rPr>
          <w:rFonts w:ascii="Arial" w:cs="Arial" w:eastAsia="Arial" w:hAnsi="Arial"/>
          <w:sz w:val="18"/>
          <w:szCs w:val="18"/>
          <w:color w:val="auto"/>
        </w:rPr>
        <w:t>To determine the median of the annual total compensation of all employees of the Company (other than our Chief Executive Officer), we identified our total employee population as of December 31, 2024, which consisted of approximately 965 individuals, all of which were fulltime employees.</w:t>
      </w:r>
    </w:p>
    <w:p>
      <w:pPr>
        <w:spacing w:after="0" w:line="63"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We determined the median based on each employee’s annual base pay as of December 31, 2024, plus the variable incentive compensation award they received in 2025 for the 2024 performance year. Variable incentive compensation consisted of cash bonuses and/or the fair value of stock awards granted under the 2015 Plan at the grant date. The annual total compensation of the median employee presented above is a reasonable estimate calculated in accordance with the requirements of Item 402(c)(2)(x)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Hedging Policy</w:t>
      </w:r>
    </w:p>
    <w:p>
      <w:pPr>
        <w:spacing w:after="0" w:line="159" w:lineRule="exact"/>
        <w:rPr>
          <w:sz w:val="20"/>
          <w:szCs w:val="20"/>
          <w:color w:val="auto"/>
        </w:rPr>
      </w:pPr>
    </w:p>
    <w:p>
      <w:pPr>
        <w:ind w:left="760" w:right="60"/>
        <w:spacing w:after="0" w:line="262" w:lineRule="auto"/>
        <w:rPr>
          <w:sz w:val="20"/>
          <w:szCs w:val="20"/>
          <w:color w:val="auto"/>
        </w:rPr>
      </w:pPr>
      <w:r>
        <w:rPr>
          <w:rFonts w:ascii="Arial" w:cs="Arial" w:eastAsia="Arial" w:hAnsi="Arial"/>
          <w:sz w:val="18"/>
          <w:szCs w:val="18"/>
          <w:color w:val="auto"/>
        </w:rPr>
        <w:t>The Company’s Securities Trading Policy discourages speculative hedging transactions, but permits directors, officers and employees of the Company to enter into long-term (six-month or longer) hedging transactions relating to shares of common stock or stock options of the Company, subject to pre-clearance pursuant to the Securities Trading Policy.</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Clawback Policy</w:t>
      </w:r>
    </w:p>
    <w:p>
      <w:pPr>
        <w:spacing w:after="0" w:line="146" w:lineRule="exact"/>
        <w:rPr>
          <w:sz w:val="20"/>
          <w:szCs w:val="20"/>
          <w:color w:val="auto"/>
        </w:rPr>
      </w:pPr>
    </w:p>
    <w:p>
      <w:pPr>
        <w:ind w:left="760" w:right="200"/>
        <w:spacing w:after="0" w:line="254" w:lineRule="auto"/>
        <w:rPr>
          <w:sz w:val="20"/>
          <w:szCs w:val="20"/>
          <w:color w:val="auto"/>
        </w:rPr>
      </w:pPr>
      <w:r>
        <w:rPr>
          <w:rFonts w:ascii="Arial" w:cs="Arial" w:eastAsia="Arial" w:hAnsi="Arial"/>
          <w:sz w:val="18"/>
          <w:szCs w:val="18"/>
          <w:color w:val="auto"/>
        </w:rPr>
        <w:t>The SEC adopted final rules in October 2022 to implement Section 954 of the Dodd-Frank Act, which mandates national securities exchanges and associations to establish listing standards requiring all listed companies to adopt and comply with compensation recovery (clawback) policies for incentive-based compensation received by current and former executive officers based on financial statements that are subsequently restated, and to disclose their clawback policies in accordance with SEC rules. On February 22, 2023, Nasdaq proposed its clawback listing standards that generally align with the SEC’s adopted clawback rules and require listed companies to file clawback-related disclosure in applicable SEC filings. In light of Nasdaq’s adoption of its clawback listing standards, we adopted a new clawback policy, filed as an exhibit to our Annual Report on Form 10-K for the fiscal year ended December 31, 2023, that complies with the new SEC and Nasdaq listing standards, and provides that the Company shall recover certain incentive-based compensation of our current and former executive officers in the event the Company is required to prepare a qualifying accounting restatement.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Compensation of Directors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payable to our non-employee directors consisted of the following during the year ended</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2024:</w:t>
      </w:r>
    </w:p>
    <w:p>
      <w:pPr>
        <w:spacing w:after="0" w:line="99" w:lineRule="exact"/>
        <w:rPr>
          <w:sz w:val="20"/>
          <w:szCs w:val="20"/>
          <w:color w:val="auto"/>
        </w:rPr>
      </w:pPr>
    </w:p>
    <w:p>
      <w:pPr>
        <w:ind w:left="1340" w:right="140" w:hanging="218"/>
        <w:spacing w:after="0" w:line="268"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award of restricted stock units valued at $150,000 at the time of grant upon reelection at each subsequent annual meeting of stockholders. The restricted stock units vest on the one-year anniversary of the date of grant;</w:t>
      </w:r>
    </w:p>
    <w:p>
      <w:pPr>
        <w:spacing w:after="0" w:line="62" w:lineRule="exact"/>
        <w:rPr>
          <w:rFonts w:ascii="Arial" w:cs="Arial" w:eastAsia="Arial" w:hAnsi="Arial"/>
          <w:sz w:val="18"/>
          <w:szCs w:val="18"/>
          <w:color w:val="002453"/>
        </w:rPr>
      </w:pPr>
    </w:p>
    <w:p>
      <w:pPr>
        <w:ind w:left="1340" w:right="800" w:hanging="218"/>
        <w:spacing w:after="0" w:line="287"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annual cash retainer of $100,000, with no additional fees paid for board of director and committee meetings attended;</w:t>
      </w:r>
    </w:p>
    <w:p>
      <w:pPr>
        <w:spacing w:after="0" w:line="44" w:lineRule="exact"/>
        <w:rPr>
          <w:rFonts w:ascii="Arial" w:cs="Arial" w:eastAsia="Arial" w:hAnsi="Arial"/>
          <w:sz w:val="18"/>
          <w:szCs w:val="18"/>
          <w:color w:val="002453"/>
        </w:rPr>
      </w:pPr>
    </w:p>
    <w:p>
      <w:pPr>
        <w:jc w:val="both"/>
        <w:ind w:left="1340" w:right="140" w:hanging="218"/>
        <w:spacing w:after="0" w:line="291" w:lineRule="auto"/>
        <w:tabs>
          <w:tab w:leader="none" w:pos="1340" w:val="left"/>
        </w:tabs>
        <w:numPr>
          <w:ilvl w:val="0"/>
          <w:numId w:val="31"/>
        </w:numPr>
        <w:rPr>
          <w:rFonts w:ascii="Arial" w:cs="Arial" w:eastAsia="Arial" w:hAnsi="Arial"/>
          <w:sz w:val="17"/>
          <w:szCs w:val="17"/>
          <w:color w:val="002453"/>
        </w:rPr>
      </w:pPr>
      <w:r>
        <w:rPr>
          <w:rFonts w:ascii="Arial" w:cs="Arial" w:eastAsia="Arial" w:hAnsi="Arial"/>
          <w:sz w:val="17"/>
          <w:szCs w:val="17"/>
          <w:color w:val="auto"/>
        </w:rPr>
        <w:t>an annual cash retainer of $150,000 for the non-executive chairman of the board of directors, $40,000 for the chair of the Audit Committee, $30,000 for the chair of the Compensation Committee, $30,000 for the chair of the Nominating and Corporate Governance Committee and $30,000 for the chair of the Risk Committee; and</w:t>
      </w:r>
    </w:p>
    <w:p>
      <w:pPr>
        <w:spacing w:after="0" w:line="44" w:lineRule="exact"/>
        <w:rPr>
          <w:rFonts w:ascii="Arial" w:cs="Arial" w:eastAsia="Arial" w:hAnsi="Arial"/>
          <w:sz w:val="17"/>
          <w:szCs w:val="17"/>
          <w:color w:val="002453"/>
        </w:rPr>
      </w:pPr>
    </w:p>
    <w:p>
      <w:pPr>
        <w:ind w:left="1340" w:right="240" w:hanging="218"/>
        <w:spacing w:after="0" w:line="268"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annual cash retainer of $20,000 for members of the Audit Committee, $15,000 for members of the Compensation Committee, $15,000 for members of the Nominating and Corporate Governance Committee, and $15,000 for members of the Risk Committee.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After four years of service, non-employee directors must maintain a minimum stock ownership equal to $225,000.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compensation earned by our directors during the year ended December 31, 2024.</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68"/>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002453"/>
              </w:rPr>
              <w:t>Name</w:t>
            </w:r>
          </w:p>
        </w:tc>
        <w:tc>
          <w:tcPr>
            <w:tcW w:w="14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002453"/>
              </w:rPr>
              <w:t>Fees Earned or</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002453"/>
              </w:rPr>
              <w:t>Equity</w:t>
            </w:r>
          </w:p>
        </w:tc>
        <w:tc>
          <w:tcPr>
            <w:tcW w:w="44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002453"/>
              </w:rPr>
              <w:t>All Other</w:t>
            </w:r>
          </w:p>
        </w:tc>
        <w:tc>
          <w:tcPr>
            <w:tcW w:w="4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2453"/>
              </w:rPr>
              <w:t xml:space="preserve">Total ($) </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198"/>
        </w:trPr>
        <w:tc>
          <w:tcPr>
            <w:tcW w:w="2920" w:type="dxa"/>
            <w:vAlign w:val="bottom"/>
            <w:vMerge w:val="continue"/>
          </w:tcPr>
          <w:p>
            <w:pPr>
              <w:spacing w:after="0"/>
              <w:rPr>
                <w:sz w:val="17"/>
                <w:szCs w:val="17"/>
                <w:color w:val="auto"/>
              </w:rPr>
            </w:pPr>
          </w:p>
        </w:tc>
        <w:tc>
          <w:tcPr>
            <w:tcW w:w="5660" w:type="dxa"/>
            <w:vAlign w:val="bottom"/>
            <w:gridSpan w:val="9"/>
          </w:tcPr>
          <w:p>
            <w:pPr>
              <w:ind w:left="1260"/>
              <w:spacing w:after="0" w:line="199" w:lineRule="exact"/>
              <w:rPr>
                <w:sz w:val="20"/>
                <w:szCs w:val="20"/>
                <w:color w:val="auto"/>
              </w:rPr>
            </w:pP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Paid in Cash ($)(1) </w:t>
            </w: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Award(s)(2)(3) </w:t>
            </w: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Compensation ($) </w:t>
            </w:r>
            <w:r>
              <w:rPr>
                <w:rFonts w:ascii="Arial" w:cs="Arial" w:eastAsia="Arial" w:hAnsi="Arial"/>
                <w:sz w:val="22"/>
                <w:szCs w:val="22"/>
                <w:b w:val="1"/>
                <w:bCs w:val="1"/>
                <w:color w:val="002453"/>
                <w:vertAlign w:val="subscript"/>
              </w:rPr>
              <w:t>​ ​</w:t>
            </w: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Douglas A. Cifu</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00C08A"/>
              <w:bottom w:val="single" w:sz="8" w:color="00C08A"/>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00C08A"/>
              <w:bottom w:val="single" w:sz="8" w:color="00C08A"/>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460" w:type="dxa"/>
            <w:vAlign w:val="bottom"/>
            <w:tcBorders>
              <w:top w:val="single" w:sz="8" w:color="00C08A"/>
              <w:bottom w:val="single" w:sz="8" w:color="00C08A"/>
            </w:tcBorders>
            <w:shd w:val="clear" w:color="auto" w:fill="CCEEFF"/>
          </w:tcPr>
          <w:p>
            <w:pPr>
              <w:ind w:left="1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00" w:type="dxa"/>
            <w:vAlign w:val="bottom"/>
            <w:tcBorders>
              <w:top w:val="single" w:sz="8" w:color="00C08A"/>
              <w:bottom w:val="single" w:sz="8" w:color="00C08A"/>
            </w:tcBorders>
            <w:shd w:val="clear" w:color="auto" w:fill="CCEEFF"/>
          </w:tcPr>
          <w:p>
            <w:pPr>
              <w:ind w:left="420"/>
              <w:spacing w:after="0"/>
              <w:rPr>
                <w:sz w:val="20"/>
                <w:szCs w:val="20"/>
                <w:color w:val="auto"/>
              </w:rPr>
            </w:pPr>
            <w:r>
              <w:rPr>
                <w:rFonts w:ascii="Arial" w:cs="Arial" w:eastAsia="Arial" w:hAnsi="Arial"/>
                <w:sz w:val="18"/>
                <w:szCs w:val="18"/>
                <w:color w:val="auto"/>
                <w:w w:val="77"/>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William F. Cruger, Jr</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​155,000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​305,000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Virginia Gambale</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​130,000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Joseph J. Grano, Jr.</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​135,000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4"/>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Joanne M. Minieri</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John D. Nixon</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​185,000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​335,000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Christopher C. Quick</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​295,000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0"/>
                <w:szCs w:val="20"/>
                <w:color w:val="auto"/>
              </w:rPr>
            </w:pPr>
            <w:r>
              <w:rPr>
                <w:rFonts w:ascii="Arial" w:cs="Arial" w:eastAsia="Arial" w:hAnsi="Arial"/>
                <w:sz w:val="18"/>
                <w:szCs w:val="18"/>
                <w:color w:val="auto"/>
              </w:rPr>
              <w:t>David Urban</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​130,000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Michael T. Viola</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​445,000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Vincent Viola(4)</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460" w:type="dxa"/>
            <w:vAlign w:val="bottom"/>
          </w:tcPr>
          <w:p>
            <w:pPr>
              <w:ind w:left="1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6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2920" w:type="dxa"/>
            <w:vAlign w:val="bottom"/>
            <w:shd w:val="clear" w:color="auto" w:fill="00C08A"/>
          </w:tcPr>
          <w:p>
            <w:pPr>
              <w:spacing w:after="0" w:line="20" w:lineRule="exact"/>
              <w:rPr>
                <w:sz w:val="1"/>
                <w:szCs w:val="1"/>
                <w:color w:val="auto"/>
              </w:rPr>
            </w:pPr>
          </w:p>
        </w:tc>
        <w:tc>
          <w:tcPr>
            <w:tcW w:w="148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64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68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920" w:type="dxa"/>
            <w:vAlign w:val="bottom"/>
            <w:shd w:val="clear" w:color="auto" w:fill="00C08A"/>
          </w:tcPr>
          <w:p>
            <w:pPr>
              <w:spacing w:after="0" w:line="20" w:lineRule="exact"/>
              <w:rPr>
                <w:sz w:val="1"/>
                <w:szCs w:val="1"/>
                <w:color w:val="auto"/>
              </w:rPr>
            </w:pPr>
          </w:p>
        </w:tc>
        <w:tc>
          <w:tcPr>
            <w:tcW w:w="460" w:type="dxa"/>
            <w:vAlign w:val="bottom"/>
            <w:shd w:val="clear" w:color="auto" w:fill="00C08A"/>
          </w:tcPr>
          <w:p>
            <w:pPr>
              <w:spacing w:after="0" w:line="20" w:lineRule="exact"/>
              <w:rPr>
                <w:sz w:val="1"/>
                <w:szCs w:val="1"/>
                <w:color w:val="auto"/>
              </w:rPr>
            </w:pPr>
          </w:p>
        </w:tc>
        <w:tc>
          <w:tcPr>
            <w:tcW w:w="600" w:type="dxa"/>
            <w:vAlign w:val="bottom"/>
            <w:shd w:val="clear" w:color="auto" w:fill="00C08A"/>
          </w:tcPr>
          <w:p>
            <w:pPr>
              <w:spacing w:after="0" w:line="20" w:lineRule="exact"/>
              <w:rPr>
                <w:sz w:val="1"/>
                <w:szCs w:val="1"/>
                <w:color w:val="auto"/>
              </w:rPr>
            </w:pPr>
          </w:p>
        </w:tc>
        <w:tc>
          <w:tcPr>
            <w:tcW w:w="60" w:type="dxa"/>
            <w:vAlign w:val="bottom"/>
            <w:tcBorders>
              <w:left w:val="single" w:sz="8" w:color="00C08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980" w:hanging="218"/>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fees allocable to fiscal year 2024.</w:t>
      </w:r>
    </w:p>
    <w:p>
      <w:pPr>
        <w:spacing w:after="0" w:line="136" w:lineRule="exact"/>
        <w:rPr>
          <w:rFonts w:ascii="Arial" w:cs="Arial" w:eastAsia="Arial" w:hAnsi="Arial"/>
          <w:sz w:val="14"/>
          <w:szCs w:val="14"/>
          <w:color w:val="auto"/>
        </w:rPr>
      </w:pPr>
    </w:p>
    <w:p>
      <w:pPr>
        <w:ind w:left="980" w:right="140" w:hanging="218"/>
        <w:spacing w:after="0" w:line="282" w:lineRule="auto"/>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in this column represents the grant date fair value calculated in accordance with FASB ASC Topic 718 with respect to the grant of restricted stock units. Assumptions used in calculating these amounts are described in Note 18 of the Company’s audited financial statements for the fiscal year ended December 31, 2024, included in our Annual Report on Form 10-K for the fiscal year ended December 31, 2024.</w:t>
      </w:r>
    </w:p>
    <w:p>
      <w:pPr>
        <w:spacing w:after="0" w:line="66" w:lineRule="exact"/>
        <w:rPr>
          <w:rFonts w:ascii="Arial" w:cs="Arial" w:eastAsia="Arial" w:hAnsi="Arial"/>
          <w:sz w:val="14"/>
          <w:szCs w:val="14"/>
          <w:color w:val="auto"/>
        </w:rPr>
      </w:pPr>
    </w:p>
    <w:p>
      <w:pPr>
        <w:ind w:left="980" w:right="100" w:hanging="218"/>
        <w:spacing w:after="0" w:line="282" w:lineRule="auto"/>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December 31, 2024, Mmes. Gambale and Minieri, and Messrs. Cruger, Grano, Nixon, Quick, Urban, and Michael Viola each held 6,681 unvested restricted stock units of the Company. In addition, as of December 31, 2024, Vincent Viola held 693,750 stock options of the Company, all of which were vested and exercisable. For outstanding equity awards held by Mr. Cifu, please see “Outstanding Equity Awards at End of Fiscal Year 2024” above.</w:t>
      </w:r>
    </w:p>
    <w:p>
      <w:pPr>
        <w:spacing w:after="0" w:line="66" w:lineRule="exact"/>
        <w:rPr>
          <w:rFonts w:ascii="Arial" w:cs="Arial" w:eastAsia="Arial" w:hAnsi="Arial"/>
          <w:sz w:val="14"/>
          <w:szCs w:val="14"/>
          <w:color w:val="auto"/>
        </w:rPr>
      </w:pPr>
    </w:p>
    <w:p>
      <w:pPr>
        <w:ind w:left="980" w:hanging="218"/>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Vincent Viola does not receive any compensation for serving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1223645</wp:posOffset>
            </wp:positionV>
            <wp:extent cx="754380" cy="240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080"/>
        <w:spacing w:after="0" w:line="247" w:lineRule="auto"/>
        <w:rPr>
          <w:sz w:val="20"/>
          <w:szCs w:val="20"/>
          <w:color w:val="auto"/>
        </w:rPr>
      </w:pPr>
      <w:r>
        <w:rPr>
          <w:rFonts w:ascii="Arial" w:cs="Arial" w:eastAsia="Arial" w:hAnsi="Arial"/>
          <w:sz w:val="53"/>
          <w:szCs w:val="53"/>
          <w:color w:val="002453"/>
        </w:rPr>
        <w:t>Proposal 4: Ratification of Appointment of Independent Registered Public Accounting Firm</w:t>
      </w:r>
    </w:p>
    <w:p>
      <w:pPr>
        <w:spacing w:after="0" w:line="46"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2025. Stockholder ratification of the appointment of PricewaterhouseCoopers LLP is not required by law.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p>
    <w:p>
      <w:pPr>
        <w:spacing w:after="0" w:line="75" w:lineRule="exact"/>
        <w:rPr>
          <w:sz w:val="20"/>
          <w:szCs w:val="20"/>
          <w:color w:val="auto"/>
        </w:rPr>
      </w:pPr>
    </w:p>
    <w:p>
      <w:pPr>
        <w:ind w:left="760" w:right="340"/>
        <w:spacing w:after="0" w:line="268"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62"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the ratification of the appointment of PricewaterhouseCoopers LLP. Abstentions have the same effect as a vote “against” the proposal, and broker non-votes are not expected as the proposal is a “routine”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287020</wp:posOffset>
            </wp:positionV>
            <wp:extent cx="5829300" cy="4800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453"/>
                <w:w w:val="99"/>
              </w:rPr>
              <w:t>The board of directors recommends that you vote FOR the ratification of PricewaterhouseCoopers LLP</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453"/>
                <w:w w:val="99"/>
              </w:rPr>
              <w:t>as our independent auditor for the fiscal year ending December 31, 2025.</w:t>
            </w:r>
          </w:p>
        </w:tc>
        <w:tc>
          <w:tcPr>
            <w:tcW w:w="140" w:type="dxa"/>
            <w:vAlign w:val="bottom"/>
            <w:vMerge w:val="restart"/>
          </w:tcPr>
          <w:p>
            <w:pPr>
              <w:ind w:left="8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8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880"/>
        <w:spacing w:after="0" w:line="265" w:lineRule="auto"/>
        <w:rPr>
          <w:sz w:val="20"/>
          <w:szCs w:val="20"/>
          <w:color w:val="auto"/>
        </w:rPr>
      </w:pPr>
      <w:r>
        <w:rPr>
          <w:rFonts w:ascii="Arial" w:cs="Arial" w:eastAsia="Arial" w:hAnsi="Arial"/>
          <w:sz w:val="53"/>
          <w:szCs w:val="53"/>
          <w:color w:val="002453"/>
        </w:rPr>
        <w:t>Information Regarding Independent Registered Public Accounting Firm</w:t>
      </w:r>
    </w:p>
    <w:p>
      <w:pPr>
        <w:spacing w:after="0" w:line="1" w:lineRule="exact"/>
        <w:rPr>
          <w:sz w:val="20"/>
          <w:szCs w:val="20"/>
          <w:color w:val="auto"/>
        </w:rPr>
      </w:pPr>
    </w:p>
    <w:p>
      <w:pPr>
        <w:ind w:left="760" w:right="420"/>
        <w:spacing w:after="0" w:line="287" w:lineRule="auto"/>
        <w:rPr>
          <w:sz w:val="20"/>
          <w:szCs w:val="20"/>
          <w:color w:val="auto"/>
        </w:rPr>
      </w:pPr>
      <w:r>
        <w:rPr>
          <w:rFonts w:ascii="Arial" w:cs="Arial" w:eastAsia="Arial" w:hAnsi="Arial"/>
          <w:sz w:val="18"/>
          <w:szCs w:val="18"/>
          <w:color w:val="auto"/>
        </w:rPr>
        <w:t>PricewaterhouseCoopers LLP has served as the Company’s independent registered public accounting firm since 2018.</w:t>
      </w:r>
    </w:p>
    <w:p>
      <w:pPr>
        <w:spacing w:after="0" w:line="45" w:lineRule="exact"/>
        <w:rPr>
          <w:sz w:val="20"/>
          <w:szCs w:val="20"/>
          <w:color w:val="auto"/>
        </w:rPr>
      </w:pPr>
    </w:p>
    <w:p>
      <w:pPr>
        <w:ind w:left="760" w:right="100"/>
        <w:spacing w:after="0" w:line="268" w:lineRule="auto"/>
        <w:rPr>
          <w:sz w:val="20"/>
          <w:szCs w:val="20"/>
          <w:color w:val="auto"/>
        </w:rPr>
      </w:pPr>
      <w:r>
        <w:rPr>
          <w:rFonts w:ascii="Arial" w:cs="Arial" w:eastAsia="Arial" w:hAnsi="Arial"/>
          <w:sz w:val="18"/>
          <w:szCs w:val="18"/>
          <w:color w:val="auto"/>
        </w:rPr>
        <w:t>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63" w:lineRule="exact"/>
        <w:rPr>
          <w:sz w:val="20"/>
          <w:szCs w:val="20"/>
          <w:color w:val="auto"/>
        </w:rPr>
      </w:pPr>
    </w:p>
    <w:p>
      <w:pPr>
        <w:ind w:left="760" w:right="340"/>
        <w:spacing w:after="0" w:line="268"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380"/>
        <w:spacing w:after="0" w:line="268" w:lineRule="auto"/>
        <w:rPr>
          <w:sz w:val="20"/>
          <w:szCs w:val="20"/>
          <w:color w:val="auto"/>
        </w:rPr>
      </w:pPr>
      <w:r>
        <w:rPr>
          <w:rFonts w:ascii="Arial" w:cs="Arial" w:eastAsia="Arial" w:hAnsi="Arial"/>
          <w:sz w:val="18"/>
          <w:szCs w:val="18"/>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63" w:lineRule="exact"/>
        <w:rPr>
          <w:sz w:val="20"/>
          <w:szCs w:val="20"/>
          <w:color w:val="auto"/>
        </w:rPr>
      </w:pPr>
    </w:p>
    <w:p>
      <w:pPr>
        <w:ind w:left="760" w:right="140"/>
        <w:spacing w:after="0" w:line="257" w:lineRule="auto"/>
        <w:rPr>
          <w:sz w:val="20"/>
          <w:szCs w:val="20"/>
          <w:color w:val="auto"/>
        </w:rPr>
      </w:pPr>
      <w:r>
        <w:rPr>
          <w:rFonts w:ascii="Arial" w:cs="Arial" w:eastAsia="Arial" w:hAnsi="Arial"/>
          <w:sz w:val="18"/>
          <w:szCs w:val="18"/>
          <w:color w:val="auto"/>
        </w:rPr>
        <w:t>All of the audit related, tax and all other services provided by PricewaterhouseCoopers LLP to us during the past two fiscal years were approved by our Audit Committee, and none of such services were approved pursuant to the exception provided by Rule 2-01(c)(7)(i)(C) under Regulation S-X. All non-audit services provided during this period were reviewed with the Audit Committee, which in each case concluded that the provision of such services by PricewaterhouseCoopers LLP was compatible with the maintenance of that firm’s independence in the conduct of its auditing functions.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Independent Registered Public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The following table presents aggregate fees billed to us for services rendered by our current independent registered public accounting firm, PricewaterhouseCoopers LLP, for the fiscal years ended December 31, 2024, and December 31, 2023.</w:t>
      </w:r>
    </w:p>
    <w:p>
      <w:pPr>
        <w:spacing w:after="0" w:line="86"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41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3140" w:type="dxa"/>
            <w:vAlign w:val="bottom"/>
            <w:tcBorders>
              <w:bottom w:val="single" w:sz="8" w:color="00C08A"/>
            </w:tcBorders>
          </w:tcPr>
          <w:p>
            <w:pPr>
              <w:ind w:left="2780"/>
              <w:spacing w:after="0"/>
              <w:rPr>
                <w:sz w:val="20"/>
                <w:szCs w:val="20"/>
                <w:color w:val="auto"/>
              </w:rPr>
            </w:pPr>
            <w:r>
              <w:rPr>
                <w:rFonts w:ascii="Arial" w:cs="Arial" w:eastAsia="Arial" w:hAnsi="Arial"/>
                <w:sz w:val="14"/>
                <w:szCs w:val="14"/>
                <w:b w:val="1"/>
                <w:bCs w:val="1"/>
                <w:color w:val="002453"/>
              </w:rPr>
              <w:t>​ ​</w:t>
            </w:r>
          </w:p>
        </w:tc>
        <w:tc>
          <w:tcPr>
            <w:tcW w:w="500" w:type="dxa"/>
            <w:vAlign w:val="bottom"/>
            <w:tcBorders>
              <w:bottom w:val="single" w:sz="8" w:color="00C08A"/>
            </w:tcBorders>
          </w:tcPr>
          <w:p>
            <w:pPr>
              <w:jc w:val="right"/>
              <w:ind w:right="4"/>
              <w:spacing w:after="0"/>
              <w:rPr>
                <w:sz w:val="20"/>
                <w:szCs w:val="20"/>
                <w:color w:val="auto"/>
              </w:rPr>
            </w:pPr>
            <w:r>
              <w:rPr>
                <w:rFonts w:ascii="Arial" w:cs="Arial" w:eastAsia="Arial" w:hAnsi="Arial"/>
                <w:sz w:val="14"/>
                <w:szCs w:val="14"/>
                <w:b w:val="1"/>
                <w:bCs w:val="1"/>
                <w:color w:val="002453"/>
              </w:rPr>
              <w:t>2024</w:t>
            </w:r>
          </w:p>
        </w:tc>
        <w:tc>
          <w:tcPr>
            <w:tcW w:w="660" w:type="dxa"/>
            <w:vAlign w:val="bottom"/>
            <w:tcBorders>
              <w:bottom w:val="single" w:sz="8" w:color="00C08A"/>
            </w:tcBorders>
          </w:tcPr>
          <w:p>
            <w:pPr>
              <w:jc w:val="right"/>
              <w:ind w:right="144"/>
              <w:spacing w:after="0"/>
              <w:rPr>
                <w:sz w:val="20"/>
                <w:szCs w:val="20"/>
                <w:color w:val="auto"/>
              </w:rPr>
            </w:pPr>
            <w:r>
              <w:rPr>
                <w:rFonts w:ascii="Arial" w:cs="Arial" w:eastAsia="Arial" w:hAnsi="Arial"/>
                <w:sz w:val="14"/>
                <w:szCs w:val="14"/>
                <w:b w:val="1"/>
                <w:bCs w:val="1"/>
                <w:color w:val="002453"/>
              </w:rPr>
              <w:t>​ ​</w:t>
            </w:r>
          </w:p>
        </w:tc>
        <w:tc>
          <w:tcPr>
            <w:tcW w:w="4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2023</w:t>
            </w:r>
          </w:p>
        </w:tc>
        <w:tc>
          <w:tcPr>
            <w:tcW w:w="240" w:type="dxa"/>
            <w:vAlign w:val="bottom"/>
            <w:tcBorders>
              <w:bottom w:val="single" w:sz="8" w:color="00C08A"/>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r>
      <w:tr>
        <w:trPr>
          <w:trHeight w:val="263"/>
        </w:trPr>
        <w:tc>
          <w:tcPr>
            <w:tcW w:w="41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5020" w:type="dxa"/>
            <w:vAlign w:val="bottom"/>
            <w:tcBorders>
              <w:bottom w:val="single" w:sz="8" w:color="00C08A"/>
            </w:tcBorders>
            <w:gridSpan w:val="5"/>
            <w:shd w:val="clear" w:color="auto" w:fill="CCEEFF"/>
          </w:tcPr>
          <w:p>
            <w:pPr>
              <w:ind w:left="27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$7,238,500</w:t>
            </w:r>
            <w:r>
              <w:rPr>
                <w:rFonts w:ascii="Arial" w:cs="Arial" w:eastAsia="Arial" w:hAnsi="Arial"/>
                <w:sz w:val="30"/>
                <w:szCs w:val="30"/>
                <w:color w:val="auto"/>
                <w:vertAlign w:val="subscript"/>
              </w:rPr>
              <w:t>​​ ​​</w:t>
            </w:r>
            <w:r>
              <w:rPr>
                <w:rFonts w:ascii="Arial" w:cs="Arial" w:eastAsia="Arial" w:hAnsi="Arial"/>
                <w:sz w:val="16"/>
                <w:szCs w:val="16"/>
                <w:color w:val="auto"/>
              </w:rPr>
              <w:t>$6,928,526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spacing w:after="0"/>
              <w:rPr>
                <w:sz w:val="20"/>
                <w:szCs w:val="20"/>
                <w:color w:val="auto"/>
              </w:rPr>
            </w:pPr>
            <w:r>
              <w:rPr>
                <w:rFonts w:ascii="Arial" w:cs="Arial" w:eastAsia="Arial" w:hAnsi="Arial"/>
                <w:sz w:val="18"/>
                <w:szCs w:val="18"/>
                <w:color w:val="auto"/>
              </w:rPr>
              <w:t>Audit-related fees</w:t>
            </w:r>
          </w:p>
        </w:tc>
        <w:tc>
          <w:tcPr>
            <w:tcW w:w="3140" w:type="dxa"/>
            <w:vAlign w:val="bottom"/>
          </w:tcPr>
          <w:p>
            <w:pPr>
              <w:ind w:left="27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60" w:type="dxa"/>
            <w:vAlign w:val="bottom"/>
            <w:gridSpan w:val="2"/>
          </w:tcPr>
          <w:p>
            <w:pPr>
              <w:jc w:val="right"/>
              <w:ind w:right="4"/>
              <w:spacing w:after="0" w:line="264" w:lineRule="exact"/>
              <w:rPr>
                <w:sz w:val="20"/>
                <w:szCs w:val="20"/>
                <w:color w:val="auto"/>
              </w:rPr>
            </w:pPr>
            <w:r>
              <w:rPr>
                <w:rFonts w:ascii="Arial" w:cs="Arial" w:eastAsia="Arial" w:hAnsi="Arial"/>
                <w:sz w:val="16"/>
                <w:szCs w:val="16"/>
                <w:color w:val="auto"/>
              </w:rPr>
              <w:t>120,403</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78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151,403</w:t>
            </w:r>
            <w:r>
              <w:rPr>
                <w:rFonts w:ascii="Arial" w:cs="Arial" w:eastAsia="Arial" w:hAnsi="Arial"/>
                <w:sz w:val="30"/>
                <w:szCs w:val="30"/>
                <w:color w:val="auto"/>
                <w:vertAlign w:val="subscript"/>
              </w:rPr>
              <w:t>​</w:t>
            </w:r>
          </w:p>
        </w:tc>
      </w:tr>
      <w:tr>
        <w:trPr>
          <w:trHeight w:val="264"/>
        </w:trPr>
        <w:tc>
          <w:tcPr>
            <w:tcW w:w="4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5020" w:type="dxa"/>
            <w:vAlign w:val="bottom"/>
            <w:tcBorders>
              <w:top w:val="single" w:sz="8" w:color="00C08A"/>
              <w:bottom w:val="single" w:sz="8" w:color="00C08A"/>
            </w:tcBorders>
            <w:gridSpan w:val="5"/>
            <w:shd w:val="clear" w:color="auto" w:fill="CCEEFF"/>
          </w:tcPr>
          <w:p>
            <w:pPr>
              <w:ind w:left="27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$2,232,182</w:t>
            </w:r>
            <w:r>
              <w:rPr>
                <w:rFonts w:ascii="Arial" w:cs="Arial" w:eastAsia="Arial" w:hAnsi="Arial"/>
                <w:sz w:val="30"/>
                <w:szCs w:val="30"/>
                <w:color w:val="auto"/>
                <w:vertAlign w:val="subscript"/>
              </w:rPr>
              <w:t>​​ ​​</w:t>
            </w:r>
            <w:r>
              <w:rPr>
                <w:rFonts w:ascii="Arial" w:cs="Arial" w:eastAsia="Arial" w:hAnsi="Arial"/>
                <w:sz w:val="16"/>
                <w:szCs w:val="16"/>
                <w:color w:val="auto"/>
              </w:rPr>
              <w:t>$ 2,119,541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ind w:left="27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500" w:type="dxa"/>
            <w:vAlign w:val="bottom"/>
          </w:tcPr>
          <w:p>
            <w:pPr>
              <w:spacing w:after="0"/>
              <w:rPr>
                <w:sz w:val="22"/>
                <w:szCs w:val="22"/>
                <w:color w:val="auto"/>
              </w:rPr>
            </w:pPr>
          </w:p>
        </w:tc>
        <w:tc>
          <w:tcPr>
            <w:tcW w:w="660" w:type="dxa"/>
            <w:vAlign w:val="bottom"/>
          </w:tcPr>
          <w:p>
            <w:pPr>
              <w:jc w:val="right"/>
              <w:ind w:right="4"/>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480" w:type="dxa"/>
            <w:vAlign w:val="bottom"/>
          </w:tcPr>
          <w:p>
            <w:pPr>
              <w:spacing w:after="0"/>
              <w:rPr>
                <w:sz w:val="22"/>
                <w:szCs w:val="22"/>
                <w:color w:val="auto"/>
              </w:rPr>
            </w:pPr>
          </w:p>
        </w:tc>
        <w:tc>
          <w:tcPr>
            <w:tcW w:w="30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r>
      <w:tr>
        <w:trPr>
          <w:trHeight w:val="263"/>
        </w:trPr>
        <w:tc>
          <w:tcPr>
            <w:tcW w:w="4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20" w:type="dxa"/>
            <w:vAlign w:val="bottom"/>
            <w:tcBorders>
              <w:top w:val="single" w:sz="8" w:color="00C08A"/>
              <w:bottom w:val="single" w:sz="8" w:color="00C08A"/>
            </w:tcBorders>
            <w:gridSpan w:val="5"/>
            <w:shd w:val="clear" w:color="auto" w:fill="CCEEFF"/>
          </w:tcPr>
          <w:p>
            <w:pPr>
              <w:ind w:left="27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$9,591,085</w:t>
            </w:r>
            <w:r>
              <w:rPr>
                <w:rFonts w:ascii="Arial" w:cs="Arial" w:eastAsia="Arial" w:hAnsi="Arial"/>
                <w:sz w:val="30"/>
                <w:szCs w:val="30"/>
                <w:color w:val="auto"/>
                <w:vertAlign w:val="subscript"/>
              </w:rPr>
              <w:t>​​ ​​</w:t>
            </w:r>
            <w:r>
              <w:rPr>
                <w:rFonts w:ascii="Arial" w:cs="Arial" w:eastAsia="Arial" w:hAnsi="Arial"/>
                <w:sz w:val="16"/>
                <w:szCs w:val="16"/>
                <w:color w:val="auto"/>
              </w:rPr>
              <w:t>$9,199,470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80"/>
        <w:spacing w:after="0" w:line="259" w:lineRule="auto"/>
        <w:rPr>
          <w:sz w:val="20"/>
          <w:szCs w:val="20"/>
          <w:color w:val="auto"/>
        </w:rPr>
      </w:pPr>
      <w:r>
        <w:rPr>
          <w:rFonts w:ascii="Arial" w:cs="Arial" w:eastAsia="Arial" w:hAnsi="Arial"/>
          <w:sz w:val="18"/>
          <w:szCs w:val="18"/>
          <w:color w:val="auto"/>
        </w:rPr>
        <w:t>This category includes the aggregate fees during 2024 and 2023 for audit services provided by our independent registered public accounting firm for the fiscal years ending December 31, 2024 and December 31, 2023, including for the audits of our annual consolidated financial statements, and reviews of each of the quarterly financial statements included in our Quarterly Reports on Form 10-Q, as well as audits of the consolidated financial statements of various of our regulated and foreign operating subsidiaries.</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00"/>
        <w:spacing w:after="0" w:line="287" w:lineRule="auto"/>
        <w:rPr>
          <w:sz w:val="20"/>
          <w:szCs w:val="20"/>
          <w:color w:val="auto"/>
        </w:rPr>
      </w:pPr>
      <w:r>
        <w:rPr>
          <w:rFonts w:ascii="Arial" w:cs="Arial" w:eastAsia="Arial" w:hAnsi="Arial"/>
          <w:sz w:val="18"/>
          <w:szCs w:val="18"/>
          <w:color w:val="auto"/>
        </w:rPr>
        <w:t>This category includes the aggregate fees during 2024 and 2023 for services related to the performance of the audits and reviews described in the preceding paragraph that are not included in the Audit Fees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177800</wp:posOffset>
            </wp:positionV>
            <wp:extent cx="754380" cy="2400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REGARDING INDEPENDENT REGISTERED PUBLIC ACCOUNTING FIRM</w:t>
      </w:r>
    </w:p>
    <w:p>
      <w:pPr>
        <w:spacing w:after="0" w:line="225"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color w:val="auto"/>
        </w:rPr>
        <w:t>This category also includes fees associated with (i) accounting consultations and due diligence related to certain transactions, (ii) services rendered in connection with our registration statements and securities offerings, (iii) reports on controls of a service organization, (iv) reports on internal controls with respect to client assets, and (v) subscriptions to technical accounting resources.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This category includes the aggregate fees during 2024 and 2023 for professional tax services provided by the independent registered public accounting firm or its affiliates, including for tax compliance and tax advice.</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other fees during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Audit Committee Report</w:t>
      </w:r>
    </w:p>
    <w:p>
      <w:pPr>
        <w:spacing w:after="0" w:line="146" w:lineRule="exact"/>
        <w:rPr>
          <w:sz w:val="20"/>
          <w:szCs w:val="20"/>
          <w:color w:val="auto"/>
        </w:rPr>
      </w:pPr>
    </w:p>
    <w:p>
      <w:pPr>
        <w:ind w:left="760" w:right="220"/>
        <w:spacing w:after="0" w:line="257" w:lineRule="auto"/>
        <w:rPr>
          <w:sz w:val="20"/>
          <w:szCs w:val="20"/>
          <w:color w:val="auto"/>
        </w:rPr>
      </w:pPr>
      <w:r>
        <w:rPr>
          <w:rFonts w:ascii="Arial" w:cs="Arial" w:eastAsia="Arial" w:hAnsi="Arial"/>
          <w:sz w:val="18"/>
          <w:szCs w:val="18"/>
          <w:i w:val="1"/>
          <w:iCs w:val="1"/>
          <w:color w:val="auto"/>
        </w:rPr>
        <w:t>The following is the report of the Audit Committee of Virtu Financial, Inc. (the “</w:t>
      </w:r>
      <w:r>
        <w:rPr>
          <w:rFonts w:ascii="Arial" w:cs="Arial" w:eastAsia="Arial" w:hAnsi="Arial"/>
          <w:sz w:val="18"/>
          <w:szCs w:val="18"/>
          <w:b w:val="1"/>
          <w:bCs w:val="1"/>
          <w:color w:val="auto"/>
        </w:rPr>
        <w:t>Company</w:t>
      </w:r>
      <w:r>
        <w:rPr>
          <w:rFonts w:ascii="Arial" w:cs="Arial" w:eastAsia="Arial" w:hAnsi="Arial"/>
          <w:sz w:val="18"/>
          <w:szCs w:val="18"/>
          <w:i w:val="1"/>
          <w:iCs w:val="1"/>
          <w:color w:val="auto"/>
        </w:rPr>
        <w:t>”) with respect to our audited financial statements for the year ended December 31, 2024. The information contained in this report shall not be deemed “soliciting material” or otherwise considered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i w:val="1"/>
          <w:iCs w:val="1"/>
          <w:color w:val="auto"/>
        </w:rPr>
        <w:t>”), and such information shall not be incorporated by reference into any future filing under the Securities Exchange Act of 1934, as amended, except to the extent that we specifically incorporate such information by reference in such filing.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hereby reports as follows:</w:t>
      </w:r>
    </w:p>
    <w:p>
      <w:pPr>
        <w:spacing w:after="0" w:line="117" w:lineRule="exact"/>
        <w:rPr>
          <w:sz w:val="20"/>
          <w:szCs w:val="20"/>
          <w:color w:val="auto"/>
        </w:rPr>
      </w:pPr>
    </w:p>
    <w:p>
      <w:pPr>
        <w:jc w:val="both"/>
        <w:ind w:left="980" w:right="120" w:hanging="2"/>
        <w:spacing w:after="0" w:line="268" w:lineRule="auto"/>
        <w:tabs>
          <w:tab w:leader="none" w:pos="1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62" w:lineRule="exact"/>
        <w:rPr>
          <w:rFonts w:ascii="Arial" w:cs="Arial" w:eastAsia="Arial" w:hAnsi="Arial"/>
          <w:sz w:val="18"/>
          <w:szCs w:val="18"/>
          <w:color w:val="auto"/>
        </w:rPr>
      </w:pPr>
    </w:p>
    <w:p>
      <w:pPr>
        <w:ind w:left="980" w:right="100" w:hanging="2"/>
        <w:spacing w:after="0" w:line="262" w:lineRule="auto"/>
        <w:tabs>
          <w:tab w:leader="none" w:pos="1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applicable requirements of the PCAOB and the SEC.</w:t>
      </w:r>
    </w:p>
    <w:p>
      <w:pPr>
        <w:spacing w:after="0" w:line="68" w:lineRule="exact"/>
        <w:rPr>
          <w:sz w:val="20"/>
          <w:szCs w:val="20"/>
          <w:color w:val="auto"/>
        </w:rPr>
      </w:pPr>
    </w:p>
    <w:p>
      <w:pPr>
        <w:ind w:left="980" w:right="360"/>
        <w:spacing w:after="0" w:line="257" w:lineRule="auto"/>
        <w:rPr>
          <w:sz w:val="20"/>
          <w:szCs w:val="20"/>
          <w:color w:val="auto"/>
        </w:rPr>
      </w:pPr>
      <w:r>
        <w:rPr>
          <w:rFonts w:ascii="Arial" w:cs="Arial" w:eastAsia="Arial" w:hAnsi="Arial"/>
          <w:sz w:val="18"/>
          <w:szCs w:val="18"/>
          <w:color w:val="auto"/>
        </w:rPr>
        <w:t>3.The Audit Committee has received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p>
    <w:p>
      <w:pPr>
        <w:spacing w:after="0" w:line="74" w:lineRule="exact"/>
        <w:rPr>
          <w:sz w:val="20"/>
          <w:szCs w:val="20"/>
          <w:color w:val="auto"/>
        </w:rPr>
      </w:pPr>
    </w:p>
    <w:p>
      <w:pPr>
        <w:ind w:left="980" w:right="80" w:hanging="2"/>
        <w:spacing w:after="0" w:line="287" w:lineRule="auto"/>
        <w:tabs>
          <w:tab w:leader="none" w:pos="1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Audit Committee has an established charter outlining the practices it follows. The charter is available on the Company’s website at: http://ir.virtu.com/corporate-governance.com.</w:t>
      </w:r>
    </w:p>
    <w:p>
      <w:pPr>
        <w:spacing w:after="0" w:line="44" w:lineRule="exact"/>
        <w:rPr>
          <w:rFonts w:ascii="Arial" w:cs="Arial" w:eastAsia="Arial" w:hAnsi="Arial"/>
          <w:sz w:val="18"/>
          <w:szCs w:val="18"/>
          <w:color w:val="auto"/>
        </w:rPr>
      </w:pPr>
    </w:p>
    <w:p>
      <w:pPr>
        <w:ind w:left="980" w:right="380" w:hanging="2"/>
        <w:spacing w:after="0" w:line="262" w:lineRule="auto"/>
        <w:tabs>
          <w:tab w:leader="none" w:pos="1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Company’s board of directors, and the board has approved, that the audited financial statements be included in the Company’s Annual Report on Form 10-K for the fiscal year ended December 31, 2024, for filing with the SEC.</w:t>
      </w:r>
    </w:p>
    <w:p>
      <w:pPr>
        <w:spacing w:after="0" w:line="286"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William F. Cruger, Jr.</w:t>
      </w:r>
    </w:p>
    <w:p>
      <w:pPr>
        <w:spacing w:after="0" w:line="25"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Joanne M. Minieri</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2260600</wp:posOffset>
            </wp:positionV>
            <wp:extent cx="754380" cy="240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240"/>
        <w:spacing w:after="0" w:line="233" w:lineRule="auto"/>
        <w:rPr>
          <w:sz w:val="20"/>
          <w:szCs w:val="20"/>
          <w:color w:val="auto"/>
        </w:rPr>
      </w:pPr>
      <w:r>
        <w:rPr>
          <w:rFonts w:ascii="Arial" w:cs="Arial" w:eastAsia="Arial" w:hAnsi="Arial"/>
          <w:sz w:val="54"/>
          <w:szCs w:val="54"/>
          <w:color w:val="002453"/>
        </w:rPr>
        <w:t>Proposal 5: Approval of the Virtu Financial, Inc. Second Amended and Restated 2015 Management Incentive Plan</w:t>
      </w:r>
    </w:p>
    <w:p>
      <w:pPr>
        <w:spacing w:after="0" w:line="56" w:lineRule="exact"/>
        <w:rPr>
          <w:sz w:val="20"/>
          <w:szCs w:val="20"/>
          <w:color w:val="auto"/>
        </w:rPr>
      </w:pPr>
    </w:p>
    <w:p>
      <w:pPr>
        <w:ind w:left="760" w:right="360"/>
        <w:spacing w:after="0" w:line="253" w:lineRule="auto"/>
        <w:rPr>
          <w:sz w:val="20"/>
          <w:szCs w:val="20"/>
          <w:color w:val="auto"/>
        </w:rPr>
      </w:pPr>
      <w:r>
        <w:rPr>
          <w:rFonts w:ascii="Arial" w:cs="Arial" w:eastAsia="Arial" w:hAnsi="Arial"/>
          <w:sz w:val="18"/>
          <w:szCs w:val="18"/>
          <w:color w:val="auto"/>
        </w:rPr>
        <w:t>We are seeking the approval by our stockholders of an amendment (the “Amendment”) to the Amended and Restated 2015 Management Incentive Plan (the “Amended Plan”), and when referred to herein as proposed to be amended and restated, the Second Amended Plan.</w:t>
      </w:r>
    </w:p>
    <w:p>
      <w:pPr>
        <w:spacing w:after="0" w:line="74"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Prior to our Annual Meeting, our board of directors adopted, subject to shareholder approval, the Second Amended Plan. A copy of the Second Amended Plan is attached to this proxy statement as Appendix A. The changes included in the Second Amended Plan would:</w:t>
      </w:r>
    </w:p>
    <w:p>
      <w:pPr>
        <w:spacing w:after="0" w:line="61" w:lineRule="exact"/>
        <w:rPr>
          <w:sz w:val="20"/>
          <w:szCs w:val="20"/>
          <w:color w:val="auto"/>
        </w:rPr>
      </w:pPr>
    </w:p>
    <w:p>
      <w:pPr>
        <w:ind w:left="1340" w:right="380" w:hanging="218"/>
        <w:spacing w:after="0" w:line="268" w:lineRule="auto"/>
        <w:tabs>
          <w:tab w:leader="none" w:pos="1340" w:val="left"/>
        </w:tabs>
        <w:numPr>
          <w:ilvl w:val="0"/>
          <w:numId w:val="35"/>
        </w:numPr>
        <w:rPr>
          <w:rFonts w:ascii="Arial" w:cs="Arial" w:eastAsia="Arial" w:hAnsi="Arial"/>
          <w:sz w:val="18"/>
          <w:szCs w:val="18"/>
          <w:color w:val="002453"/>
        </w:rPr>
      </w:pPr>
      <w:r>
        <w:rPr>
          <w:rFonts w:ascii="Arial" w:cs="Arial" w:eastAsia="Arial" w:hAnsi="Arial"/>
          <w:sz w:val="18"/>
          <w:szCs w:val="18"/>
          <w:b w:val="1"/>
          <w:bCs w:val="1"/>
          <w:color w:val="auto"/>
        </w:rPr>
        <w:t>Increase in Aggregate Share Limit</w:t>
      </w:r>
      <w:r>
        <w:rPr>
          <w:rFonts w:ascii="Arial" w:cs="Arial" w:eastAsia="Arial" w:hAnsi="Arial"/>
          <w:sz w:val="18"/>
          <w:szCs w:val="18"/>
          <w:color w:val="auto"/>
        </w:rPr>
        <w:t>. Increases the number of shares of the Company’s Class A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future issuance under the Second Amended Plan by 7,500,000 shares to a total of 33,500,000 shares.</w:t>
      </w:r>
    </w:p>
    <w:p>
      <w:pPr>
        <w:spacing w:after="0" w:line="49" w:lineRule="exact"/>
        <w:rPr>
          <w:rFonts w:ascii="Arial" w:cs="Arial" w:eastAsia="Arial" w:hAnsi="Arial"/>
          <w:sz w:val="18"/>
          <w:szCs w:val="18"/>
          <w:color w:val="002453"/>
        </w:rPr>
      </w:pPr>
    </w:p>
    <w:p>
      <w:pPr>
        <w:ind w:left="1340" w:hanging="218"/>
        <w:spacing w:after="0"/>
        <w:tabs>
          <w:tab w:leader="none" w:pos="1340" w:val="left"/>
        </w:tabs>
        <w:numPr>
          <w:ilvl w:val="0"/>
          <w:numId w:val="35"/>
        </w:numPr>
        <w:rPr>
          <w:rFonts w:ascii="Arial" w:cs="Arial" w:eastAsia="Arial" w:hAnsi="Arial"/>
          <w:sz w:val="18"/>
          <w:szCs w:val="18"/>
          <w:color w:val="002453"/>
        </w:rPr>
      </w:pPr>
      <w:r>
        <w:rPr>
          <w:rFonts w:ascii="Arial" w:cs="Arial" w:eastAsia="Arial" w:hAnsi="Arial"/>
          <w:sz w:val="18"/>
          <w:szCs w:val="18"/>
          <w:b w:val="1"/>
          <w:bCs w:val="1"/>
          <w:color w:val="auto"/>
        </w:rPr>
        <w:t>Extension of Expiration Date</w:t>
      </w:r>
      <w:r>
        <w:rPr>
          <w:rFonts w:ascii="Arial" w:cs="Arial" w:eastAsia="Arial" w:hAnsi="Arial"/>
          <w:sz w:val="18"/>
          <w:szCs w:val="18"/>
          <w:color w:val="auto"/>
        </w:rPr>
        <w:t>. Extends the expiration date from June 30, 2027 to June 2, 2035.</w:t>
      </w:r>
    </w:p>
    <w:p>
      <w:pPr>
        <w:spacing w:after="0" w:line="103" w:lineRule="exact"/>
        <w:rPr>
          <w:rFonts w:ascii="Arial" w:cs="Arial" w:eastAsia="Arial" w:hAnsi="Arial"/>
          <w:sz w:val="18"/>
          <w:szCs w:val="18"/>
          <w:color w:val="002453"/>
        </w:rPr>
      </w:pPr>
    </w:p>
    <w:p>
      <w:pPr>
        <w:ind w:left="1340" w:right="1040" w:hanging="218"/>
        <w:spacing w:after="0" w:line="287" w:lineRule="auto"/>
        <w:tabs>
          <w:tab w:leader="none" w:pos="1340" w:val="left"/>
        </w:tabs>
        <w:numPr>
          <w:ilvl w:val="0"/>
          <w:numId w:val="35"/>
        </w:numPr>
        <w:rPr>
          <w:rFonts w:ascii="Arial" w:cs="Arial" w:eastAsia="Arial" w:hAnsi="Arial"/>
          <w:sz w:val="18"/>
          <w:szCs w:val="18"/>
          <w:color w:val="002453"/>
        </w:rPr>
      </w:pPr>
      <w:r>
        <w:rPr>
          <w:rFonts w:ascii="Arial" w:cs="Arial" w:eastAsia="Arial" w:hAnsi="Arial"/>
          <w:sz w:val="18"/>
          <w:szCs w:val="18"/>
          <w:b w:val="1"/>
          <w:bCs w:val="1"/>
          <w:color w:val="auto"/>
        </w:rPr>
        <w:t>Removal of Certain Section 162(m) related Provisions</w:t>
      </w:r>
      <w:r>
        <w:rPr>
          <w:rFonts w:ascii="Arial" w:cs="Arial" w:eastAsia="Arial" w:hAnsi="Arial"/>
          <w:sz w:val="18"/>
          <w:szCs w:val="18"/>
          <w:color w:val="auto"/>
        </w:rPr>
        <w:t>. Removes certain provisions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Code that are no longer applicable.</w:t>
      </w:r>
    </w:p>
    <w:p>
      <w:pPr>
        <w:spacing w:after="0" w:line="45"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We expect the 7,500,000 additional shares to be sufficient funding under the Second Amended Plan for approximately three years, based upon the closing stock price of $37.03 on April 11, 2025. Our Board believes that equity compensation plays an important role in our compensation program, for retention purposes and to attract new employees by aligning the interests of the participants in our compensation programs with those of our stockholders, and therefore, it is essential for our Company to have a sufficient number of reserved shares available for issuance under our equity compensation plans, and without the additional shares, our Company would not be in a position to do so. These additional shares are necessary from a strategic and operational perspective in order to attract and retain the talent necessary for our business to be successful.</w:t>
      </w:r>
    </w:p>
    <w:p>
      <w:pPr>
        <w:spacing w:after="0" w:line="85" w:lineRule="exact"/>
        <w:rPr>
          <w:sz w:val="20"/>
          <w:szCs w:val="20"/>
          <w:color w:val="auto"/>
        </w:rPr>
      </w:pPr>
    </w:p>
    <w:p>
      <w:pPr>
        <w:ind w:left="760" w:right="240"/>
        <w:spacing w:after="0" w:line="244" w:lineRule="auto"/>
        <w:rPr>
          <w:sz w:val="20"/>
          <w:szCs w:val="20"/>
          <w:color w:val="auto"/>
        </w:rPr>
      </w:pPr>
      <w:r>
        <w:rPr>
          <w:rFonts w:ascii="Arial" w:cs="Arial" w:eastAsia="Arial" w:hAnsi="Arial"/>
          <w:sz w:val="18"/>
          <w:szCs w:val="18"/>
          <w:color w:val="auto"/>
        </w:rPr>
        <w:t>Our Board believes that the proposed increase will provide a sufficient number of available shares of our Class A common stock for future granting needs to help our Company achieve the purposes of the Second Amended Plan. Our Board reviewed our historical and prospective usage of equity to determine the number of shares we will most likely require for future compensation purposes for the next three years, subject to market conditions and Company performance. This review took into account shares remaining in the Amended Plan, potential shares that may become issuable in the future based on performance, including year-to-date accruals under our current programs, and the effect of new hires as our Company continues to grow. Our Board also considered our prospective equity usage relative to our peers.</w:t>
      </w:r>
    </w:p>
    <w:p>
      <w:pPr>
        <w:spacing w:after="0" w:line="72" w:lineRule="exact"/>
        <w:rPr>
          <w:sz w:val="20"/>
          <w:szCs w:val="20"/>
          <w:color w:val="auto"/>
        </w:rPr>
      </w:pPr>
    </w:p>
    <w:p>
      <w:pPr>
        <w:ind w:left="760" w:right="100"/>
        <w:spacing w:after="0" w:line="261" w:lineRule="auto"/>
        <w:rPr>
          <w:sz w:val="20"/>
          <w:szCs w:val="20"/>
          <w:color w:val="auto"/>
        </w:rPr>
      </w:pPr>
      <w:r>
        <w:rPr>
          <w:rFonts w:ascii="Arial" w:cs="Arial" w:eastAsia="Arial" w:hAnsi="Arial"/>
          <w:sz w:val="18"/>
          <w:szCs w:val="18"/>
          <w:color w:val="auto"/>
        </w:rPr>
        <w:t>If the stockholders do not approve this Proposal 5, the Amendment will not become effective, the proposed additional shares will not become available for issuance under the Amended Plan, and the Amended Plan will continue as in effect prior to the Amendment, subject to previously authorized share limits.</w:t>
      </w:r>
    </w:p>
    <w:p>
      <w:pPr>
        <w:spacing w:after="0" w:line="65" w:lineRule="exact"/>
        <w:rPr>
          <w:sz w:val="20"/>
          <w:szCs w:val="20"/>
          <w:color w:val="auto"/>
        </w:rPr>
      </w:pPr>
    </w:p>
    <w:p>
      <w:pPr>
        <w:ind w:left="760" w:right="240"/>
        <w:spacing w:after="0" w:line="268" w:lineRule="auto"/>
        <w:rPr>
          <w:sz w:val="20"/>
          <w:szCs w:val="20"/>
          <w:color w:val="auto"/>
        </w:rPr>
      </w:pPr>
      <w:r>
        <w:rPr>
          <w:rFonts w:ascii="Arial" w:cs="Arial" w:eastAsia="Arial" w:hAnsi="Arial"/>
          <w:sz w:val="29"/>
          <w:szCs w:val="29"/>
          <w:b w:val="1"/>
          <w:bCs w:val="1"/>
          <w:color w:val="002453"/>
        </w:rPr>
        <w:t>Summary of Sound Governance Features of the Second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5" w:lineRule="exact"/>
        <w:rPr>
          <w:sz w:val="20"/>
          <w:szCs w:val="20"/>
          <w:color w:val="auto"/>
        </w:rPr>
      </w:pPr>
    </w:p>
    <w:p>
      <w:pPr>
        <w:jc w:val="both"/>
        <w:ind w:left="760" w:right="200"/>
        <w:spacing w:after="0" w:line="261" w:lineRule="auto"/>
        <w:rPr>
          <w:sz w:val="20"/>
          <w:szCs w:val="20"/>
          <w:color w:val="auto"/>
        </w:rPr>
      </w:pPr>
      <w:r>
        <w:rPr>
          <w:rFonts w:ascii="Arial" w:cs="Arial" w:eastAsia="Arial" w:hAnsi="Arial"/>
          <w:sz w:val="18"/>
          <w:szCs w:val="18"/>
          <w:color w:val="auto"/>
        </w:rPr>
        <w:t>The Board and the Compensation Committee believe the Second Amended Plan, as amended by the Amendment, contains several features that are consistent with the interests of our stockholders and sound corporate governance practices, including the following:</w:t>
      </w:r>
    </w:p>
    <w:p>
      <w:pPr>
        <w:spacing w:after="0" w:line="40" w:lineRule="exact"/>
        <w:rPr>
          <w:sz w:val="20"/>
          <w:szCs w:val="20"/>
          <w:color w:val="auto"/>
        </w:rPr>
      </w:pPr>
    </w:p>
    <w:p>
      <w:pPr>
        <w:ind w:left="1340" w:right="140" w:hanging="218"/>
        <w:spacing w:after="0" w:line="318" w:lineRule="auto"/>
        <w:tabs>
          <w:tab w:leader="none" w:pos="1340" w:val="left"/>
        </w:tabs>
        <w:numPr>
          <w:ilvl w:val="0"/>
          <w:numId w:val="36"/>
        </w:numPr>
        <w:rPr>
          <w:rFonts w:ascii="Arial" w:cs="Arial" w:eastAsia="Arial" w:hAnsi="Arial"/>
          <w:sz w:val="17"/>
          <w:szCs w:val="17"/>
          <w:color w:val="002453"/>
        </w:rPr>
      </w:pPr>
      <w:r>
        <w:rPr>
          <w:rFonts w:ascii="Arial" w:cs="Arial" w:eastAsia="Arial" w:hAnsi="Arial"/>
          <w:sz w:val="17"/>
          <w:szCs w:val="17"/>
          <w:b w:val="1"/>
          <w:bCs w:val="1"/>
          <w:i w:val="1"/>
          <w:iCs w:val="1"/>
          <w:color w:val="auto"/>
        </w:rPr>
        <w:t xml:space="preserve">No “evergreen” provision. </w:t>
      </w:r>
      <w:r>
        <w:rPr>
          <w:rFonts w:ascii="Arial" w:cs="Arial" w:eastAsia="Arial" w:hAnsi="Arial"/>
          <w:sz w:val="17"/>
          <w:szCs w:val="17"/>
          <w:color w:val="auto"/>
        </w:rPr>
        <w:t>The number of shares of our Class A common stock available for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Second Amended Plan is fixed and does not adjust based upon the number of shares outstanding.</w:t>
      </w:r>
    </w:p>
    <w:p>
      <w:pPr>
        <w:spacing w:after="0" w:line="25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14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1200" w:right="300" w:hanging="222"/>
        <w:spacing w:after="0" w:line="268" w:lineRule="auto"/>
        <w:tabs>
          <w:tab w:leader="none" w:pos="1200" w:val="left"/>
        </w:tabs>
        <w:numPr>
          <w:ilvl w:val="0"/>
          <w:numId w:val="37"/>
        </w:numPr>
        <w:rPr>
          <w:rFonts w:ascii="Arial" w:cs="Arial" w:eastAsia="Arial" w:hAnsi="Arial"/>
          <w:sz w:val="18"/>
          <w:szCs w:val="18"/>
          <w:color w:val="002453"/>
        </w:rPr>
      </w:pPr>
      <w:r>
        <w:rPr>
          <w:rFonts w:ascii="Arial" w:cs="Arial" w:eastAsia="Arial" w:hAnsi="Arial"/>
          <w:sz w:val="18"/>
          <w:szCs w:val="18"/>
          <w:b w:val="1"/>
          <w:bCs w:val="1"/>
          <w:i w:val="1"/>
          <w:iCs w:val="1"/>
          <w:color w:val="auto"/>
        </w:rPr>
        <w:t xml:space="preserve">Will not be excessively dilutive to our stockholders. </w:t>
      </w:r>
      <w:r>
        <w:rPr>
          <w:rFonts w:ascii="Arial" w:cs="Arial" w:eastAsia="Arial" w:hAnsi="Arial"/>
          <w:sz w:val="18"/>
          <w:szCs w:val="18"/>
          <w:color w:val="auto"/>
        </w:rPr>
        <w:t>Subject to adjustment, the maximum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our Class A common stock authorized and reserved for issuance under the Second Amended Plan will increase from 26,000,000 to 33,500,000.</w:t>
      </w:r>
    </w:p>
    <w:p>
      <w:pPr>
        <w:spacing w:after="0" w:line="62" w:lineRule="exact"/>
        <w:rPr>
          <w:rFonts w:ascii="Arial" w:cs="Arial" w:eastAsia="Arial" w:hAnsi="Arial"/>
          <w:sz w:val="18"/>
          <w:szCs w:val="18"/>
          <w:color w:val="002453"/>
        </w:rPr>
      </w:pPr>
    </w:p>
    <w:p>
      <w:pPr>
        <w:ind w:left="1200" w:right="60" w:hanging="222"/>
        <w:spacing w:after="0" w:line="262" w:lineRule="auto"/>
        <w:tabs>
          <w:tab w:leader="none" w:pos="1200" w:val="left"/>
        </w:tabs>
        <w:numPr>
          <w:ilvl w:val="0"/>
          <w:numId w:val="37"/>
        </w:numPr>
        <w:rPr>
          <w:rFonts w:ascii="Arial" w:cs="Arial" w:eastAsia="Arial" w:hAnsi="Arial"/>
          <w:sz w:val="18"/>
          <w:szCs w:val="18"/>
          <w:color w:val="002453"/>
        </w:rPr>
      </w:pPr>
      <w:r>
        <w:rPr>
          <w:rFonts w:ascii="Arial" w:cs="Arial" w:eastAsia="Arial" w:hAnsi="Arial"/>
          <w:sz w:val="18"/>
          <w:szCs w:val="18"/>
          <w:b w:val="1"/>
          <w:bCs w:val="1"/>
          <w:i w:val="1"/>
          <w:iCs w:val="1"/>
          <w:color w:val="auto"/>
        </w:rPr>
        <w:t xml:space="preserve">No liberal change in control definition. </w:t>
      </w:r>
      <w:r>
        <w:rPr>
          <w:rFonts w:ascii="Arial" w:cs="Arial" w:eastAsia="Arial" w:hAnsi="Arial"/>
          <w:sz w:val="18"/>
          <w:szCs w:val="18"/>
          <w:color w:val="auto"/>
        </w:rPr>
        <w:t>The change in control definition in the Second Amended Plan is not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“liberal” definition and, for example, would not be achieved merely upon stockholder approval of a transaction. A change in control (or the approval of a plan of complete dissolution or liquidation) must actually occur in order for the change in control provisions in the Second Amended Plan to be triggered.</w:t>
      </w:r>
    </w:p>
    <w:p>
      <w:pPr>
        <w:spacing w:after="0" w:line="68" w:lineRule="exact"/>
        <w:rPr>
          <w:rFonts w:ascii="Arial" w:cs="Arial" w:eastAsia="Arial" w:hAnsi="Arial"/>
          <w:sz w:val="18"/>
          <w:szCs w:val="18"/>
          <w:color w:val="002453"/>
        </w:rPr>
      </w:pPr>
    </w:p>
    <w:p>
      <w:pPr>
        <w:ind w:left="1200" w:right="980" w:hanging="222"/>
        <w:spacing w:after="0" w:line="287" w:lineRule="auto"/>
        <w:tabs>
          <w:tab w:leader="none" w:pos="1200" w:val="left"/>
        </w:tabs>
        <w:numPr>
          <w:ilvl w:val="0"/>
          <w:numId w:val="37"/>
        </w:numPr>
        <w:rPr>
          <w:rFonts w:ascii="Arial" w:cs="Arial" w:eastAsia="Arial" w:hAnsi="Arial"/>
          <w:sz w:val="18"/>
          <w:szCs w:val="18"/>
          <w:color w:val="002453"/>
        </w:rPr>
      </w:pPr>
      <w:r>
        <w:rPr>
          <w:rFonts w:ascii="Arial" w:cs="Arial" w:eastAsia="Arial" w:hAnsi="Arial"/>
          <w:sz w:val="18"/>
          <w:szCs w:val="18"/>
          <w:b w:val="1"/>
          <w:bCs w:val="1"/>
          <w:i w:val="1"/>
          <w:iCs w:val="1"/>
          <w:color w:val="auto"/>
        </w:rPr>
        <w:t xml:space="preserve">No repricing without stockholder approval. </w:t>
      </w:r>
      <w:r>
        <w:rPr>
          <w:rFonts w:ascii="Arial" w:cs="Arial" w:eastAsia="Arial" w:hAnsi="Arial"/>
          <w:sz w:val="18"/>
          <w:szCs w:val="18"/>
          <w:color w:val="auto"/>
        </w:rPr>
        <w:t>The Second Amended Plan prohibits the repricing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options or SARs (as defined below) without stockholder approval.</w:t>
      </w:r>
    </w:p>
    <w:p>
      <w:pPr>
        <w:spacing w:after="0" w:line="45" w:lineRule="exact"/>
        <w:rPr>
          <w:sz w:val="20"/>
          <w:szCs w:val="20"/>
          <w:color w:val="auto"/>
        </w:rPr>
      </w:pPr>
    </w:p>
    <w:p>
      <w:pPr>
        <w:ind w:left="760" w:right="120"/>
        <w:spacing w:after="0" w:line="262" w:lineRule="auto"/>
        <w:rPr>
          <w:sz w:val="20"/>
          <w:szCs w:val="20"/>
          <w:color w:val="auto"/>
        </w:rPr>
      </w:pPr>
      <w:r>
        <w:rPr>
          <w:rFonts w:ascii="Arial" w:cs="Arial" w:eastAsia="Arial" w:hAnsi="Arial"/>
          <w:sz w:val="18"/>
          <w:szCs w:val="18"/>
          <w:color w:val="auto"/>
        </w:rPr>
        <w:t>A copy of the Second Amended Plan is attached as Annex A to this Proxy Statement. Except for the change outlined above, there are no other changes to the terms and provisions of the Amended Plan. The Second Amended Plan was approved by our Board on April 22, 2025 and its adoption as the Second Amended Plan is subject to the approval of our stockholders at the Annual Meeting.</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Summary of the Second Amended Plan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60"/>
        <w:spacing w:after="0" w:line="262" w:lineRule="auto"/>
        <w:rPr>
          <w:sz w:val="20"/>
          <w:szCs w:val="20"/>
          <w:color w:val="auto"/>
        </w:rPr>
      </w:pPr>
      <w:r>
        <w:rPr>
          <w:rFonts w:ascii="Arial" w:cs="Arial" w:eastAsia="Arial" w:hAnsi="Arial"/>
          <w:sz w:val="18"/>
          <w:szCs w:val="18"/>
          <w:b w:val="1"/>
          <w:bCs w:val="1"/>
          <w:color w:val="auto"/>
        </w:rPr>
        <w:t>The following is a summary of the material terms and conditions of the Second Amended Plan assuming that it is approved by stockholders at the Annual Meeting. Except for the foregoing, there are no other changes to the terms and provisions of the Amended Plan. This summary is qualified in its entirety by reference to the Second Amended Plan attached as Annex A to this proxy statement. You are encouraged to read the Second Amended Plan in its entirety.</w:t>
      </w:r>
    </w:p>
    <w:p>
      <w:pPr>
        <w:spacing w:after="0" w:line="58"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(or subcommittee thereof) will administer the Second Amended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will have the authority to determine the terms and conditions of any agreements evidencing any awards granted under the Second Amended Plan and to adopt, alter and repeal rules, guidelines and practices relating to the Second Amended Plan. The Compensation Committee will have full discretion to administer and interpret the Second Amended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75" w:lineRule="exact"/>
        <w:rPr>
          <w:sz w:val="20"/>
          <w:szCs w:val="20"/>
          <w:color w:val="auto"/>
        </w:rPr>
      </w:pPr>
    </w:p>
    <w:p>
      <w:pPr>
        <w:ind w:left="760" w:right="200"/>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current or prospective employees, directors, officers, consultants or advisors of our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will be eligible for awards under the Second Amended Plan, subject to the Compensation Committee’s authority and administration over the Second Amended Plan and grants made thereunder. As of February 14, 2025, we had approximately 969 employees and officers eligible to participate in the Amended Plan, as well as 9 non-employee directors.</w:t>
      </w:r>
    </w:p>
    <w:p>
      <w:pPr>
        <w:spacing w:after="0" w:line="71" w:lineRule="exact"/>
        <w:rPr>
          <w:sz w:val="20"/>
          <w:szCs w:val="20"/>
          <w:color w:val="auto"/>
        </w:rPr>
      </w:pPr>
    </w:p>
    <w:p>
      <w:pPr>
        <w:ind w:left="760" w:right="120"/>
        <w:spacing w:after="0" w:line="268" w:lineRule="auto"/>
        <w:rPr>
          <w:sz w:val="20"/>
          <w:szCs w:val="20"/>
          <w:color w:val="auto"/>
        </w:rPr>
      </w:pPr>
      <w:r>
        <w:rPr>
          <w:rFonts w:ascii="Arial" w:cs="Arial" w:eastAsia="Arial" w:hAnsi="Arial"/>
          <w:sz w:val="17"/>
          <w:szCs w:val="17"/>
          <w:i w:val="1"/>
          <w:iCs w:val="1"/>
          <w:color w:val="auto"/>
        </w:rPr>
        <w:t xml:space="preserve">Number of Shares Authorized. </w:t>
      </w:r>
      <w:r>
        <w:rPr>
          <w:rFonts w:ascii="Arial" w:cs="Arial" w:eastAsia="Arial" w:hAnsi="Arial"/>
          <w:sz w:val="17"/>
          <w:szCs w:val="17"/>
          <w:color w:val="auto"/>
        </w:rPr>
        <w:t>The Second Amended Plan provides for an aggregate of 33,500,000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No more than 33,500,000 shares of our Class A common stock may be issued with respect to incentive stock options under the Second Amended Plan. The maximum amount (based on the grant-date fair market value) of awards that may be granted under the Second Amended Plan in any single fiscal year to any non-employee director is $300,000. This limitation on awards to non-employee directors does not apply in respect of restricted stock units issued to a non-employee director in lieu of payment of cash director compensation or board or committee fees, nor in respect of any one-time initial equity grant upon a non-employee director’s appointment to our board of directors. Shares of our Class A common stock will be deemed to have been used in settlement of awards whether or not they are actually delivered or the fair market value equivalent of such shares is paid in cash; provided that if any shares are surrendered or tendered to pay the exercise price of an award or to satisfy withholding taxes owed, such shares will again be available for grant under the Second Amended Plan; and provided further that in no event shall such shares increase the number of shares of our Class A common stock that may be delivered pursuant to incentive stock options granted under the Second Amended Plan. If any award granted or portion thereof under the Second Amended Plan expires, terminates, is canceled or forfeited without being settled or exercised, or if a stock appreciation right is settled in cash or otherwise without the participant having received any benefit from the award, the shares covered by such award or portion shall again become available for future grant.</w:t>
      </w:r>
    </w:p>
    <w:p>
      <w:pPr>
        <w:spacing w:after="0" w:line="72" w:lineRule="exact"/>
        <w:rPr>
          <w:sz w:val="20"/>
          <w:szCs w:val="20"/>
          <w:color w:val="auto"/>
        </w:rPr>
      </w:pPr>
    </w:p>
    <w:p>
      <w:pPr>
        <w:jc w:val="both"/>
        <w:ind w:left="760" w:right="360"/>
        <w:spacing w:after="0" w:line="318"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Company’s corporate capitalization in the event of a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cash dividend, recapitalization, stock split, reverse stock split, reorganization, merger,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163195</wp:posOffset>
            </wp:positionV>
            <wp:extent cx="754380" cy="2400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38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7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split-up, split-off, spin-off, combination, repurchase or exchange of shares of our Class A common stock or Class B common stock or other relevant change in capitalization or applicable law or circumstances, such that the Compensation Committee determines that an adjustment to the terms of the Second Amended Plan (or awards thereunder) is necessary or appropriate, then the Compensation Committee may make adjustments in a manner that it deems equitable. Such adjustments may be to the number of shares reserved for issuance under the Second Amended Plan, the number of shares covered by awards then outstanding under the Second Amended Plan, the limitations on awards under the Second Amended Plan, the exercise price of outstanding options and such other equitable substitution or adjustments as it may determine appropriate.</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Awards Available for Grant. </w:t>
      </w:r>
      <w:r>
        <w:rPr>
          <w:rFonts w:ascii="Arial" w:cs="Arial" w:eastAsia="Arial" w:hAnsi="Arial"/>
          <w:sz w:val="18"/>
          <w:szCs w:val="18"/>
          <w:color w:val="auto"/>
        </w:rPr>
        <w:t>The Compensation Committee may grant awards of non-qualified stock</w:t>
      </w:r>
    </w:p>
    <w:p>
      <w:pPr>
        <w:spacing w:after="0" w:line="27" w:lineRule="exact"/>
        <w:rPr>
          <w:sz w:val="20"/>
          <w:szCs w:val="20"/>
          <w:color w:val="auto"/>
        </w:rPr>
      </w:pPr>
    </w:p>
    <w:p>
      <w:pPr>
        <w:ind w:left="760" w:right="60"/>
        <w:spacing w:after="0" w:line="245" w:lineRule="auto"/>
        <w:rPr>
          <w:sz w:val="20"/>
          <w:szCs w:val="20"/>
          <w:color w:val="auto"/>
        </w:rPr>
      </w:pPr>
      <w:r>
        <w:rPr>
          <w:rFonts w:ascii="Arial" w:cs="Arial" w:eastAsia="Arial" w:hAnsi="Arial"/>
          <w:sz w:val="18"/>
          <w:szCs w:val="18"/>
          <w:color w:val="auto"/>
        </w:rPr>
        <w:t>options, incentive (qualified) stock options,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restricted stock awards, restricted stock units, other stock-based awards, performance compensation awards (including cash bonus awards), other cash-based awards or any combination of the foregoing. Awards may be granted under the Second Amended Plan in assumption of, or in substitution for, outstanding awards previously granted by an entity acquired by our Company or with which our Company combines (which are referred to herein as “</w:t>
      </w:r>
      <w:r>
        <w:rPr>
          <w:rFonts w:ascii="Arial" w:cs="Arial" w:eastAsia="Arial" w:hAnsi="Arial"/>
          <w:sz w:val="18"/>
          <w:szCs w:val="18"/>
          <w:b w:val="1"/>
          <w:bCs w:val="1"/>
          <w:color w:val="auto"/>
        </w:rPr>
        <w:t>Substitute Awards</w:t>
      </w:r>
      <w:r>
        <w:rPr>
          <w:rFonts w:ascii="Arial" w:cs="Arial" w:eastAsia="Arial" w:hAnsi="Arial"/>
          <w:sz w:val="18"/>
          <w:szCs w:val="18"/>
          <w:color w:val="auto"/>
        </w:rPr>
        <w:t>”).</w:t>
      </w:r>
    </w:p>
    <w:p>
      <w:pPr>
        <w:spacing w:after="0" w:line="60" w:lineRule="exact"/>
        <w:rPr>
          <w:sz w:val="20"/>
          <w:szCs w:val="20"/>
          <w:color w:val="auto"/>
        </w:rPr>
      </w:pPr>
    </w:p>
    <w:p>
      <w:pPr>
        <w:ind w:left="760" w:right="80"/>
        <w:spacing w:after="0" w:line="241"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Compensation Committee will be authorized to grant options to purchase shares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Second Amended Plan shall be non-qualified unless the applicable award agreement expressly states that the option is intended to be an “incentive stock option.” Options granted under the Second Amended Plan will be subject to the terms and conditions established by the Compensation Committee. Under the terms of the Second Amended Plan, the exercise price of the options will not be less than the fair market value of our Class A common stock at the time of grant (except with respect to Substitute Awards). Options granted under the Second Amended Plan will be subject to such terms, including the exercise price and the conditions and timing of exercise, as may be determined by the Compensation Committee and specified in the applicable award agreement. The maximum term of an option granted under the Second Amended Plan will be ten years from the date of grant (or five years in the case of a qualified option granted to a 10% shareholder), provided that, if the term of a non-qualified option would expire at a time when trading in the shares of our Class A common stock is prohibited by our Company’s insider trading policy, the option’s term shall be automatically extended until the 30th day following the expiration of such prohibition (as long as such extension shall not violate Section 409A of the Code). Payment in respect of the exercise of an option may be made in cash, by check, by cash equivalent and/or shares of our Class A common stock valued at the fair market value at the time the option is exercised (provided that such shares are not subject to any pledge or other security interest), or by such other method as the Compensation Committee may permit in its sole discretion, including: (i) in other property having a fair market value equal to the exercise price and all applicable required withholding taxes, (ii) if there is a public market for the shares of our Class A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Any fractional shares of Class A common stock will be settled in cash.</w:t>
      </w:r>
    </w:p>
    <w:p>
      <w:pPr>
        <w:spacing w:after="0" w:line="88" w:lineRule="exact"/>
        <w:rPr>
          <w:sz w:val="20"/>
          <w:szCs w:val="20"/>
          <w:color w:val="auto"/>
        </w:rPr>
      </w:pPr>
    </w:p>
    <w:p>
      <w:pPr>
        <w:ind w:left="760" w:right="120"/>
        <w:spacing w:after="0" w:line="24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will be authorized to award SARs under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SARs will be subject to the terms and conditions established by the Compensation Committee. A SAR is a contractual right that allows a participant to receive, either in the form of cash, shares or any combination of cash and shares, the appreciation, if any, in the value of a share over a certain period of time. An option granted under the Second Amended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Class A common stock for each SAR shall not be less than 100% of the fair market value of such share, determined as of the date of grant. The remaining terms of the SARs shall be established by the Compensation Committee and reflected in the award agreement.</w:t>
      </w:r>
    </w:p>
    <w:p>
      <w:pPr>
        <w:spacing w:after="0" w:line="84"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will be authorized to grant restricted stock under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which will be subject to the terms and conditions established by the Compensation Committee. Restricted stock is Class A common stock that generally is non-transferable and is subject to other restrictions determined by the Compensation Committee for a specified period. Any accumulated dividends will be payable at the same time as the underlying restricted stock vests.</w:t>
      </w:r>
    </w:p>
    <w:p>
      <w:pPr>
        <w:spacing w:after="0" w:line="29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14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The Compensation Committee will be authorized to award 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which will be subject to the terms and conditions established by the Compensation Committee. A restricted stock unit award, once vested, may be settled in common shares equal to the number of units earned, or in cash equal to the fair market value of the number of vested shares,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our Company of dividends on shares of our Class A common stock, either in cash or (at the sole discretion of the Compensation Committee) in shares of our Class A common stock having a fair market value equal to the amount of such dividends,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as the underlying restricted stock units are settled.</w:t>
      </w:r>
    </w:p>
    <w:p>
      <w:pPr>
        <w:spacing w:after="0" w:line="70"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will be authorized to grant awards of unrestricted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Class A common stock, rights to receive grants of awards at a future date, or other awards denominated in shares of our Class A common stock under such terms and conditions as the Compensation Committee may determine and as set forth in the applicable award agreement.</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Performance Compensation Awards. </w:t>
      </w:r>
      <w:r>
        <w:rPr>
          <w:rFonts w:ascii="Arial" w:cs="Arial" w:eastAsia="Arial" w:hAnsi="Arial"/>
          <w:sz w:val="18"/>
          <w:szCs w:val="18"/>
          <w:color w:val="auto"/>
        </w:rPr>
        <w:t>The Compensation Committee may grant any award under the Second</w:t>
      </w:r>
    </w:p>
    <w:p>
      <w:pPr>
        <w:spacing w:after="0" w:line="27" w:lineRule="exact"/>
        <w:rPr>
          <w:sz w:val="20"/>
          <w:szCs w:val="20"/>
          <w:color w:val="auto"/>
        </w:rPr>
      </w:pPr>
    </w:p>
    <w:p>
      <w:pPr>
        <w:ind w:left="760" w:right="180"/>
        <w:spacing w:after="0" w:line="255" w:lineRule="auto"/>
        <w:rPr>
          <w:sz w:val="20"/>
          <w:szCs w:val="20"/>
          <w:color w:val="auto"/>
        </w:rPr>
      </w:pPr>
      <w:r>
        <w:rPr>
          <w:rFonts w:ascii="Arial" w:cs="Arial" w:eastAsia="Arial" w:hAnsi="Arial"/>
          <w:sz w:val="18"/>
          <w:szCs w:val="18"/>
          <w:color w:val="auto"/>
        </w:rPr>
        <w:t>Amended Plan in the form of a “Performance Compensation Award” (including​ cash bonuses) by conditioning the number of shares earned or vested, or any payout, under the award on the satisfaction of certain “Performance Goals.” The Compensation Committee may establish these Performance Goals with reference to one or more of the following:</w:t>
      </w:r>
    </w:p>
    <w:p>
      <w:pPr>
        <w:spacing w:after="0" w:line="74" w:lineRule="exact"/>
        <w:rPr>
          <w:sz w:val="20"/>
          <w:szCs w:val="20"/>
          <w:color w:val="auto"/>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net earnings or net income (before or after taxes);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adjusted net trading income (daily or annual);</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basic or diluted earnings per share (before or after taxes);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net revenue or net revenue growth;</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gross revenue or gross revenue growth, gross profit or gross profit growth;</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net operating profit (before or after taxes);</w:t>
      </w:r>
    </w:p>
    <w:p>
      <w:pPr>
        <w:spacing w:after="0" w:line="117" w:lineRule="exact"/>
        <w:rPr>
          <w:rFonts w:ascii="Arial" w:cs="Arial" w:eastAsia="Arial" w:hAnsi="Arial"/>
          <w:sz w:val="18"/>
          <w:szCs w:val="18"/>
          <w:color w:val="002453"/>
        </w:rPr>
      </w:pPr>
    </w:p>
    <w:p>
      <w:pPr>
        <w:ind w:left="1340" w:right="340" w:hanging="218"/>
        <w:spacing w:after="0" w:line="287" w:lineRule="auto"/>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return measures (including, but not limited to, return on investment, assets, capital, gross revenue or gross revenue growth, invested capital, equity or sales);</w:t>
      </w:r>
    </w:p>
    <w:p>
      <w:pPr>
        <w:spacing w:after="0" w:line="44" w:lineRule="exact"/>
        <w:rPr>
          <w:rFonts w:ascii="Arial" w:cs="Arial" w:eastAsia="Arial" w:hAnsi="Arial"/>
          <w:sz w:val="18"/>
          <w:szCs w:val="18"/>
          <w:color w:val="002453"/>
        </w:rPr>
      </w:pPr>
    </w:p>
    <w:p>
      <w:pPr>
        <w:ind w:left="1340" w:right="200" w:hanging="218"/>
        <w:spacing w:after="0" w:line="287" w:lineRule="auto"/>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cash flow measures (including, but not limited to, operating cash flow, free cash flow and cash flow return on capital), which may but are not required to be measured on a per-share basis;</w:t>
      </w:r>
    </w:p>
    <w:p>
      <w:pPr>
        <w:spacing w:after="0" w:line="44"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earnings before or after taxes, interest, depreciation, and amortization (including EBIT and EBITDA);</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gross or net operating margins;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productivity ratios;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share price (including, but not limited to, growth measures and total shareholder return);</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expense targets or cost reduction goals, general and administrative expense savings;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operating efficiency;</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objective measures of customer satisfaction;</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working capital targets;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measures of economic value added or other “value creation” metrics;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enterprise value;</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stockholder return;</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client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223520</wp:posOffset>
            </wp:positionV>
            <wp:extent cx="754380" cy="2400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7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competitive market metrics;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employee retention;</w:t>
      </w:r>
    </w:p>
    <w:p>
      <w:pPr>
        <w:spacing w:after="0" w:line="117" w:lineRule="exact"/>
        <w:rPr>
          <w:rFonts w:ascii="Arial" w:cs="Arial" w:eastAsia="Arial" w:hAnsi="Arial"/>
          <w:sz w:val="18"/>
          <w:szCs w:val="18"/>
          <w:color w:val="002453"/>
        </w:rPr>
      </w:pPr>
    </w:p>
    <w:p>
      <w:pPr>
        <w:ind w:left="1340" w:right="100" w:hanging="218"/>
        <w:spacing w:after="0" w:line="262" w:lineRule="auto"/>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w:t>
      </w:r>
    </w:p>
    <w:p>
      <w:pPr>
        <w:spacing w:after="0" w:line="68" w:lineRule="exact"/>
        <w:rPr>
          <w:rFonts w:ascii="Arial" w:cs="Arial" w:eastAsia="Arial" w:hAnsi="Arial"/>
          <w:sz w:val="18"/>
          <w:szCs w:val="18"/>
          <w:color w:val="002453"/>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system-wide revenues;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cost of capital, debt leverage year-end cash position or book value;</w:t>
      </w:r>
    </w:p>
    <w:p>
      <w:pPr>
        <w:spacing w:after="0" w:line="117" w:lineRule="exact"/>
        <w:rPr>
          <w:rFonts w:ascii="Arial" w:cs="Arial" w:eastAsia="Arial" w:hAnsi="Arial"/>
          <w:sz w:val="18"/>
          <w:szCs w:val="18"/>
          <w:color w:val="002453"/>
        </w:rPr>
      </w:pPr>
    </w:p>
    <w:p>
      <w:pPr>
        <w:ind w:left="1340" w:right="500" w:hanging="218"/>
        <w:spacing w:after="0" w:line="287" w:lineRule="auto"/>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strategic objectives, development of new product lines and related revenue, sales and margin targets, or international operations; or</w:t>
      </w:r>
    </w:p>
    <w:p>
      <w:pPr>
        <w:spacing w:after="0" w:line="44" w:lineRule="exact"/>
        <w:rPr>
          <w:rFonts w:ascii="Arial" w:cs="Arial" w:eastAsia="Arial" w:hAnsi="Arial"/>
          <w:sz w:val="18"/>
          <w:szCs w:val="18"/>
          <w:color w:val="002453"/>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any combination of the foregoing.</w:t>
      </w:r>
    </w:p>
    <w:p>
      <w:pPr>
        <w:spacing w:after="0" w:line="117" w:lineRule="exact"/>
        <w:rPr>
          <w:sz w:val="20"/>
          <w:szCs w:val="20"/>
          <w:color w:val="auto"/>
        </w:rPr>
      </w:pPr>
    </w:p>
    <w:p>
      <w:pPr>
        <w:ind w:left="760" w:right="160"/>
        <w:spacing w:after="0" w:line="269" w:lineRule="auto"/>
        <w:rPr>
          <w:sz w:val="20"/>
          <w:szCs w:val="20"/>
          <w:color w:val="auto"/>
        </w:rPr>
      </w:pPr>
      <w:r>
        <w:rPr>
          <w:rFonts w:ascii="Arial" w:cs="Arial" w:eastAsia="Arial" w:hAnsi="Arial"/>
          <w:sz w:val="17"/>
          <w:szCs w:val="17"/>
          <w:color w:val="auto"/>
        </w:rPr>
        <w:t>Any of the above Performance Goal elements can be stated as a percentage of another Performance Goal or used on an absolute, relative or adjusted basis to measure the performance of our Company and/or its affiliates or any divisions, operation or business units, product lines, asset classes, brands, administrative departments or combination thereof, as the Compensation Committee deems appropriate. Performance Goals may be compared to the performance of a group of comparator companies or a published or special index that the Compensation Committee deems appropriate or, stock market indices. The Compensation Committee may provide for accelerated vesting of any award based on the achievement of Performance Goals. The Compensation Committee may also specify adjustments or modifications to be made to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and/or in management’s discussion and analysis of financial condition and results of operations appearing in our Company’s annual report to shareholders for the applicable year; (vi) acquisitions or divestitures; (vii) any other specific, unusual or nonrecurring events, or objectively determinable category thereof; (viii) foreign exchange gains and losses; (ix) discontinued operations and nonrecurring charges; and (x) a change in our Company’s fiscal year.</w:t>
      </w:r>
    </w:p>
    <w:p>
      <w:pPr>
        <w:spacing w:after="0" w:line="62" w:lineRule="exact"/>
        <w:rPr>
          <w:sz w:val="20"/>
          <w:szCs w:val="20"/>
          <w:color w:val="auto"/>
        </w:rPr>
      </w:pPr>
    </w:p>
    <w:p>
      <w:pPr>
        <w:ind w:left="760" w:right="180"/>
        <w:spacing w:after="0" w:line="259" w:lineRule="auto"/>
        <w:rPr>
          <w:sz w:val="20"/>
          <w:szCs w:val="20"/>
          <w:color w:val="auto"/>
        </w:rPr>
      </w:pPr>
      <w:r>
        <w:rPr>
          <w:rFonts w:ascii="Arial" w:cs="Arial" w:eastAsia="Arial" w:hAnsi="Arial"/>
          <w:sz w:val="18"/>
          <w:szCs w:val="18"/>
          <w:color w:val="auto"/>
        </w:rPr>
        <w:t>Unless otherwise provided in the applicable award agreement, a participant shall be eligible to receive payment in respect of a performance compensation award only to the extent that (i) the Performance Goals for such period are achieved; and (ii) all or some of the portion of such participant’s performance compensation award has been earned for the performance period based on the application of the “Performance Formula” (as​ defined in the Second Amended Plan) to such Performance Goals.</w:t>
      </w:r>
    </w:p>
    <w:p>
      <w:pPr>
        <w:spacing w:after="0" w:line="71"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i w:val="1"/>
          <w:iCs w:val="1"/>
          <w:color w:val="auto"/>
        </w:rPr>
        <w:t xml:space="preserve">Effect of a Change in Control. </w:t>
      </w:r>
      <w:r>
        <w:rPr>
          <w:rFonts w:ascii="Arial" w:cs="Arial" w:eastAsia="Arial" w:hAnsi="Arial"/>
          <w:sz w:val="18"/>
          <w:szCs w:val="18"/>
          <w:color w:val="auto"/>
        </w:rPr>
        <w:t>Unless otherwise provided in an award agreement, or any applicable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change in control, severance or other agreement between a participant and our Company, in the event of a change of control, if a participant’s employment or service is terminated by our Company other than for cause (and other than due to death or disability) within the 12-month period following a change in control, then the Compensation Committee may provide that (i) all then-outstanding options and SARs will become immediately exercisable as of such participant’s date of termination with respect to all of the shares subject to such option or SAR; and/or (ii) the restricted period shall expire as of such participant’s date of termination with respect to all of the then-outstanding shares of restricted stock or restricted stock units (including, without limitation, a waiver of any applicable Performance Goals); provided that any award whose vesting or exercisability is otherwise subject to the achievement of performance conditions, the portion of such award that shall become fully vested and immediately exercisable shall be based on the assumed achievement of target performance as determined by the Compensation Committee and prorated for the number of days elapsed from the grant date of such award through the date of termination. In addition, the Compensation Committee may in its discretion and upon at least 10 days’ notice to the affected persons, cancel any outstanding award and pay the holders, in cash, securities or other property (including of the acquiring or successor company), or any combination thereof, the value of such awards based upon the price per share of the Company’s common stock received or to be received by other shareholders of the Company in the event. Notwithstanding the above, the Compensation Committee shall exercise such discretion over any award subject to Section 409A of the Code at the time such award is granted.</w:t>
      </w:r>
    </w:p>
    <w:p>
      <w:pPr>
        <w:spacing w:after="0" w:line="31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14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760" w:right="220"/>
        <w:spacing w:after="0" w:line="24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Each award may be exercised during the participant’s lifetime by the participant or, if permissible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Second Amended Plan).</w:t>
      </w:r>
    </w:p>
    <w:p>
      <w:pPr>
        <w:spacing w:after="0" w:line="69" w:lineRule="exact"/>
        <w:rPr>
          <w:sz w:val="20"/>
          <w:szCs w:val="20"/>
          <w:color w:val="auto"/>
        </w:rPr>
      </w:pPr>
    </w:p>
    <w:p>
      <w:pPr>
        <w:ind w:left="760" w:right="60"/>
        <w:spacing w:after="0" w:line="256"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Second Amended Plan will have a term of 10 years from the date of approval by the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at this year’s annual meeting. The board of directors may amend, suspend or terminate the Second Amended Plan at any time, subject to stockholder approval if necessary to comply with any tax, Nasdaq or other applicable regulatory requirement. No amendment, suspension or termination will materially and adversely affect the rights of any participant or recipient of any award without the consent of the participant or recipient. 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or any holder or beneficiary of any option theretofore granted will not to that extent be effective without the consent of the affected participant, holder or beneficiary; and provided further that, without stockholder approval,</w:t>
      </w:r>
    </w:p>
    <w:p>
      <w:pPr>
        <w:spacing w:after="0" w:line="6" w:lineRule="exact"/>
        <w:rPr>
          <w:sz w:val="20"/>
          <w:szCs w:val="20"/>
          <w:color w:val="auto"/>
        </w:rPr>
      </w:pPr>
    </w:p>
    <w:p>
      <w:pPr>
        <w:ind w:left="760" w:right="120" w:firstLine="2"/>
        <w:spacing w:after="0" w:line="242"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amendment or modification may reduce the option price of any option or the strike price of any SAR, (ii) the Compensation Committee may not cancel any outstanding option and replace it with a new option (with a lower exercise price) or cancel any SAR and replace it with a new SAR (with a lower strike price) or other award or cash in a manner that would be treated as a repricing (for compensation disclosure or accounting purposes), and (iii) the Compensation Committee may not take any other action considered a repricing for purposes of the shareholder approval rules of the applicable securities exchange on which our common shares are listed. However, stockholder approval is not required with respect to clauses (i), (ii), and (iii) above with respect to certain adjustments on changes in capitalization. In addition, none of the requirements described in the preceding clauses (i), (ii), and (iii) can be amended without the approval of our stockholders.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The following is a general summary of the material U.S. federal income tax consequences of the grant and exercise and vesting of awards under the Second Amended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75" w:lineRule="exact"/>
        <w:rPr>
          <w:sz w:val="20"/>
          <w:szCs w:val="20"/>
          <w:color w:val="auto"/>
        </w:rPr>
      </w:pPr>
    </w:p>
    <w:p>
      <w:pPr>
        <w:ind w:left="760" w:right="320"/>
        <w:spacing w:after="0" w:line="276"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Code requires that, for treatment of an option as an incentive stock option,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acquired through the exercise of an incentive stock option cannot be disposed of before the later of</w:t>
      </w:r>
    </w:p>
    <w:p>
      <w:pPr>
        <w:ind w:left="760" w:right="180" w:firstLine="2"/>
        <w:spacing w:after="0" w:line="265" w:lineRule="auto"/>
        <w:tabs>
          <w:tab w:leader="none" w:pos="9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w:t>
      </w:r>
    </w:p>
    <w:p>
      <w:pPr>
        <w:ind w:left="760" w:right="60"/>
        <w:spacing w:after="0" w:line="267" w:lineRule="auto"/>
        <w:rPr>
          <w:rFonts w:ascii="Arial" w:cs="Arial" w:eastAsia="Arial" w:hAnsi="Arial"/>
          <w:sz w:val="17"/>
          <w:szCs w:val="17"/>
          <w:color w:val="auto"/>
        </w:rPr>
      </w:pPr>
      <w:r>
        <w:rPr>
          <w:rFonts w:ascii="Arial" w:cs="Arial" w:eastAsia="Arial" w:hAnsi="Arial"/>
          <w:sz w:val="17"/>
          <w:szCs w:val="17"/>
          <w:color w:val="auto"/>
        </w:rPr>
        <w:t>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the Company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the Company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194310</wp:posOffset>
            </wp:positionV>
            <wp:extent cx="754380" cy="2400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7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income tax purposes. No income will be realized by a participant upon grant of an option that does not qualify as an incentive stock option (a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69"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spacing w:after="0" w:line="82"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A participant will not be subject to tax upon the grant of an award of restricted stock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The Company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75" w:lineRule="exact"/>
        <w:rPr>
          <w:sz w:val="20"/>
          <w:szCs w:val="20"/>
          <w:color w:val="auto"/>
        </w:rPr>
      </w:pPr>
    </w:p>
    <w:p>
      <w:pPr>
        <w:ind w:left="760" w:right="160"/>
        <w:spacing w:after="0" w:line="25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be subject to tax upon the grant of a restricted stock unit award. Rather,</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delivery of shares or cash pursuant to a restricted stock unit award, the participant will have taxable compensation equal to the fair market value of the number of shares (or the amount of cash) the participant actually receives with respect to the award.</w:t>
      </w:r>
    </w:p>
    <w:p>
      <w:pPr>
        <w:spacing w:after="0" w:line="62" w:lineRule="exact"/>
        <w:rPr>
          <w:sz w:val="20"/>
          <w:szCs w:val="20"/>
          <w:color w:val="auto"/>
        </w:rPr>
      </w:pPr>
    </w:p>
    <w:p>
      <w:pPr>
        <w:ind w:left="760" w:right="160"/>
        <w:spacing w:after="0" w:line="261" w:lineRule="auto"/>
        <w:rPr>
          <w:sz w:val="20"/>
          <w:szCs w:val="20"/>
          <w:color w:val="auto"/>
        </w:rPr>
      </w:pPr>
      <w:r>
        <w:rPr>
          <w:rFonts w:ascii="Arial" w:cs="Arial" w:eastAsia="Arial" w:hAnsi="Arial"/>
          <w:sz w:val="18"/>
          <w:szCs w:val="18"/>
          <w:color w:val="auto"/>
        </w:rPr>
        <w:t>The Company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54" w:lineRule="exact"/>
        <w:rPr>
          <w:sz w:val="20"/>
          <w:szCs w:val="20"/>
          <w:color w:val="auto"/>
        </w:rPr>
      </w:pPr>
    </w:p>
    <w:p>
      <w:pPr>
        <w:ind w:left="760" w:right="640"/>
        <w:spacing w:after="0" w:line="267" w:lineRule="auto"/>
        <w:rPr>
          <w:sz w:val="20"/>
          <w:szCs w:val="20"/>
          <w:color w:val="auto"/>
        </w:rPr>
      </w:pPr>
      <w:r>
        <w:rPr>
          <w:rFonts w:ascii="Arial" w:cs="Arial" w:eastAsia="Arial" w:hAnsi="Arial"/>
          <w:sz w:val="17"/>
          <w:szCs w:val="17"/>
          <w:i w:val="1"/>
          <w:iCs w:val="1"/>
          <w:color w:val="auto"/>
        </w:rPr>
        <w:t xml:space="preserve">Section 162(m). </w:t>
      </w:r>
      <w:r>
        <w:rPr>
          <w:rFonts w:ascii="Arial" w:cs="Arial" w:eastAsia="Arial" w:hAnsi="Arial"/>
          <w:sz w:val="17"/>
          <w:szCs w:val="17"/>
          <w:color w:val="auto"/>
        </w:rPr>
        <w:t>The Tax Cuts and Jobs Act of 2017 (“</w:t>
      </w:r>
      <w:r>
        <w:rPr>
          <w:rFonts w:ascii="Arial" w:cs="Arial" w:eastAsia="Arial" w:hAnsi="Arial"/>
          <w:sz w:val="17"/>
          <w:szCs w:val="17"/>
          <w:b w:val="1"/>
          <w:bCs w:val="1"/>
          <w:color w:val="auto"/>
        </w:rPr>
        <w:t>Tax Act</w:t>
      </w:r>
      <w:r>
        <w:rPr>
          <w:rFonts w:ascii="Arial" w:cs="Arial" w:eastAsia="Arial" w:hAnsi="Arial"/>
          <w:sz w:val="17"/>
          <w:szCs w:val="17"/>
          <w:color w:val="auto"/>
        </w:rPr>
        <w:t>”) generally eliminated the ability to deduct</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qualifying for the “performance-based compensation” exception under Code Section 162(m) for</w:t>
      </w:r>
    </w:p>
    <w:p>
      <w:pPr>
        <w:spacing w:after="0" w:line="2" w:lineRule="exact"/>
        <w:rPr>
          <w:sz w:val="20"/>
          <w:szCs w:val="20"/>
          <w:color w:val="auto"/>
        </w:rPr>
      </w:pPr>
    </w:p>
    <w:p>
      <w:pPr>
        <w:ind w:left="760" w:right="140"/>
        <w:spacing w:after="0" w:line="242" w:lineRule="auto"/>
        <w:rPr>
          <w:sz w:val="20"/>
          <w:szCs w:val="20"/>
          <w:color w:val="auto"/>
        </w:rPr>
      </w:pPr>
      <w:r>
        <w:rPr>
          <w:rFonts w:ascii="Arial" w:cs="Arial" w:eastAsia="Arial" w:hAnsi="Arial"/>
          <w:sz w:val="18"/>
          <w:szCs w:val="18"/>
          <w:color w:val="auto"/>
        </w:rPr>
        <w:t>tax years commencing after December 31, 2017. Code Section 162(m) imposes a $1 million limit on the amount that a public company may deduct for compensation paid to “covered employees” (as​ determined under Code</w:t>
      </w:r>
    </w:p>
    <w:p>
      <w:pPr>
        <w:spacing w:after="0" w:line="1" w:lineRule="exact"/>
        <w:rPr>
          <w:sz w:val="20"/>
          <w:szCs w:val="20"/>
          <w:color w:val="auto"/>
        </w:rPr>
      </w:pPr>
    </w:p>
    <w:p>
      <w:pPr>
        <w:ind w:left="760" w:right="60"/>
        <w:spacing w:after="0" w:line="259" w:lineRule="auto"/>
        <w:rPr>
          <w:sz w:val="20"/>
          <w:szCs w:val="20"/>
          <w:color w:val="auto"/>
        </w:rPr>
      </w:pPr>
      <w:r>
        <w:rPr>
          <w:rFonts w:ascii="Arial" w:cs="Arial" w:eastAsia="Arial" w:hAnsi="Arial"/>
          <w:sz w:val="17"/>
          <w:szCs w:val="17"/>
          <w:color w:val="auto"/>
        </w:rPr>
        <w:t>Section 162(m)). For 2017 and prior taxable years, an exception to this deduction limit applied to “performance-based compensation,” such as stock options and other equity awards that satisfied certain criteria. Under the Tax Act, the performance-based pay exception to Code Section 162(m) was eliminated, but a transition rule may allow the exception to continue to apply to certain performance-based compensation payable under written binding contracts that were in effect on November 2, 2017. The Amendment is not intended to affect the ability of awards previously granted under the Amended Plan to qualify for grandfathered status under the Code Section 162(m) transition rules if they otherwise would. However, no assurance can be given that such awards will, in fact, be exempt.</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jc w:val="both"/>
        <w:ind w:left="760" w:right="60"/>
        <w:spacing w:after="0" w:line="253" w:lineRule="auto"/>
        <w:rPr>
          <w:sz w:val="20"/>
          <w:szCs w:val="20"/>
          <w:color w:val="auto"/>
        </w:rPr>
      </w:pPr>
      <w:r>
        <w:rPr>
          <w:rFonts w:ascii="Arial" w:cs="Arial" w:eastAsia="Arial" w:hAnsi="Arial"/>
          <w:sz w:val="18"/>
          <w:szCs w:val="18"/>
          <w:color w:val="auto"/>
        </w:rPr>
        <w:t>The Company has not approved any awards that are conditioned upon stockholder approval of the Second Amended Plan. Other than with respect to annual restricted stock unit awards to our non-employee directors, awards under the Second Amended Plan will be determined by our board of directors (or committee thereof) in its</w:t>
      </w:r>
    </w:p>
    <w:p>
      <w:pPr>
        <w:spacing w:after="0" w:line="2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14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jc w:val="both"/>
        <w:ind w:left="760" w:right="80"/>
        <w:spacing w:after="0" w:line="276" w:lineRule="auto"/>
        <w:rPr>
          <w:sz w:val="20"/>
          <w:szCs w:val="20"/>
          <w:color w:val="auto"/>
        </w:rPr>
      </w:pPr>
      <w:r>
        <w:rPr>
          <w:rFonts w:ascii="Arial" w:cs="Arial" w:eastAsia="Arial" w:hAnsi="Arial"/>
          <w:sz w:val="18"/>
          <w:szCs w:val="18"/>
          <w:color w:val="auto"/>
        </w:rPr>
        <w:t>discretion. It is, therefore, not possible to predict the awards that will be made to particular officers in the future under the Second Amended Plan. For information regarding grants made in 2024 to our named executive officers under the Second Amended Plan, see the Summary Compensation Table above.</w:t>
      </w:r>
    </w:p>
    <w:p>
      <w:pPr>
        <w:spacing w:after="0" w:line="69"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i w:val="1"/>
          <w:iCs w:val="1"/>
          <w:color w:val="auto"/>
        </w:rPr>
        <w:t xml:space="preserve">Non-Employee Directors. </w:t>
      </w:r>
      <w:r>
        <w:rPr>
          <w:rFonts w:ascii="Arial" w:cs="Arial" w:eastAsia="Arial" w:hAnsi="Arial"/>
          <w:sz w:val="18"/>
          <w:szCs w:val="18"/>
          <w:color w:val="auto"/>
        </w:rPr>
        <w:t>The Second Amended Plan authorizes the grant of equity-based awards to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pursuant to our director compensation program as in effect from time to time, as described under the heading “Compensation of Directors”. Historically, our non-employee directors have received annual equity grants under the Amended Plan in accordance with our director compensation program. The table below sets forth the aggregate grant date fair value of annual equity-based awards that all non-employee directors as a group are expected to receive in fiscal 2024 pursuant to our director compensation program as currently in effect.</w:t>
      </w:r>
    </w:p>
    <w:p>
      <w:pPr>
        <w:spacing w:after="0" w:line="4" w:lineRule="exact"/>
        <w:rPr>
          <w:sz w:val="20"/>
          <w:szCs w:val="20"/>
          <w:color w:val="auto"/>
        </w:rPr>
      </w:pPr>
    </w:p>
    <w:tbl>
      <w:tblPr>
        <w:tblLayout w:type="fixed"/>
        <w:tblInd w:w="760" w:type="dxa"/>
        <w:tblCellMar>
          <w:top w:w="0" w:type="dxa"/>
          <w:left w:w="0" w:type="dxa"/>
          <w:bottom w:w="0" w:type="dxa"/>
          <w:right w:w="0" w:type="dxa"/>
        </w:tblCellMar>
      </w:tblPr>
      <w:tr>
        <w:trPr>
          <w:trHeight w:val="333"/>
        </w:trPr>
        <w:tc>
          <w:tcPr>
            <w:tcW w:w="5760" w:type="dxa"/>
            <w:vAlign w:val="bottom"/>
          </w:tcPr>
          <w:p>
            <w:pPr>
              <w:spacing w:after="0"/>
              <w:rPr>
                <w:sz w:val="20"/>
                <w:szCs w:val="20"/>
                <w:color w:val="auto"/>
              </w:rPr>
            </w:pPr>
            <w:r>
              <w:rPr>
                <w:rFonts w:ascii="Arial" w:cs="Arial" w:eastAsia="Arial" w:hAnsi="Arial"/>
                <w:sz w:val="14"/>
                <w:szCs w:val="14"/>
                <w:b w:val="1"/>
                <w:bCs w:val="1"/>
                <w:color w:val="002453"/>
              </w:rPr>
              <w:t>Name and Position</w:t>
            </w:r>
          </w:p>
        </w:tc>
        <w:tc>
          <w:tcPr>
            <w:tcW w:w="3480" w:type="dxa"/>
            <w:vAlign w:val="bottom"/>
            <w:gridSpan w:val="3"/>
          </w:tcPr>
          <w:p>
            <w:pPr>
              <w:ind w:left="1040"/>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Dollar Value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Number of Units </w:t>
            </w:r>
            <w:r>
              <w:rPr>
                <w:rFonts w:ascii="Arial" w:cs="Arial" w:eastAsia="Arial" w:hAnsi="Arial"/>
                <w:sz w:val="28"/>
                <w:szCs w:val="28"/>
                <w:b w:val="1"/>
                <w:bCs w:val="1"/>
                <w:color w:val="002453"/>
                <w:vertAlign w:val="subscript"/>
              </w:rPr>
              <w:t>​</w:t>
            </w:r>
          </w:p>
        </w:tc>
      </w:tr>
      <w:tr>
        <w:trPr>
          <w:trHeight w:val="263"/>
        </w:trPr>
        <w:tc>
          <w:tcPr>
            <w:tcW w:w="57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All current non-executive officer directors as a group(1)</w:t>
            </w:r>
          </w:p>
        </w:tc>
        <w:tc>
          <w:tcPr>
            <w:tcW w:w="2500" w:type="dxa"/>
            <w:vAlign w:val="bottom"/>
            <w:tcBorders>
              <w:top w:val="single" w:sz="8" w:color="00C08A"/>
              <w:bottom w:val="single" w:sz="8" w:color="00C08A"/>
            </w:tcBorders>
            <w:shd w:val="clear" w:color="auto" w:fill="CCEEFF"/>
          </w:tcPr>
          <w:p>
            <w:pPr>
              <w:ind w:left="1040"/>
              <w:spacing w:after="0" w:line="264" w:lineRule="exact"/>
              <w:rPr>
                <w:sz w:val="20"/>
                <w:szCs w:val="20"/>
                <w:color w:val="auto"/>
              </w:rPr>
            </w:pPr>
            <w:r>
              <w:rPr>
                <w:rFonts w:ascii="Arial" w:cs="Arial" w:eastAsia="Arial" w:hAnsi="Arial"/>
                <w:sz w:val="30"/>
                <w:szCs w:val="30"/>
                <w:b w:val="1"/>
                <w:bCs w:val="1"/>
                <w:color w:val="auto"/>
                <w:vertAlign w:val="subscript"/>
              </w:rPr>
              <w:t>​ ​ ​</w:t>
            </w:r>
            <w:r>
              <w:rPr>
                <w:rFonts w:ascii="Arial" w:cs="Arial" w:eastAsia="Arial" w:hAnsi="Arial"/>
                <w:sz w:val="16"/>
                <w:szCs w:val="16"/>
                <w:b w:val="1"/>
                <w:bCs w:val="1"/>
                <w:color w:val="auto"/>
              </w:rPr>
              <w:t xml:space="preserve">$150,000 </w:t>
            </w:r>
            <w:r>
              <w:rPr>
                <w:rFonts w:ascii="Arial" w:cs="Arial" w:eastAsia="Arial" w:hAnsi="Arial"/>
                <w:sz w:val="30"/>
                <w:szCs w:val="30"/>
                <w:b w:val="1"/>
                <w:bCs w:val="1"/>
                <w:color w:val="auto"/>
                <w:vertAlign w:val="subscript"/>
              </w:rPr>
              <w:t>​​ ​</w:t>
            </w:r>
          </w:p>
        </w:tc>
        <w:tc>
          <w:tcPr>
            <w:tcW w:w="920" w:type="dxa"/>
            <w:vAlign w:val="bottom"/>
            <w:tcBorders>
              <w:top w:val="single" w:sz="8" w:color="00C08A"/>
              <w:bottom w:val="single" w:sz="8" w:color="00C08A"/>
            </w:tcBorders>
            <w:shd w:val="clear" w:color="auto" w:fill="CCEEFF"/>
          </w:tcPr>
          <w:p>
            <w:pPr>
              <w:ind w:left="240"/>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72" w:lineRule="exact"/>
        <w:rPr>
          <w:sz w:val="20"/>
          <w:szCs w:val="20"/>
          <w:color w:val="auto"/>
        </w:rPr>
      </w:pPr>
    </w:p>
    <w:p>
      <w:pPr>
        <w:ind w:left="980" w:right="60" w:hanging="218"/>
        <w:spacing w:after="0" w:line="305" w:lineRule="auto"/>
        <w:tabs>
          <w:tab w:leader="none" w:pos="9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number of RSUs granted to non-executive director nominees on the 2025 Annual Meeting date cannot be determined at this time since the grant value will be converted to a number of RSUs using our closing stock price on the 2025 Annual Meeting Date.</w:t>
      </w:r>
    </w:p>
    <w:p>
      <w:pPr>
        <w:spacing w:after="0" w:line="54" w:lineRule="exact"/>
        <w:rPr>
          <w:sz w:val="20"/>
          <w:szCs w:val="20"/>
          <w:color w:val="auto"/>
        </w:rPr>
      </w:pPr>
    </w:p>
    <w:p>
      <w:pPr>
        <w:ind w:left="760" w:right="80"/>
        <w:spacing w:after="0" w:line="267" w:lineRule="auto"/>
        <w:rPr>
          <w:sz w:val="20"/>
          <w:szCs w:val="20"/>
          <w:color w:val="auto"/>
        </w:rPr>
      </w:pPr>
      <w:r>
        <w:rPr>
          <w:rFonts w:ascii="Arial" w:cs="Arial" w:eastAsia="Arial" w:hAnsi="Arial"/>
          <w:sz w:val="18"/>
          <w:szCs w:val="18"/>
          <w:color w:val="auto"/>
        </w:rPr>
        <w:t>In accordance with SEC rules, the table below indicates the aggregate number of stock options granted under the Amended Plan since its adoption to each named executive officer, all current executive officers as a group, all current directors (other than executive officers) as a group, and all current employees (other than executive officers) as a group. No stock options have been granted since 2015. As of April 11, 2025, there were no shares of our Class A common stock subject to stock options under the Amended Plan. As of April 11, 2025, the closing price of our common stock was $37.03 per share.</w:t>
      </w:r>
    </w:p>
    <w:p>
      <w:pPr>
        <w:spacing w:after="0" w:line="8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002453"/>
              </w:rPr>
              <w:t>Name</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Title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002453"/>
              </w:rPr>
              <w:t>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80" w:type="dxa"/>
            <w:vAlign w:val="bottom"/>
            <w:tcBorders>
              <w:bottom w:val="single" w:sz="8" w:color="00C08A"/>
            </w:tcBorders>
            <w:vMerge w:val="continue"/>
          </w:tcPr>
          <w:p>
            <w:pPr>
              <w:spacing w:after="0"/>
              <w:rPr>
                <w:sz w:val="17"/>
                <w:szCs w:val="17"/>
                <w:color w:val="auto"/>
              </w:rPr>
            </w:pPr>
          </w:p>
        </w:tc>
        <w:tc>
          <w:tcPr>
            <w:tcW w:w="1920" w:type="dxa"/>
            <w:vAlign w:val="bottom"/>
            <w:tcBorders>
              <w:bottom w:val="single" w:sz="8" w:color="00C08A"/>
            </w:tcBorders>
          </w:tcPr>
          <w:p>
            <w:pPr>
              <w:ind w:left="200"/>
              <w:spacing w:after="0"/>
              <w:rPr>
                <w:sz w:val="20"/>
                <w:szCs w:val="20"/>
                <w:color w:val="auto"/>
              </w:rPr>
            </w:pPr>
            <w:r>
              <w:rPr>
                <w:rFonts w:ascii="Arial" w:cs="Arial" w:eastAsia="Arial" w:hAnsi="Arial"/>
                <w:sz w:val="14"/>
                <w:szCs w:val="14"/>
                <w:b w:val="1"/>
                <w:bCs w:val="1"/>
                <w:color w:val="002453"/>
              </w:rPr>
              <w:t>​ ​</w:t>
            </w:r>
          </w:p>
        </w:tc>
        <w:tc>
          <w:tcPr>
            <w:tcW w:w="200" w:type="dxa"/>
            <w:vAlign w:val="bottom"/>
            <w:tcBorders>
              <w:bottom w:val="single" w:sz="8" w:color="00C08A"/>
            </w:tcBorders>
          </w:tcPr>
          <w:p>
            <w:pPr>
              <w:spacing w:after="0"/>
              <w:rPr>
                <w:sz w:val="17"/>
                <w:szCs w:val="17"/>
                <w:color w:val="auto"/>
              </w:rPr>
            </w:pPr>
          </w:p>
        </w:tc>
        <w:tc>
          <w:tcPr>
            <w:tcW w:w="140" w:type="dxa"/>
            <w:vAlign w:val="bottom"/>
            <w:tcBorders>
              <w:bottom w:val="single" w:sz="8" w:color="00C08A"/>
            </w:tcBorders>
          </w:tcPr>
          <w:p>
            <w:pPr>
              <w:spacing w:after="0"/>
              <w:rPr>
                <w:sz w:val="17"/>
                <w:szCs w:val="17"/>
                <w:color w:val="auto"/>
              </w:rPr>
            </w:pPr>
          </w:p>
        </w:tc>
        <w:tc>
          <w:tcPr>
            <w:tcW w:w="1040" w:type="dxa"/>
            <w:vAlign w:val="bottom"/>
            <w:tcBorders>
              <w:bottom w:val="single" w:sz="8" w:color="00C08A"/>
            </w:tcBorders>
            <w:gridSpan w:val="2"/>
            <w:vMerge w:val="continue"/>
          </w:tcPr>
          <w:p>
            <w:pPr>
              <w:spacing w:after="0"/>
              <w:rPr>
                <w:sz w:val="17"/>
                <w:szCs w:val="17"/>
                <w:color w:val="auto"/>
              </w:rPr>
            </w:pPr>
          </w:p>
        </w:tc>
        <w:tc>
          <w:tcPr>
            <w:tcW w:w="220" w:type="dxa"/>
            <w:vAlign w:val="bottom"/>
            <w:tcBorders>
              <w:bottom w:val="single" w:sz="8" w:color="00C08A"/>
            </w:tcBorders>
          </w:tcPr>
          <w:p>
            <w:pPr>
              <w:spacing w:after="0"/>
              <w:rPr>
                <w:sz w:val="17"/>
                <w:szCs w:val="17"/>
                <w:color w:val="auto"/>
              </w:rPr>
            </w:pPr>
          </w:p>
        </w:tc>
        <w:tc>
          <w:tcPr>
            <w:tcW w:w="1260" w:type="dxa"/>
            <w:vAlign w:val="bottom"/>
            <w:tcBorders>
              <w:bottom w:val="single" w:sz="8" w:color="00C08A"/>
            </w:tcBorders>
          </w:tcPr>
          <w:p>
            <w:pPr>
              <w:spacing w:after="0"/>
              <w:rPr>
                <w:sz w:val="17"/>
                <w:szCs w:val="17"/>
                <w:color w:val="auto"/>
              </w:rPr>
            </w:pPr>
          </w:p>
        </w:tc>
        <w:tc>
          <w:tcPr>
            <w:tcW w:w="220" w:type="dxa"/>
            <w:vAlign w:val="bottom"/>
            <w:tcBorders>
              <w:bottom w:val="single" w:sz="8" w:color="00C08A"/>
            </w:tcBorders>
          </w:tcPr>
          <w:p>
            <w:pPr>
              <w:spacing w:after="0"/>
              <w:rPr>
                <w:sz w:val="17"/>
                <w:szCs w:val="17"/>
                <w:color w:val="auto"/>
              </w:rPr>
            </w:pPr>
          </w:p>
        </w:tc>
        <w:tc>
          <w:tcPr>
            <w:tcW w:w="480" w:type="dxa"/>
            <w:vAlign w:val="bottom"/>
            <w:tcBorders>
              <w:bottom w:val="single" w:sz="8" w:color="00C08A"/>
            </w:tcBorders>
          </w:tcPr>
          <w:p>
            <w:pPr>
              <w:ind w:left="220"/>
              <w:spacing w:after="0"/>
              <w:rPr>
                <w:sz w:val="20"/>
                <w:szCs w:val="20"/>
                <w:color w:val="auto"/>
              </w:rPr>
            </w:pPr>
            <w:r>
              <w:rPr>
                <w:rFonts w:ascii="Arial" w:cs="Arial" w:eastAsia="Arial" w:hAnsi="Arial"/>
                <w:sz w:val="14"/>
                <w:szCs w:val="14"/>
                <w:b w:val="1"/>
                <w:bCs w:val="1"/>
                <w:color w:val="002453"/>
              </w:rPr>
              <w:t>​ ​</w:t>
            </w:r>
          </w:p>
        </w:tc>
        <w:tc>
          <w:tcPr>
            <w:tcW w:w="720" w:type="dxa"/>
            <w:vAlign w:val="bottom"/>
            <w:tcBorders>
              <w:bottom w:val="single" w:sz="8" w:color="00C08A"/>
            </w:tcBorders>
          </w:tcPr>
          <w:p>
            <w:pPr>
              <w:jc w:val="center"/>
              <w:ind w:right="17"/>
              <w:spacing w:after="0"/>
              <w:rPr>
                <w:sz w:val="20"/>
                <w:szCs w:val="20"/>
                <w:color w:val="auto"/>
              </w:rPr>
            </w:pPr>
            <w:r>
              <w:rPr>
                <w:rFonts w:ascii="Arial" w:cs="Arial" w:eastAsia="Arial" w:hAnsi="Arial"/>
                <w:sz w:val="14"/>
                <w:szCs w:val="14"/>
                <w:b w:val="1"/>
                <w:bCs w:val="1"/>
                <w:color w:val="002453"/>
              </w:rPr>
              <w:t>Options</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920" w:type="dxa"/>
            <w:vAlign w:val="bottom"/>
            <w:tcBorders>
              <w:bottom w:val="single" w:sz="8" w:color="00C08A"/>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 ​ ​</w:t>
            </w:r>
          </w:p>
        </w:tc>
        <w:tc>
          <w:tcPr>
            <w:tcW w:w="200" w:type="dxa"/>
            <w:vAlign w:val="bottom"/>
            <w:tcBorders>
              <w:bottom w:val="single" w:sz="8" w:color="00C08A"/>
            </w:tcBorders>
            <w:shd w:val="clear" w:color="auto" w:fill="CCEEFF"/>
          </w:tcPr>
          <w:p>
            <w:pPr>
              <w:spacing w:after="0"/>
              <w:rPr>
                <w:sz w:val="22"/>
                <w:szCs w:val="22"/>
                <w:color w:val="auto"/>
              </w:rPr>
            </w:pPr>
          </w:p>
        </w:tc>
        <w:tc>
          <w:tcPr>
            <w:tcW w:w="140" w:type="dxa"/>
            <w:vAlign w:val="bottom"/>
            <w:tcBorders>
              <w:bottom w:val="single" w:sz="8" w:color="00C08A"/>
            </w:tcBorders>
            <w:shd w:val="clear" w:color="auto" w:fill="CCEEFF"/>
          </w:tcPr>
          <w:p>
            <w:pPr>
              <w:spacing w:after="0"/>
              <w:rPr>
                <w:sz w:val="22"/>
                <w:szCs w:val="22"/>
                <w:color w:val="auto"/>
              </w:rPr>
            </w:pPr>
          </w:p>
        </w:tc>
        <w:tc>
          <w:tcPr>
            <w:tcW w:w="480" w:type="dxa"/>
            <w:vAlign w:val="bottom"/>
            <w:tcBorders>
              <w:bottom w:val="single" w:sz="8" w:color="00C08A"/>
            </w:tcBorders>
            <w:shd w:val="clear" w:color="auto" w:fill="CCEEFF"/>
          </w:tcPr>
          <w:p>
            <w:pPr>
              <w:spacing w:after="0"/>
              <w:rPr>
                <w:sz w:val="22"/>
                <w:szCs w:val="22"/>
                <w:color w:val="auto"/>
              </w:rPr>
            </w:pPr>
          </w:p>
        </w:tc>
        <w:tc>
          <w:tcPr>
            <w:tcW w:w="5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12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480" w:type="dxa"/>
            <w:vAlign w:val="bottom"/>
            <w:tcBorders>
              <w:bottom w:val="single" w:sz="8" w:color="00C08A"/>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 ​ ​</w:t>
            </w:r>
          </w:p>
        </w:tc>
        <w:tc>
          <w:tcPr>
            <w:tcW w:w="720" w:type="dxa"/>
            <w:vAlign w:val="bottom"/>
            <w:tcBorders>
              <w:bottom w:val="single" w:sz="8" w:color="00C08A"/>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Douglas A. Cifu</w:t>
            </w:r>
          </w:p>
        </w:tc>
        <w:tc>
          <w:tcPr>
            <w:tcW w:w="2260" w:type="dxa"/>
            <w:vAlign w:val="bottom"/>
            <w:tcBorders>
              <w:bottom w:val="single" w:sz="8" w:color="00C08A"/>
            </w:tcBorders>
            <w:gridSpan w:val="3"/>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Chief Executive Officer</w:t>
            </w:r>
          </w:p>
        </w:tc>
        <w:tc>
          <w:tcPr>
            <w:tcW w:w="480" w:type="dxa"/>
            <w:vAlign w:val="bottom"/>
            <w:tcBorders>
              <w:bottom w:val="single" w:sz="8" w:color="00C08A"/>
            </w:tcBorders>
          </w:tcPr>
          <w:p>
            <w:pPr>
              <w:spacing w:after="0"/>
              <w:rPr>
                <w:sz w:val="22"/>
                <w:szCs w:val="22"/>
                <w:color w:val="auto"/>
              </w:rPr>
            </w:pPr>
          </w:p>
        </w:tc>
        <w:tc>
          <w:tcPr>
            <w:tcW w:w="560" w:type="dxa"/>
            <w:vAlign w:val="bottom"/>
            <w:tcBorders>
              <w:bottom w:val="single" w:sz="8" w:color="00C08A"/>
            </w:tcBorders>
          </w:tcPr>
          <w:p>
            <w:pPr>
              <w:spacing w:after="0"/>
              <w:rPr>
                <w:sz w:val="22"/>
                <w:szCs w:val="22"/>
                <w:color w:val="auto"/>
              </w:rPr>
            </w:pPr>
          </w:p>
        </w:tc>
        <w:tc>
          <w:tcPr>
            <w:tcW w:w="220" w:type="dxa"/>
            <w:vAlign w:val="bottom"/>
            <w:tcBorders>
              <w:bottom w:val="single" w:sz="8" w:color="00C08A"/>
            </w:tcBorders>
          </w:tcPr>
          <w:p>
            <w:pPr>
              <w:spacing w:after="0"/>
              <w:rPr>
                <w:sz w:val="22"/>
                <w:szCs w:val="22"/>
                <w:color w:val="auto"/>
              </w:rPr>
            </w:pPr>
          </w:p>
        </w:tc>
        <w:tc>
          <w:tcPr>
            <w:tcW w:w="1260" w:type="dxa"/>
            <w:vAlign w:val="bottom"/>
            <w:tcBorders>
              <w:bottom w:val="single" w:sz="8" w:color="00C08A"/>
            </w:tcBorders>
          </w:tcPr>
          <w:p>
            <w:pPr>
              <w:spacing w:after="0"/>
              <w:rPr>
                <w:sz w:val="22"/>
                <w:szCs w:val="22"/>
                <w:color w:val="auto"/>
              </w:rPr>
            </w:pPr>
          </w:p>
        </w:tc>
        <w:tc>
          <w:tcPr>
            <w:tcW w:w="220" w:type="dxa"/>
            <w:vAlign w:val="bottom"/>
            <w:tcBorders>
              <w:bottom w:val="single" w:sz="8" w:color="00C08A"/>
            </w:tcBorders>
          </w:tcPr>
          <w:p>
            <w:pPr>
              <w:spacing w:after="0"/>
              <w:rPr>
                <w:sz w:val="22"/>
                <w:szCs w:val="22"/>
                <w:color w:val="auto"/>
              </w:rPr>
            </w:pPr>
          </w:p>
        </w:tc>
        <w:tc>
          <w:tcPr>
            <w:tcW w:w="1200" w:type="dxa"/>
            <w:vAlign w:val="bottom"/>
            <w:tcBorders>
              <w:bottom w:val="single" w:sz="8" w:color="00C08A"/>
            </w:tcBorders>
            <w:gridSpan w:val="2"/>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400,000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Joseph Molluso</w:t>
            </w:r>
          </w:p>
        </w:tc>
        <w:tc>
          <w:tcPr>
            <w:tcW w:w="4780" w:type="dxa"/>
            <w:vAlign w:val="bottom"/>
            <w:tcBorders>
              <w:bottom w:val="single" w:sz="8" w:color="00C08A"/>
            </w:tcBorders>
            <w:gridSpan w:val="7"/>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Co-President and Co-Chief Operating Officer</w:t>
            </w:r>
          </w:p>
        </w:tc>
        <w:tc>
          <w:tcPr>
            <w:tcW w:w="220" w:type="dxa"/>
            <w:vAlign w:val="bottom"/>
            <w:tcBorders>
              <w:bottom w:val="single" w:sz="8" w:color="00C08A"/>
            </w:tcBorders>
            <w:shd w:val="clear" w:color="auto" w:fill="CCEEFF"/>
          </w:tcPr>
          <w:p>
            <w:pPr>
              <w:spacing w:after="0"/>
              <w:rPr>
                <w:sz w:val="22"/>
                <w:szCs w:val="22"/>
                <w:color w:val="auto"/>
              </w:rPr>
            </w:pPr>
          </w:p>
        </w:tc>
        <w:tc>
          <w:tcPr>
            <w:tcW w:w="1200" w:type="dxa"/>
            <w:vAlign w:val="bottom"/>
            <w:tcBorders>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45,000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Brett Fairclough</w:t>
            </w:r>
          </w:p>
        </w:tc>
        <w:tc>
          <w:tcPr>
            <w:tcW w:w="4780" w:type="dxa"/>
            <w:vAlign w:val="bottom"/>
            <w:tcBorders>
              <w:bottom w:val="single" w:sz="8" w:color="00C08A"/>
            </w:tcBorders>
            <w:gridSpan w:val="7"/>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Co-President and Co-Chief Operating Officer</w:t>
            </w:r>
          </w:p>
        </w:tc>
        <w:tc>
          <w:tcPr>
            <w:tcW w:w="220" w:type="dxa"/>
            <w:vAlign w:val="bottom"/>
            <w:tcBorders>
              <w:bottom w:val="single" w:sz="8" w:color="00C08A"/>
            </w:tcBorders>
          </w:tcPr>
          <w:p>
            <w:pPr>
              <w:spacing w:after="0"/>
              <w:rPr>
                <w:sz w:val="22"/>
                <w:szCs w:val="22"/>
                <w:color w:val="auto"/>
              </w:rPr>
            </w:pPr>
          </w:p>
        </w:tc>
        <w:tc>
          <w:tcPr>
            <w:tcW w:w="1200" w:type="dxa"/>
            <w:vAlign w:val="bottom"/>
            <w:tcBorders>
              <w:bottom w:val="single" w:sz="8" w:color="00C08A"/>
            </w:tcBorders>
            <w:gridSpan w:val="2"/>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100,000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Stephen Cavoli</w:t>
            </w:r>
          </w:p>
        </w:tc>
        <w:tc>
          <w:tcPr>
            <w:tcW w:w="3300" w:type="dxa"/>
            <w:vAlign w:val="bottom"/>
            <w:tcBorders>
              <w:bottom w:val="single" w:sz="8" w:color="00C08A"/>
            </w:tcBorders>
            <w:gridSpan w:val="5"/>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Executive Vice President, Markets</w:t>
            </w:r>
          </w:p>
        </w:tc>
        <w:tc>
          <w:tcPr>
            <w:tcW w:w="220" w:type="dxa"/>
            <w:vAlign w:val="bottom"/>
            <w:tcBorders>
              <w:bottom w:val="single" w:sz="8" w:color="00C08A"/>
            </w:tcBorders>
            <w:shd w:val="clear" w:color="auto" w:fill="CCEEFF"/>
          </w:tcPr>
          <w:p>
            <w:pPr>
              <w:spacing w:after="0"/>
              <w:rPr>
                <w:sz w:val="22"/>
                <w:szCs w:val="22"/>
                <w:color w:val="auto"/>
              </w:rPr>
            </w:pPr>
          </w:p>
        </w:tc>
        <w:tc>
          <w:tcPr>
            <w:tcW w:w="12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480" w:type="dxa"/>
            <w:vAlign w:val="bottom"/>
            <w:tcBorders>
              <w:bottom w:val="single" w:sz="8" w:color="00C08A"/>
            </w:tcBorders>
            <w:shd w:val="clear" w:color="auto" w:fill="CCEEFF"/>
          </w:tcPr>
          <w:p>
            <w:pPr>
              <w:ind w:left="160"/>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720" w:type="dxa"/>
            <w:vAlign w:val="bottom"/>
            <w:tcBorders>
              <w:bottom w:val="single" w:sz="8" w:color="00C08A"/>
            </w:tcBorders>
            <w:shd w:val="clear" w:color="auto" w:fill="CCEEFF"/>
          </w:tcPr>
          <w:p>
            <w:pPr>
              <w:jc w:val="center"/>
              <w:ind w:right="17"/>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Cindy Lee</w:t>
            </w:r>
          </w:p>
        </w:tc>
        <w:tc>
          <w:tcPr>
            <w:tcW w:w="4780" w:type="dxa"/>
            <w:vAlign w:val="bottom"/>
            <w:tcBorders>
              <w:bottom w:val="single" w:sz="8" w:color="00C08A"/>
            </w:tcBorders>
            <w:gridSpan w:val="7"/>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Executive Vice President and Chief Financial Officer</w:t>
            </w:r>
          </w:p>
        </w:tc>
        <w:tc>
          <w:tcPr>
            <w:tcW w:w="220" w:type="dxa"/>
            <w:vAlign w:val="bottom"/>
            <w:tcBorders>
              <w:bottom w:val="single" w:sz="8" w:color="00C08A"/>
            </w:tcBorders>
          </w:tcPr>
          <w:p>
            <w:pPr>
              <w:spacing w:after="0"/>
              <w:rPr>
                <w:sz w:val="22"/>
                <w:szCs w:val="22"/>
                <w:color w:val="auto"/>
              </w:rPr>
            </w:pPr>
          </w:p>
        </w:tc>
        <w:tc>
          <w:tcPr>
            <w:tcW w:w="1200" w:type="dxa"/>
            <w:vAlign w:val="bottom"/>
            <w:tcBorders>
              <w:bottom w:val="single" w:sz="8" w:color="00C08A"/>
            </w:tcBorders>
            <w:gridSpan w:val="2"/>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60,000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Sean P. Galvin</w:t>
            </w:r>
          </w:p>
        </w:tc>
        <w:tc>
          <w:tcPr>
            <w:tcW w:w="5480" w:type="dxa"/>
            <w:vAlign w:val="bottom"/>
            <w:tcBorders>
              <w:bottom w:val="single" w:sz="8" w:color="00C08A"/>
            </w:tcBorders>
            <w:gridSpan w:val="9"/>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Former Executive Vice President and Chief Financial Officer </w:t>
            </w:r>
            <w:r>
              <w:rPr>
                <w:rFonts w:ascii="Arial" w:cs="Arial" w:eastAsia="Arial" w:hAnsi="Arial"/>
                <w:sz w:val="30"/>
                <w:szCs w:val="30"/>
                <w:color w:val="auto"/>
                <w:vertAlign w:val="subscript"/>
              </w:rPr>
              <w:t>​ ​ ​</w:t>
            </w:r>
            <w:r>
              <w:rPr>
                <w:rFonts w:ascii="Arial" w:cs="Arial" w:eastAsia="Arial" w:hAnsi="Arial"/>
                <w:sz w:val="16"/>
                <w:szCs w:val="16"/>
                <w:color w:val="auto"/>
              </w:rPr>
              <w:t>​</w:t>
            </w:r>
          </w:p>
        </w:tc>
        <w:tc>
          <w:tcPr>
            <w:tcW w:w="720" w:type="dxa"/>
            <w:vAlign w:val="bottom"/>
            <w:tcBorders>
              <w:bottom w:val="single" w:sz="8" w:color="00C08A"/>
            </w:tcBorders>
            <w:shd w:val="clear" w:color="auto" w:fill="CCEEFF"/>
          </w:tcPr>
          <w:p>
            <w:pPr>
              <w:jc w:val="center"/>
              <w:ind w:right="17"/>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980" w:type="dxa"/>
            <w:vAlign w:val="bottom"/>
          </w:tcPr>
          <w:p>
            <w:pPr>
              <w:spacing w:after="0"/>
              <w:rPr>
                <w:sz w:val="20"/>
                <w:szCs w:val="20"/>
                <w:color w:val="auto"/>
              </w:rPr>
            </w:pPr>
            <w:r>
              <w:rPr>
                <w:rFonts w:ascii="Arial" w:cs="Arial" w:eastAsia="Arial" w:hAnsi="Arial"/>
                <w:sz w:val="18"/>
                <w:szCs w:val="18"/>
                <w:color w:val="auto"/>
              </w:rPr>
              <w:t>All executive officers as a group</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980" w:type="dxa"/>
            <w:vAlign w:val="bottom"/>
            <w:tcBorders>
              <w:bottom w:val="single" w:sz="8" w:color="00C08A"/>
            </w:tcBorders>
          </w:tcPr>
          <w:p>
            <w:pPr>
              <w:ind w:left="180"/>
              <w:spacing w:after="0"/>
              <w:rPr>
                <w:sz w:val="20"/>
                <w:szCs w:val="20"/>
                <w:color w:val="auto"/>
              </w:rPr>
            </w:pPr>
            <w:r>
              <w:rPr>
                <w:rFonts w:ascii="Arial" w:cs="Arial" w:eastAsia="Arial" w:hAnsi="Arial"/>
                <w:sz w:val="18"/>
                <w:szCs w:val="18"/>
                <w:color w:val="auto"/>
              </w:rPr>
              <w:t>(5 persons)</w:t>
            </w:r>
          </w:p>
        </w:tc>
        <w:tc>
          <w:tcPr>
            <w:tcW w:w="1920" w:type="dxa"/>
            <w:vAlign w:val="bottom"/>
            <w:tcBorders>
              <w:bottom w:val="single" w:sz="8" w:color="00C08A"/>
            </w:tcBorders>
          </w:tcPr>
          <w:p>
            <w:pPr>
              <w:ind w:left="160"/>
              <w:spacing w:after="0"/>
              <w:rPr>
                <w:sz w:val="20"/>
                <w:szCs w:val="20"/>
                <w:color w:val="auto"/>
              </w:rPr>
            </w:pPr>
            <w:r>
              <w:rPr>
                <w:rFonts w:ascii="Arial" w:cs="Arial" w:eastAsia="Arial" w:hAnsi="Arial"/>
                <w:sz w:val="18"/>
                <w:szCs w:val="18"/>
                <w:color w:val="auto"/>
              </w:rPr>
              <w:t>​ ​ ​</w:t>
            </w:r>
          </w:p>
        </w:tc>
        <w:tc>
          <w:tcPr>
            <w:tcW w:w="200" w:type="dxa"/>
            <w:vAlign w:val="bottom"/>
            <w:tcBorders>
              <w:bottom w:val="single" w:sz="8" w:color="00C08A"/>
            </w:tcBorders>
          </w:tcPr>
          <w:p>
            <w:pPr>
              <w:spacing w:after="0"/>
              <w:rPr>
                <w:sz w:val="22"/>
                <w:szCs w:val="22"/>
                <w:color w:val="auto"/>
              </w:rPr>
            </w:pPr>
          </w:p>
        </w:tc>
        <w:tc>
          <w:tcPr>
            <w:tcW w:w="140" w:type="dxa"/>
            <w:vAlign w:val="bottom"/>
            <w:tcBorders>
              <w:bottom w:val="single" w:sz="8" w:color="00C08A"/>
            </w:tcBorders>
          </w:tcPr>
          <w:p>
            <w:pPr>
              <w:spacing w:after="0"/>
              <w:rPr>
                <w:sz w:val="22"/>
                <w:szCs w:val="22"/>
                <w:color w:val="auto"/>
              </w:rPr>
            </w:pPr>
          </w:p>
        </w:tc>
        <w:tc>
          <w:tcPr>
            <w:tcW w:w="480" w:type="dxa"/>
            <w:vAlign w:val="bottom"/>
            <w:tcBorders>
              <w:bottom w:val="single" w:sz="8" w:color="00C08A"/>
            </w:tcBorders>
          </w:tcPr>
          <w:p>
            <w:pPr>
              <w:spacing w:after="0"/>
              <w:rPr>
                <w:sz w:val="22"/>
                <w:szCs w:val="22"/>
                <w:color w:val="auto"/>
              </w:rPr>
            </w:pPr>
          </w:p>
        </w:tc>
        <w:tc>
          <w:tcPr>
            <w:tcW w:w="560" w:type="dxa"/>
            <w:vAlign w:val="bottom"/>
            <w:tcBorders>
              <w:bottom w:val="single" w:sz="8" w:color="00C08A"/>
            </w:tcBorders>
          </w:tcPr>
          <w:p>
            <w:pPr>
              <w:spacing w:after="0"/>
              <w:rPr>
                <w:sz w:val="22"/>
                <w:szCs w:val="22"/>
                <w:color w:val="auto"/>
              </w:rPr>
            </w:pPr>
          </w:p>
        </w:tc>
        <w:tc>
          <w:tcPr>
            <w:tcW w:w="220" w:type="dxa"/>
            <w:vAlign w:val="bottom"/>
            <w:tcBorders>
              <w:bottom w:val="single" w:sz="8" w:color="00C08A"/>
            </w:tcBorders>
          </w:tcPr>
          <w:p>
            <w:pPr>
              <w:spacing w:after="0"/>
              <w:rPr>
                <w:sz w:val="22"/>
                <w:szCs w:val="22"/>
                <w:color w:val="auto"/>
              </w:rPr>
            </w:pPr>
          </w:p>
        </w:tc>
        <w:tc>
          <w:tcPr>
            <w:tcW w:w="1260" w:type="dxa"/>
            <w:vAlign w:val="bottom"/>
            <w:tcBorders>
              <w:bottom w:val="single" w:sz="8" w:color="00C08A"/>
            </w:tcBorders>
          </w:tcPr>
          <w:p>
            <w:pPr>
              <w:spacing w:after="0"/>
              <w:rPr>
                <w:sz w:val="22"/>
                <w:szCs w:val="22"/>
                <w:color w:val="auto"/>
              </w:rPr>
            </w:pPr>
          </w:p>
        </w:tc>
        <w:tc>
          <w:tcPr>
            <w:tcW w:w="220" w:type="dxa"/>
            <w:vAlign w:val="bottom"/>
            <w:tcBorders>
              <w:bottom w:val="single" w:sz="8" w:color="00C08A"/>
            </w:tcBorders>
          </w:tcPr>
          <w:p>
            <w:pPr>
              <w:spacing w:after="0"/>
              <w:rPr>
                <w:sz w:val="22"/>
                <w:szCs w:val="22"/>
                <w:color w:val="auto"/>
              </w:rPr>
            </w:pPr>
          </w:p>
        </w:tc>
        <w:tc>
          <w:tcPr>
            <w:tcW w:w="1200" w:type="dxa"/>
            <w:vAlign w:val="bottom"/>
            <w:tcBorders>
              <w:bottom w:val="single" w:sz="8" w:color="00C08A"/>
            </w:tcBorders>
            <w:gridSpan w:val="2"/>
          </w:tcPr>
          <w:p>
            <w:pPr>
              <w:ind w:left="160"/>
              <w:spacing w:after="0"/>
              <w:rPr>
                <w:sz w:val="20"/>
                <w:szCs w:val="20"/>
                <w:color w:val="auto"/>
              </w:rPr>
            </w:pPr>
            <w:r>
              <w:rPr>
                <w:rFonts w:ascii="Arial" w:cs="Arial" w:eastAsia="Arial" w:hAnsi="Arial"/>
                <w:sz w:val="18"/>
                <w:szCs w:val="18"/>
                <w:color w:val="auto"/>
              </w:rPr>
              <w:t>​ ​ ​​ 605,000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(other than executive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980" w:type="dxa"/>
            <w:vAlign w:val="bottom"/>
            <w:tcBorders>
              <w:bottom w:val="single" w:sz="8" w:color="00C08A"/>
            </w:tcBorders>
            <w:shd w:val="clear" w:color="auto" w:fill="CCEEFF"/>
          </w:tcPr>
          <w:p>
            <w:pPr>
              <w:ind w:left="180"/>
              <w:spacing w:after="0"/>
              <w:rPr>
                <w:sz w:val="20"/>
                <w:szCs w:val="20"/>
                <w:color w:val="auto"/>
              </w:rPr>
            </w:pPr>
            <w:r>
              <w:rPr>
                <w:rFonts w:ascii="Arial" w:cs="Arial" w:eastAsia="Arial" w:hAnsi="Arial"/>
                <w:sz w:val="18"/>
                <w:szCs w:val="18"/>
                <w:color w:val="auto"/>
              </w:rPr>
              <w:t>officers) as a group (9 persons)</w:t>
            </w:r>
          </w:p>
        </w:tc>
        <w:tc>
          <w:tcPr>
            <w:tcW w:w="1920" w:type="dxa"/>
            <w:vAlign w:val="bottom"/>
            <w:tcBorders>
              <w:bottom w:val="single" w:sz="8" w:color="00C08A"/>
            </w:tcBorders>
            <w:shd w:val="clear" w:color="auto" w:fill="CCEEFF"/>
          </w:tcPr>
          <w:p>
            <w:pPr>
              <w:ind w:left="160"/>
              <w:spacing w:after="0"/>
              <w:rPr>
                <w:sz w:val="20"/>
                <w:szCs w:val="20"/>
                <w:color w:val="auto"/>
              </w:rPr>
            </w:pPr>
            <w:r>
              <w:rPr>
                <w:rFonts w:ascii="Arial" w:cs="Arial" w:eastAsia="Arial" w:hAnsi="Arial"/>
                <w:sz w:val="18"/>
                <w:szCs w:val="18"/>
                <w:color w:val="auto"/>
              </w:rPr>
              <w:t>​ ​ ​</w:t>
            </w:r>
          </w:p>
        </w:tc>
        <w:tc>
          <w:tcPr>
            <w:tcW w:w="200" w:type="dxa"/>
            <w:vAlign w:val="bottom"/>
            <w:tcBorders>
              <w:bottom w:val="single" w:sz="8" w:color="00C08A"/>
            </w:tcBorders>
            <w:shd w:val="clear" w:color="auto" w:fill="CCEEFF"/>
          </w:tcPr>
          <w:p>
            <w:pPr>
              <w:spacing w:after="0"/>
              <w:rPr>
                <w:sz w:val="22"/>
                <w:szCs w:val="22"/>
                <w:color w:val="auto"/>
              </w:rPr>
            </w:pPr>
          </w:p>
        </w:tc>
        <w:tc>
          <w:tcPr>
            <w:tcW w:w="140" w:type="dxa"/>
            <w:vAlign w:val="bottom"/>
            <w:tcBorders>
              <w:bottom w:val="single" w:sz="8" w:color="00C08A"/>
            </w:tcBorders>
            <w:shd w:val="clear" w:color="auto" w:fill="CCEEFF"/>
          </w:tcPr>
          <w:p>
            <w:pPr>
              <w:spacing w:after="0"/>
              <w:rPr>
                <w:sz w:val="22"/>
                <w:szCs w:val="22"/>
                <w:color w:val="auto"/>
              </w:rPr>
            </w:pPr>
          </w:p>
        </w:tc>
        <w:tc>
          <w:tcPr>
            <w:tcW w:w="480" w:type="dxa"/>
            <w:vAlign w:val="bottom"/>
            <w:tcBorders>
              <w:bottom w:val="single" w:sz="8" w:color="00C08A"/>
            </w:tcBorders>
            <w:shd w:val="clear" w:color="auto" w:fill="CCEEFF"/>
          </w:tcPr>
          <w:p>
            <w:pPr>
              <w:spacing w:after="0"/>
              <w:rPr>
                <w:sz w:val="22"/>
                <w:szCs w:val="22"/>
                <w:color w:val="auto"/>
              </w:rPr>
            </w:pPr>
          </w:p>
        </w:tc>
        <w:tc>
          <w:tcPr>
            <w:tcW w:w="5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12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1200" w:type="dxa"/>
            <w:vAlign w:val="bottom"/>
            <w:tcBorders>
              <w:bottom w:val="single" w:sz="8" w:color="00C08A"/>
            </w:tcBorders>
            <w:gridSpan w:val="2"/>
            <w:shd w:val="clear" w:color="auto" w:fill="CCEEFF"/>
          </w:tcPr>
          <w:p>
            <w:pPr>
              <w:ind w:left="160"/>
              <w:spacing w:after="0"/>
              <w:rPr>
                <w:sz w:val="20"/>
                <w:szCs w:val="20"/>
                <w:color w:val="auto"/>
              </w:rPr>
            </w:pPr>
            <w:r>
              <w:rPr>
                <w:rFonts w:ascii="Arial" w:cs="Arial" w:eastAsia="Arial" w:hAnsi="Arial"/>
                <w:sz w:val="18"/>
                <w:szCs w:val="18"/>
                <w:color w:val="auto"/>
              </w:rPr>
              <w:t>​ ​ ​​2,835,000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980" w:type="dxa"/>
            <w:vAlign w:val="bottom"/>
          </w:tcPr>
          <w:p>
            <w:pPr>
              <w:spacing w:after="0"/>
              <w:rPr>
                <w:sz w:val="20"/>
                <w:szCs w:val="20"/>
                <w:color w:val="auto"/>
              </w:rPr>
            </w:pPr>
            <w:r>
              <w:rPr>
                <w:rFonts w:ascii="Arial" w:cs="Arial" w:eastAsia="Arial" w:hAnsi="Arial"/>
                <w:sz w:val="18"/>
                <w:szCs w:val="18"/>
                <w:color w:val="auto"/>
              </w:rPr>
              <w:t>All employees (other than executive</w:t>
            </w:r>
          </w:p>
        </w:tc>
        <w:tc>
          <w:tcPr>
            <w:tcW w:w="1920" w:type="dxa"/>
            <w:vAlign w:val="bottom"/>
            <w:vMerge w:val="restart"/>
          </w:tcPr>
          <w:p>
            <w:pPr>
              <w:ind w:left="1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perscript"/>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Arial" w:cs="Arial" w:eastAsia="Arial" w:hAnsi="Arial"/>
                <w:sz w:val="18"/>
                <w:szCs w:val="18"/>
                <w:color w:val="auto"/>
              </w:rPr>
              <w:t>officers) as a group (140 persons)</w:t>
            </w:r>
          </w:p>
        </w:tc>
        <w:tc>
          <w:tcPr>
            <w:tcW w:w="19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rPr>
              <w:t>​ ​ ​​5,848,000​</w:t>
            </w:r>
          </w:p>
        </w:tc>
        <w:tc>
          <w:tcPr>
            <w:tcW w:w="0" w:type="dxa"/>
            <w:vAlign w:val="bottom"/>
          </w:tcPr>
          <w:p>
            <w:pPr>
              <w:spacing w:after="0"/>
              <w:rPr>
                <w:sz w:val="1"/>
                <w:szCs w:val="1"/>
                <w:color w:val="auto"/>
              </w:rPr>
            </w:pPr>
          </w:p>
        </w:tc>
      </w:tr>
      <w:tr>
        <w:trPr>
          <w:trHeight w:val="398"/>
        </w:trPr>
        <w:tc>
          <w:tcPr>
            <w:tcW w:w="2980" w:type="dxa"/>
            <w:vAlign w:val="bottom"/>
            <w:tcBorders>
              <w:top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920" w:type="dxa"/>
            <w:vAlign w:val="bottom"/>
            <w:tcBorders>
              <w:top w:val="single" w:sz="8" w:color="00C08A"/>
            </w:tcBorders>
          </w:tcPr>
          <w:p>
            <w:pPr>
              <w:spacing w:after="0"/>
              <w:rPr>
                <w:sz w:val="24"/>
                <w:szCs w:val="24"/>
                <w:color w:val="auto"/>
              </w:rPr>
            </w:pPr>
          </w:p>
        </w:tc>
        <w:tc>
          <w:tcPr>
            <w:tcW w:w="340" w:type="dxa"/>
            <w:vAlign w:val="bottom"/>
            <w:tcBorders>
              <w:top w:val="single" w:sz="8" w:color="00C08A"/>
            </w:tcBorders>
            <w:gridSpan w:val="2"/>
          </w:tcPr>
          <w:p>
            <w:pPr>
              <w:ind w:left="160"/>
              <w:spacing w:after="0"/>
              <w:rPr>
                <w:sz w:val="20"/>
                <w:szCs w:val="20"/>
                <w:color w:val="auto"/>
              </w:rPr>
            </w:pPr>
            <w:r>
              <w:rPr>
                <w:rFonts w:ascii="Arial" w:cs="Arial" w:eastAsia="Arial" w:hAnsi="Arial"/>
                <w:sz w:val="14"/>
                <w:szCs w:val="14"/>
                <w:b w:val="1"/>
                <w:bCs w:val="1"/>
                <w:color w:val="002453"/>
              </w:rPr>
              <w:t>​ ​</w:t>
            </w:r>
          </w:p>
        </w:tc>
        <w:tc>
          <w:tcPr>
            <w:tcW w:w="1040" w:type="dxa"/>
            <w:vAlign w:val="bottom"/>
            <w:tcBorders>
              <w:top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(a)</w:t>
            </w:r>
          </w:p>
        </w:tc>
        <w:tc>
          <w:tcPr>
            <w:tcW w:w="220" w:type="dxa"/>
            <w:vAlign w:val="bottom"/>
            <w:tcBorders>
              <w:top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260" w:type="dxa"/>
            <w:vAlign w:val="bottom"/>
            <w:tcBorders>
              <w:top w:val="single" w:sz="8" w:color="00C08A"/>
            </w:tcBorders>
          </w:tcPr>
          <w:p>
            <w:pPr>
              <w:jc w:val="center"/>
              <w:spacing w:after="0"/>
              <w:rPr>
                <w:sz w:val="20"/>
                <w:szCs w:val="20"/>
                <w:color w:val="auto"/>
              </w:rPr>
            </w:pPr>
            <w:r>
              <w:rPr>
                <w:rFonts w:ascii="Arial" w:cs="Arial" w:eastAsia="Arial" w:hAnsi="Arial"/>
                <w:sz w:val="14"/>
                <w:szCs w:val="14"/>
                <w:b w:val="1"/>
                <w:bCs w:val="1"/>
                <w:color w:val="002453"/>
              </w:rPr>
              <w:t>(b)</w:t>
            </w:r>
          </w:p>
        </w:tc>
        <w:tc>
          <w:tcPr>
            <w:tcW w:w="220" w:type="dxa"/>
            <w:vAlign w:val="bottom"/>
            <w:tcBorders>
              <w:top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480" w:type="dxa"/>
            <w:vAlign w:val="bottom"/>
            <w:tcBorders>
              <w:top w:val="single" w:sz="8" w:color="00C08A"/>
            </w:tcBorders>
          </w:tcPr>
          <w:p>
            <w:pPr>
              <w:spacing w:after="0"/>
              <w:rPr>
                <w:sz w:val="24"/>
                <w:szCs w:val="24"/>
                <w:color w:val="auto"/>
              </w:rPr>
            </w:pPr>
          </w:p>
        </w:tc>
        <w:tc>
          <w:tcPr>
            <w:tcW w:w="720" w:type="dxa"/>
            <w:vAlign w:val="bottom"/>
            <w:tcBorders>
              <w:top w:val="single" w:sz="8" w:color="00C08A"/>
            </w:tcBorders>
          </w:tcPr>
          <w:p>
            <w:pPr>
              <w:jc w:val="center"/>
              <w:ind w:right="397"/>
              <w:spacing w:after="0"/>
              <w:rPr>
                <w:sz w:val="20"/>
                <w:szCs w:val="20"/>
                <w:color w:val="auto"/>
              </w:rPr>
            </w:pPr>
            <w:r>
              <w:rPr>
                <w:rFonts w:ascii="Arial" w:cs="Arial" w:eastAsia="Arial" w:hAnsi="Arial"/>
                <w:sz w:val="14"/>
                <w:szCs w:val="14"/>
                <w:b w:val="1"/>
                <w:bCs w:val="1"/>
                <w:color w:val="002453"/>
                <w:w w:val="93"/>
              </w:rPr>
              <w:t>(c)</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00C08A"/>
            </w:tcBorders>
          </w:tcPr>
          <w:p>
            <w:pPr>
              <w:spacing w:after="0"/>
              <w:rPr>
                <w:sz w:val="15"/>
                <w:szCs w:val="15"/>
                <w:color w:val="auto"/>
              </w:rPr>
            </w:pPr>
          </w:p>
        </w:tc>
        <w:tc>
          <w:tcPr>
            <w:tcW w:w="480" w:type="dxa"/>
            <w:vAlign w:val="bottom"/>
            <w:tcBorders>
              <w:top w:val="single" w:sz="8" w:color="00C08A"/>
            </w:tcBorders>
          </w:tcPr>
          <w:p>
            <w:pPr>
              <w:spacing w:after="0"/>
              <w:rPr>
                <w:sz w:val="15"/>
                <w:szCs w:val="15"/>
                <w:color w:val="auto"/>
              </w:rPr>
            </w:pPr>
          </w:p>
        </w:tc>
        <w:tc>
          <w:tcPr>
            <w:tcW w:w="560" w:type="dxa"/>
            <w:vAlign w:val="bottom"/>
            <w:tcBorders>
              <w:top w:val="single" w:sz="8" w:color="00C08A"/>
            </w:tcBorders>
          </w:tcPr>
          <w:p>
            <w:pPr>
              <w:spacing w:after="0"/>
              <w:rPr>
                <w:sz w:val="15"/>
                <w:szCs w:val="15"/>
                <w:color w:val="auto"/>
              </w:rPr>
            </w:pPr>
          </w:p>
        </w:tc>
        <w:tc>
          <w:tcPr>
            <w:tcW w:w="220" w:type="dxa"/>
            <w:vAlign w:val="bottom"/>
            <w:tcBorders>
              <w:top w:val="single" w:sz="8" w:color="00C08A"/>
            </w:tcBorders>
          </w:tcPr>
          <w:p>
            <w:pPr>
              <w:spacing w:after="0"/>
              <w:rPr>
                <w:sz w:val="15"/>
                <w:szCs w:val="15"/>
                <w:color w:val="auto"/>
              </w:rPr>
            </w:pPr>
          </w:p>
        </w:tc>
        <w:tc>
          <w:tcPr>
            <w:tcW w:w="1260" w:type="dxa"/>
            <w:vAlign w:val="bottom"/>
            <w:tcBorders>
              <w:top w:val="single" w:sz="8" w:color="00C08A"/>
            </w:tcBorders>
          </w:tcPr>
          <w:p>
            <w:pPr>
              <w:spacing w:after="0"/>
              <w:rPr>
                <w:sz w:val="15"/>
                <w:szCs w:val="15"/>
                <w:color w:val="auto"/>
              </w:rPr>
            </w:pPr>
          </w:p>
        </w:tc>
        <w:tc>
          <w:tcPr>
            <w:tcW w:w="220" w:type="dxa"/>
            <w:vAlign w:val="bottom"/>
            <w:tcBorders>
              <w:top w:val="single" w:sz="8" w:color="00C08A"/>
            </w:tcBorders>
          </w:tcPr>
          <w:p>
            <w:pPr>
              <w:spacing w:after="0"/>
              <w:rPr>
                <w:sz w:val="15"/>
                <w:szCs w:val="15"/>
                <w:color w:val="auto"/>
              </w:rPr>
            </w:pPr>
          </w:p>
        </w:tc>
        <w:tc>
          <w:tcPr>
            <w:tcW w:w="1200" w:type="dxa"/>
            <w:vAlign w:val="bottom"/>
            <w:tcBorders>
              <w:top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Number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Number of</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Weighted-Average</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w w:val="99"/>
              </w:rPr>
              <w:t>Available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rPr>
              <w:t>Securities to</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rPr>
              <w:t>Future Issuance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left="8"/>
              <w:spacing w:after="0" w:line="135" w:lineRule="exact"/>
              <w:rPr>
                <w:sz w:val="20"/>
                <w:szCs w:val="20"/>
                <w:color w:val="auto"/>
              </w:rPr>
            </w:pPr>
            <w:r>
              <w:rPr>
                <w:rFonts w:ascii="Arial" w:cs="Arial" w:eastAsia="Arial" w:hAnsi="Arial"/>
                <w:sz w:val="14"/>
                <w:szCs w:val="14"/>
                <w:b w:val="1"/>
                <w:bCs w:val="1"/>
                <w:color w:val="002453"/>
              </w:rPr>
              <w:t>be Issued Upon</w:t>
            </w:r>
          </w:p>
        </w:tc>
        <w:tc>
          <w:tcPr>
            <w:tcW w:w="2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Exercise</w:t>
            </w:r>
          </w:p>
        </w:tc>
        <w:tc>
          <w:tcPr>
            <w:tcW w:w="22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Under 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Exercise of</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Price of</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Compensation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Outstanding</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Outstanding</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Plans (Excluding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Options,</w:t>
            </w:r>
          </w:p>
        </w:tc>
        <w:tc>
          <w:tcPr>
            <w:tcW w:w="2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Options,</w:t>
            </w:r>
          </w:p>
        </w:tc>
        <w:tc>
          <w:tcPr>
            <w:tcW w:w="22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Securities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Warrants and</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Warrants and</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Reflected in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920" w:type="dxa"/>
            <w:vAlign w:val="bottom"/>
            <w:tcBorders>
              <w:bottom w:val="single" w:sz="8" w:color="00C08A"/>
            </w:tcBorders>
          </w:tcPr>
          <w:p>
            <w:pPr>
              <w:spacing w:after="0"/>
              <w:rPr>
                <w:sz w:val="17"/>
                <w:szCs w:val="17"/>
                <w:color w:val="auto"/>
              </w:rPr>
            </w:pPr>
          </w:p>
        </w:tc>
        <w:tc>
          <w:tcPr>
            <w:tcW w:w="340" w:type="dxa"/>
            <w:vAlign w:val="bottom"/>
            <w:tcBorders>
              <w:bottom w:val="single" w:sz="8" w:color="00C08A"/>
            </w:tcBorders>
            <w:gridSpan w:val="2"/>
          </w:tcPr>
          <w:p>
            <w:pPr>
              <w:ind w:left="160"/>
              <w:spacing w:after="0"/>
              <w:rPr>
                <w:sz w:val="20"/>
                <w:szCs w:val="20"/>
                <w:color w:val="auto"/>
              </w:rPr>
            </w:pPr>
            <w:r>
              <w:rPr>
                <w:rFonts w:ascii="Arial" w:cs="Arial" w:eastAsia="Arial" w:hAnsi="Arial"/>
                <w:sz w:val="14"/>
                <w:szCs w:val="14"/>
                <w:b w:val="1"/>
                <w:bCs w:val="1"/>
                <w:color w:val="002453"/>
              </w:rPr>
              <w:t>​ ​</w:t>
            </w:r>
          </w:p>
        </w:tc>
        <w:tc>
          <w:tcPr>
            <w:tcW w:w="104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Rights</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Rights ($)</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20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Column (a))</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Plan Category</w:t>
            </w:r>
          </w:p>
        </w:tc>
        <w:tc>
          <w:tcPr>
            <w:tcW w:w="1920" w:type="dxa"/>
            <w:vAlign w:val="bottom"/>
            <w:tcBorders>
              <w:bottom w:val="single" w:sz="8" w:color="00C08A"/>
            </w:tcBorders>
            <w:shd w:val="clear" w:color="auto" w:fill="CCEEFF"/>
          </w:tcPr>
          <w:p>
            <w:pPr>
              <w:spacing w:after="0"/>
              <w:rPr>
                <w:sz w:val="22"/>
                <w:szCs w:val="22"/>
                <w:color w:val="auto"/>
              </w:rPr>
            </w:pPr>
          </w:p>
        </w:tc>
        <w:tc>
          <w:tcPr>
            <w:tcW w:w="340" w:type="dxa"/>
            <w:vAlign w:val="bottom"/>
            <w:tcBorders>
              <w:bottom w:val="single" w:sz="8" w:color="00C08A"/>
            </w:tcBorders>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0C08A"/>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00C08A"/>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0C08A"/>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40" w:type="dxa"/>
            <w:vAlign w:val="bottom"/>
            <w:tcBorders>
              <w:bottom w:val="single" w:sz="8" w:color="00C08A"/>
            </w:tcBorders>
            <w:gridSpan w:val="2"/>
          </w:tcPr>
          <w:p>
            <w:pPr>
              <w:ind w:left="16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00C08A"/>
            </w:tcBorders>
          </w:tcPr>
          <w:p>
            <w:pPr>
              <w:ind w:left="3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00C08A"/>
            </w:tcBorders>
          </w:tcPr>
          <w:p>
            <w:pPr>
              <w:jc w:val="right"/>
              <w:ind w:right="31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​n/a</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00C08A"/>
            </w:tcBorders>
            <w:gridSpan w:val="2"/>
          </w:tcPr>
          <w:p>
            <w:pPr>
              <w:ind w:left="260"/>
              <w:spacing w:after="0"/>
              <w:rPr>
                <w:sz w:val="20"/>
                <w:szCs w:val="20"/>
                <w:color w:val="auto"/>
              </w:rPr>
            </w:pPr>
            <w:r>
              <w:rPr>
                <w:rFonts w:ascii="Arial" w:cs="Arial" w:eastAsia="Arial" w:hAnsi="Arial"/>
                <w:sz w:val="18"/>
                <w:szCs w:val="18"/>
                <w:color w:val="auto"/>
              </w:rPr>
              <w:t>​198,784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4900" w:type="dxa"/>
            <w:vAlign w:val="bottom"/>
            <w:tcBorders>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340" w:type="dxa"/>
            <w:vAlign w:val="bottom"/>
            <w:tcBorders>
              <w:bottom w:val="single" w:sz="8" w:color="00C08A"/>
            </w:tcBorders>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00C08A"/>
            </w:tcBorders>
            <w:gridSpan w:val="2"/>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​n/a</w:t>
            </w:r>
          </w:p>
        </w:tc>
        <w:tc>
          <w:tcPr>
            <w:tcW w:w="22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00C08A"/>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00C08A"/>
            </w:tcBorders>
          </w:tcPr>
          <w:p>
            <w:pPr>
              <w:spacing w:after="0"/>
              <w:rPr>
                <w:sz w:val="22"/>
                <w:szCs w:val="22"/>
                <w:color w:val="auto"/>
              </w:rPr>
            </w:pPr>
          </w:p>
        </w:tc>
        <w:tc>
          <w:tcPr>
            <w:tcW w:w="340" w:type="dxa"/>
            <w:vAlign w:val="bottom"/>
            <w:tcBorders>
              <w:bottom w:val="single" w:sz="8" w:color="00C08A"/>
            </w:tcBorders>
            <w:gridSpan w:val="2"/>
          </w:tcPr>
          <w:p>
            <w:pPr>
              <w:ind w:left="16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00C08A"/>
            </w:tcBorders>
          </w:tcPr>
          <w:p>
            <w:pPr>
              <w:ind w:left="3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00C08A"/>
            </w:tcBorders>
          </w:tcPr>
          <w:p>
            <w:pPr>
              <w:jc w:val="right"/>
              <w:ind w:right="31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​n/a</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00C08A"/>
            </w:tcBorders>
            <w:gridSpan w:val="2"/>
          </w:tcPr>
          <w:p>
            <w:pPr>
              <w:ind w:left="260"/>
              <w:spacing w:after="0"/>
              <w:rPr>
                <w:sz w:val="20"/>
                <w:szCs w:val="20"/>
                <w:color w:val="auto"/>
              </w:rPr>
            </w:pPr>
            <w:r>
              <w:rPr>
                <w:rFonts w:ascii="Arial" w:cs="Arial" w:eastAsia="Arial" w:hAnsi="Arial"/>
                <w:sz w:val="18"/>
                <w:szCs w:val="18"/>
                <w:color w:val="auto"/>
              </w:rPr>
              <w:t>​198,784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360045</wp:posOffset>
            </wp:positionV>
            <wp:extent cx="754380" cy="2311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7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68"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the Second Amended Plan. Broker non-voters have no effect on the proposal, and abstentions have the same effect as a vote “against” the proposal.</w:t>
      </w:r>
    </w:p>
    <w:p>
      <w:pPr>
        <w:spacing w:after="0" w:line="200" w:lineRule="exact"/>
        <w:rPr>
          <w:sz w:val="20"/>
          <w:szCs w:val="20"/>
          <w:color w:val="auto"/>
        </w:rPr>
      </w:pPr>
    </w:p>
    <w:p>
      <w:pPr>
        <w:spacing w:after="0" w:line="246" w:lineRule="exact"/>
        <w:rPr>
          <w:sz w:val="20"/>
          <w:szCs w:val="20"/>
          <w:color w:val="auto"/>
        </w:rPr>
      </w:pPr>
    </w:p>
    <w:tbl>
      <w:tblPr>
        <w:tblLayout w:type="fixed"/>
        <w:tblInd w:w="760" w:type="dxa"/>
        <w:tblCellMar>
          <w:top w:w="0" w:type="dxa"/>
          <w:left w:w="0" w:type="dxa"/>
          <w:bottom w:w="0" w:type="dxa"/>
          <w:right w:w="0" w:type="dxa"/>
        </w:tblCellMar>
      </w:tblPr>
      <w:tr>
        <w:trPr>
          <w:trHeight w:val="467"/>
        </w:trPr>
        <w:tc>
          <w:tcPr>
            <w:tcW w:w="240" w:type="dxa"/>
            <w:vAlign w:val="bottom"/>
            <w:shd w:val="clear" w:color="auto" w:fill="00C08A"/>
          </w:tcPr>
          <w:p>
            <w:pPr>
              <w:spacing w:after="0"/>
              <w:rPr>
                <w:sz w:val="24"/>
                <w:szCs w:val="24"/>
                <w:color w:val="auto"/>
              </w:rPr>
            </w:pPr>
          </w:p>
        </w:tc>
        <w:tc>
          <w:tcPr>
            <w:tcW w:w="8720" w:type="dxa"/>
            <w:vAlign w:val="bottom"/>
            <w:shd w:val="clear" w:color="auto" w:fill="00C08A"/>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the amendment to the Virtu Financial, Inc.</w:t>
            </w:r>
          </w:p>
        </w:tc>
        <w:tc>
          <w:tcPr>
            <w:tcW w:w="220" w:type="dxa"/>
            <w:vAlign w:val="bottom"/>
            <w:shd w:val="clear" w:color="auto" w:fill="00C08A"/>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00C08A"/>
          </w:tcPr>
          <w:p>
            <w:pPr>
              <w:spacing w:after="0"/>
              <w:rPr>
                <w:sz w:val="18"/>
                <w:szCs w:val="18"/>
                <w:color w:val="auto"/>
              </w:rPr>
            </w:pPr>
          </w:p>
        </w:tc>
        <w:tc>
          <w:tcPr>
            <w:tcW w:w="8720" w:type="dxa"/>
            <w:vAlign w:val="bottom"/>
            <w:shd w:val="clear" w:color="auto" w:fill="00C08A"/>
          </w:tcPr>
          <w:p>
            <w:pPr>
              <w:jc w:val="center"/>
              <w:spacing w:after="0"/>
              <w:rPr>
                <w:sz w:val="20"/>
                <w:szCs w:val="20"/>
                <w:color w:val="auto"/>
              </w:rPr>
            </w:pPr>
            <w:r>
              <w:rPr>
                <w:rFonts w:ascii="Arial" w:cs="Arial" w:eastAsia="Arial" w:hAnsi="Arial"/>
                <w:sz w:val="18"/>
                <w:szCs w:val="18"/>
                <w:b w:val="1"/>
                <w:bCs w:val="1"/>
                <w:color w:val="002453"/>
                <w:w w:val="99"/>
              </w:rPr>
              <w:t>Second Amended and Restated 2015 Management Incentive Plan to increase the number of shares</w:t>
            </w:r>
          </w:p>
        </w:tc>
        <w:tc>
          <w:tcPr>
            <w:tcW w:w="220" w:type="dxa"/>
            <w:vAlign w:val="bottom"/>
            <w:shd w:val="clear" w:color="auto" w:fill="00C08A"/>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40" w:type="dxa"/>
            <w:vAlign w:val="bottom"/>
            <w:vMerge w:val="restart"/>
            <w:shd w:val="clear" w:color="auto" w:fill="00C08A"/>
          </w:tcPr>
          <w:p>
            <w:pPr>
              <w:ind w:left="60"/>
              <w:spacing w:after="0"/>
              <w:rPr>
                <w:sz w:val="20"/>
                <w:szCs w:val="20"/>
                <w:color w:val="auto"/>
              </w:rPr>
            </w:pPr>
            <w:r>
              <w:rPr>
                <w:rFonts w:ascii="Arial" w:cs="Arial" w:eastAsia="Arial" w:hAnsi="Arial"/>
                <w:sz w:val="18"/>
                <w:szCs w:val="18"/>
                <w:b w:val="1"/>
                <w:bCs w:val="1"/>
                <w:color w:val="002453"/>
              </w:rPr>
              <w:t>​</w:t>
            </w:r>
          </w:p>
        </w:tc>
        <w:tc>
          <w:tcPr>
            <w:tcW w:w="8720" w:type="dxa"/>
            <w:vAlign w:val="bottom"/>
            <w:shd w:val="clear" w:color="auto" w:fill="00C08A"/>
          </w:tcPr>
          <w:p>
            <w:pPr>
              <w:jc w:val="center"/>
              <w:spacing w:after="0"/>
              <w:rPr>
                <w:sz w:val="20"/>
                <w:szCs w:val="20"/>
                <w:color w:val="auto"/>
              </w:rPr>
            </w:pPr>
            <w:r>
              <w:rPr>
                <w:rFonts w:ascii="Arial" w:cs="Arial" w:eastAsia="Arial" w:hAnsi="Arial"/>
                <w:sz w:val="18"/>
                <w:szCs w:val="18"/>
                <w:b w:val="1"/>
                <w:bCs w:val="1"/>
                <w:color w:val="002453"/>
                <w:w w:val="99"/>
              </w:rPr>
              <w:t>authorized for issuance thereunder.</w:t>
            </w:r>
          </w:p>
        </w:tc>
        <w:tc>
          <w:tcPr>
            <w:tcW w:w="220" w:type="dxa"/>
            <w:vAlign w:val="bottom"/>
            <w:vMerge w:val="restart"/>
            <w:shd w:val="clear" w:color="auto" w:fill="00C08A"/>
          </w:tcPr>
          <w:p>
            <w:pPr>
              <w:ind w:left="16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42"/>
        </w:trPr>
        <w:tc>
          <w:tcPr>
            <w:tcW w:w="240" w:type="dxa"/>
            <w:vAlign w:val="bottom"/>
            <w:vMerge w:val="continue"/>
            <w:shd w:val="clear" w:color="auto" w:fill="00C08A"/>
          </w:tcPr>
          <w:p>
            <w:pPr>
              <w:spacing w:after="0"/>
              <w:rPr>
                <w:sz w:val="3"/>
                <w:szCs w:val="3"/>
                <w:color w:val="auto"/>
              </w:rPr>
            </w:pPr>
          </w:p>
        </w:tc>
        <w:tc>
          <w:tcPr>
            <w:tcW w:w="8720" w:type="dxa"/>
            <w:vAlign w:val="bottom"/>
            <w:shd w:val="clear" w:color="auto" w:fill="00C08A"/>
          </w:tcPr>
          <w:p>
            <w:pPr>
              <w:spacing w:after="0"/>
              <w:rPr>
                <w:sz w:val="3"/>
                <w:szCs w:val="3"/>
                <w:color w:val="auto"/>
              </w:rPr>
            </w:pPr>
          </w:p>
        </w:tc>
        <w:tc>
          <w:tcPr>
            <w:tcW w:w="220" w:type="dxa"/>
            <w:vAlign w:val="bottom"/>
            <w:vMerge w:val="continue"/>
            <w:shd w:val="clear" w:color="auto" w:fill="00C08A"/>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320"/>
        <w:spacing w:after="0" w:line="260" w:lineRule="auto"/>
        <w:rPr>
          <w:sz w:val="20"/>
          <w:szCs w:val="20"/>
          <w:color w:val="auto"/>
        </w:rPr>
      </w:pPr>
      <w:r>
        <w:rPr>
          <w:rFonts w:ascii="Arial" w:cs="Arial" w:eastAsia="Arial" w:hAnsi="Arial"/>
          <w:sz w:val="54"/>
          <w:szCs w:val="54"/>
          <w:color w:val="002453"/>
        </w:rPr>
        <w:t>Stock Ownership of Certain Beneficial Owners and Management</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tables below set forth information with respect to the beneficial ownership of our Class A common stock and</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by:</w:t>
      </w:r>
    </w:p>
    <w:p>
      <w:pPr>
        <w:spacing w:after="0" w:line="99" w:lineRule="exact"/>
        <w:rPr>
          <w:sz w:val="20"/>
          <w:szCs w:val="20"/>
          <w:color w:val="auto"/>
        </w:rPr>
      </w:pPr>
    </w:p>
    <w:p>
      <w:pPr>
        <w:ind w:left="1340" w:hanging="218"/>
        <w:spacing w:after="0"/>
        <w:tabs>
          <w:tab w:leader="none" w:pos="1340" w:val="left"/>
        </w:tabs>
        <w:numPr>
          <w:ilvl w:val="0"/>
          <w:numId w:val="43"/>
        </w:numPr>
        <w:rPr>
          <w:rFonts w:ascii="Arial" w:cs="Arial" w:eastAsia="Arial" w:hAnsi="Arial"/>
          <w:sz w:val="18"/>
          <w:szCs w:val="18"/>
          <w:color w:val="002453"/>
        </w:rPr>
      </w:pPr>
      <w:r>
        <w:rPr>
          <w:rFonts w:ascii="Arial" w:cs="Arial" w:eastAsia="Arial" w:hAnsi="Arial"/>
          <w:sz w:val="18"/>
          <w:szCs w:val="18"/>
          <w:color w:val="auto"/>
        </w:rPr>
        <w:t>Each of our directors and executive officers;</w:t>
      </w:r>
    </w:p>
    <w:p>
      <w:pPr>
        <w:spacing w:after="0" w:line="117" w:lineRule="exact"/>
        <w:rPr>
          <w:rFonts w:ascii="Arial" w:cs="Arial" w:eastAsia="Arial" w:hAnsi="Arial"/>
          <w:sz w:val="18"/>
          <w:szCs w:val="18"/>
          <w:color w:val="002453"/>
        </w:rPr>
      </w:pPr>
    </w:p>
    <w:p>
      <w:pPr>
        <w:ind w:left="1340" w:right="600" w:hanging="218"/>
        <w:spacing w:after="0" w:line="287" w:lineRule="auto"/>
        <w:tabs>
          <w:tab w:leader="none" w:pos="1340" w:val="left"/>
        </w:tabs>
        <w:numPr>
          <w:ilvl w:val="0"/>
          <w:numId w:val="43"/>
        </w:numPr>
        <w:rPr>
          <w:rFonts w:ascii="Arial" w:cs="Arial" w:eastAsia="Arial" w:hAnsi="Arial"/>
          <w:sz w:val="18"/>
          <w:szCs w:val="18"/>
          <w:color w:val="002453"/>
        </w:rPr>
      </w:pPr>
      <w:r>
        <w:rPr>
          <w:rFonts w:ascii="Arial" w:cs="Arial" w:eastAsia="Arial" w:hAnsi="Arial"/>
          <w:sz w:val="18"/>
          <w:szCs w:val="18"/>
          <w:color w:val="auto"/>
        </w:rPr>
        <w:t>Each person who is known to be the beneficial owner of more than 5% of the outstanding shares of our Class A common stock and Class B common stock; and</w:t>
      </w:r>
    </w:p>
    <w:p>
      <w:pPr>
        <w:spacing w:after="0" w:line="44" w:lineRule="exact"/>
        <w:rPr>
          <w:rFonts w:ascii="Arial" w:cs="Arial" w:eastAsia="Arial" w:hAnsi="Arial"/>
          <w:sz w:val="18"/>
          <w:szCs w:val="18"/>
          <w:color w:val="002453"/>
        </w:rPr>
      </w:pPr>
    </w:p>
    <w:p>
      <w:pPr>
        <w:ind w:left="1340" w:hanging="218"/>
        <w:spacing w:after="0"/>
        <w:tabs>
          <w:tab w:leader="none" w:pos="1340" w:val="left"/>
        </w:tabs>
        <w:numPr>
          <w:ilvl w:val="0"/>
          <w:numId w:val="43"/>
        </w:numPr>
        <w:rPr>
          <w:rFonts w:ascii="Arial" w:cs="Arial" w:eastAsia="Arial" w:hAnsi="Arial"/>
          <w:sz w:val="18"/>
          <w:szCs w:val="18"/>
          <w:color w:val="002453"/>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760" w:right="100"/>
        <w:spacing w:after="0" w:line="291" w:lineRule="auto"/>
        <w:rPr>
          <w:sz w:val="20"/>
          <w:szCs w:val="20"/>
          <w:color w:val="auto"/>
        </w:rPr>
      </w:pPr>
      <w:r>
        <w:rPr>
          <w:rFonts w:ascii="Arial" w:cs="Arial" w:eastAsia="Arial" w:hAnsi="Arial"/>
          <w:sz w:val="17"/>
          <w:szCs w:val="17"/>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Prior to our initial public offering, our business was conducted through Virtu Financial and its subsidiaries. In a series</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transactions that occurred in connection with our initial public offering, (i) we became the sole managing member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Virtu Financial and acquired non-voting common interest units of Virtu Financial Units, (ii) certain direct or indirect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equity holders of Virtu Financial acquired shares of our Class A common stock and (iii) certain direct or indirect equity</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holders of Virtu Financial had their interests reclassified into Virtu Financial Units and acquired shares of our Class 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common stock or, in the case of the Founder Member only, shares of our Class D common stock (collectively,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Virtu Members</w:t>
      </w:r>
      <w:r>
        <w:rPr>
          <w:rFonts w:ascii="Arial" w:cs="Arial" w:eastAsia="Arial" w:hAnsi="Arial"/>
          <w:sz w:val="18"/>
          <w:szCs w:val="18"/>
          <w:color w:val="auto"/>
        </w:rPr>
        <w:t>”). Subject to certain restrictions, each Virtu Member, other than the Founder Member, has the right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 any time to exchange any vested Virtu Financial Units (together with a corresponding number of shares of Class 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common stock) for shares of Class A common stock on a one for one basis. Subject to certain restrictions,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Founder Member has the right at any time to exchange any Virtu Financial Units (together with a corresponding</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number of shares of Class D common stock) for shares of Class B common stock on a one for one basis. Shares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may be converted into shares of Class A common stock on a one for one basis.</w:t>
      </w:r>
    </w:p>
    <w:p>
      <w:pPr>
        <w:spacing w:after="0" w:line="99" w:lineRule="exact"/>
        <w:rPr>
          <w:sz w:val="20"/>
          <w:szCs w:val="20"/>
          <w:color w:val="auto"/>
        </w:rPr>
      </w:pPr>
    </w:p>
    <w:p>
      <w:pPr>
        <w:ind w:left="760" w:right="300"/>
        <w:spacing w:after="0" w:line="268" w:lineRule="auto"/>
        <w:rPr>
          <w:sz w:val="20"/>
          <w:szCs w:val="20"/>
          <w:color w:val="auto"/>
        </w:rPr>
      </w:pPr>
      <w:r>
        <w:rPr>
          <w:rFonts w:ascii="Arial" w:cs="Arial" w:eastAsia="Arial" w:hAnsi="Arial"/>
          <w:sz w:val="17"/>
          <w:szCs w:val="17"/>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w:t>
      </w:r>
    </w:p>
    <w:p>
      <w:pPr>
        <w:spacing w:after="0" w:line="4" w:lineRule="exact"/>
        <w:rPr>
          <w:sz w:val="20"/>
          <w:szCs w:val="20"/>
          <w:color w:val="auto"/>
        </w:rPr>
      </w:pPr>
    </w:p>
    <w:p>
      <w:pPr>
        <w:jc w:val="both"/>
        <w:ind w:left="760" w:right="120"/>
        <w:spacing w:after="0" w:line="253" w:lineRule="auto"/>
        <w:rPr>
          <w:sz w:val="20"/>
          <w:szCs w:val="20"/>
          <w:color w:val="auto"/>
        </w:rPr>
      </w:pPr>
      <w:r>
        <w:rPr>
          <w:rFonts w:ascii="Arial" w:cs="Arial" w:eastAsia="Arial" w:hAnsi="Arial"/>
          <w:sz w:val="18"/>
          <w:szCs w:val="18"/>
          <w:color w:val="auto"/>
        </w:rPr>
        <w:t>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75" w:lineRule="exact"/>
        <w:rPr>
          <w:sz w:val="20"/>
          <w:szCs w:val="20"/>
          <w:color w:val="auto"/>
        </w:rPr>
      </w:pPr>
    </w:p>
    <w:p>
      <w:pPr>
        <w:ind w:left="760" w:right="80"/>
        <w:spacing w:after="0" w:line="262" w:lineRule="auto"/>
        <w:rPr>
          <w:sz w:val="20"/>
          <w:szCs w:val="20"/>
          <w:color w:val="auto"/>
        </w:rPr>
      </w:pPr>
      <w:r>
        <w:rPr>
          <w:rFonts w:ascii="Arial" w:cs="Arial" w:eastAsia="Arial" w:hAnsi="Arial"/>
          <w:sz w:val="18"/>
          <w:szCs w:val="18"/>
          <w:color w:val="auto"/>
        </w:rPr>
        <w:t>Except as set forth in the footnotes below, the percentages included in the following table are based on 86,142,860 shares of Class A common stock outstanding, 8,194,847 Virtu Financial Units and related shares of Class C common stock and 60,091,740 Virtu Financial Units and related shares of Class D common stock outstanding as of April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1118235</wp:posOffset>
            </wp:positionV>
            <wp:extent cx="754380" cy="2400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25" w:lineRule="exact"/>
        <w:rPr>
          <w:sz w:val="20"/>
          <w:szCs w:val="20"/>
          <w:color w:val="auto"/>
        </w:rPr>
      </w:pPr>
    </w:p>
    <w:p>
      <w:pPr>
        <w:ind w:left="760" w:right="580"/>
        <w:spacing w:after="0" w:line="271" w:lineRule="auto"/>
        <w:rPr>
          <w:sz w:val="20"/>
          <w:szCs w:val="20"/>
          <w:color w:val="auto"/>
        </w:rPr>
      </w:pPr>
      <w:r>
        <w:rPr>
          <w:rFonts w:ascii="Arial" w:cs="Arial" w:eastAsia="Arial" w:hAnsi="Arial"/>
          <w:sz w:val="18"/>
          <w:szCs w:val="18"/>
          <w:color w:val="auto"/>
        </w:rPr>
        <w:t>Unless otherwise indicated, the address for each beneficial owner listed below is: c/o Virtu Financial, Inc., 1633 Broadway, New York, New York 10019.</w:t>
      </w:r>
    </w:p>
    <w:p>
      <w:pPr>
        <w:spacing w:after="0" w:line="7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002453"/>
              </w:rPr>
              <w:t>Class A Common Stock</w:t>
            </w:r>
          </w:p>
        </w:tc>
        <w:tc>
          <w:tcPr>
            <w:tcW w:w="360" w:type="dxa"/>
            <w:vAlign w:val="bottom"/>
          </w:tcPr>
          <w:p>
            <w:pPr>
              <w:spacing w:after="0"/>
              <w:rPr>
                <w:sz w:val="14"/>
                <w:szCs w:val="14"/>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002453"/>
              </w:rPr>
              <w:t>Class B Common Stock</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002453"/>
              </w:rPr>
              <w:t>Combined</w:t>
            </w:r>
          </w:p>
        </w:tc>
        <w:tc>
          <w:tcPr>
            <w:tcW w:w="60" w:type="dxa"/>
            <w:vAlign w:val="bottom"/>
          </w:tcPr>
          <w:p>
            <w:pPr>
              <w:spacing w:after="0"/>
              <w:rPr>
                <w:sz w:val="14"/>
                <w:szCs w:val="14"/>
                <w:color w:val="auto"/>
              </w:rPr>
            </w:pPr>
          </w:p>
        </w:tc>
      </w:tr>
      <w:tr>
        <w:trPr>
          <w:trHeight w:val="148"/>
        </w:trPr>
        <w:tc>
          <w:tcPr>
            <w:tcW w:w="4140" w:type="dxa"/>
            <w:vAlign w:val="bottom"/>
          </w:tcPr>
          <w:p>
            <w:pPr>
              <w:spacing w:after="0"/>
              <w:rPr>
                <w:sz w:val="12"/>
                <w:szCs w:val="12"/>
                <w:color w:val="auto"/>
              </w:rPr>
            </w:pPr>
          </w:p>
        </w:tc>
        <w:tc>
          <w:tcPr>
            <w:tcW w:w="1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002453"/>
              </w:rPr>
              <w:t>(on a fully exchanged and</w:t>
            </w:r>
          </w:p>
        </w:tc>
        <w:tc>
          <w:tcPr>
            <w:tcW w:w="360" w:type="dxa"/>
            <w:vAlign w:val="bottom"/>
          </w:tcPr>
          <w:p>
            <w:pPr>
              <w:spacing w:after="0"/>
              <w:rPr>
                <w:sz w:val="12"/>
                <w:szCs w:val="12"/>
                <w:color w:val="auto"/>
              </w:rPr>
            </w:pPr>
          </w:p>
        </w:tc>
        <w:tc>
          <w:tcPr>
            <w:tcW w:w="1940" w:type="dxa"/>
            <w:vAlign w:val="bottom"/>
            <w:gridSpan w:val="3"/>
          </w:tcPr>
          <w:p>
            <w:pPr>
              <w:jc w:val="right"/>
              <w:ind w:right="30"/>
              <w:spacing w:after="0" w:line="149" w:lineRule="exact"/>
              <w:rPr>
                <w:sz w:val="20"/>
                <w:szCs w:val="20"/>
                <w:color w:val="auto"/>
              </w:rPr>
            </w:pPr>
            <w:r>
              <w:rPr>
                <w:rFonts w:ascii="Arial" w:cs="Arial" w:eastAsia="Arial" w:hAnsi="Arial"/>
                <w:sz w:val="14"/>
                <w:szCs w:val="14"/>
                <w:b w:val="1"/>
                <w:bCs w:val="1"/>
                <w:color w:val="002453"/>
              </w:rPr>
              <w:t>(on a fully exchanged and</w:t>
            </w:r>
          </w:p>
        </w:tc>
        <w:tc>
          <w:tcPr>
            <w:tcW w:w="180" w:type="dxa"/>
            <w:vAlign w:val="bottom"/>
          </w:tcPr>
          <w:p>
            <w:pPr>
              <w:spacing w:after="0"/>
              <w:rPr>
                <w:sz w:val="12"/>
                <w:szCs w:val="12"/>
                <w:color w:val="auto"/>
              </w:rPr>
            </w:pPr>
          </w:p>
        </w:tc>
        <w:tc>
          <w:tcPr>
            <w:tcW w:w="680" w:type="dxa"/>
            <w:vAlign w:val="bottom"/>
            <w:gridSpan w:val="2"/>
          </w:tcPr>
          <w:p>
            <w:pPr>
              <w:jc w:val="right"/>
              <w:ind w:right="110"/>
              <w:spacing w:after="0" w:line="149" w:lineRule="exact"/>
              <w:rPr>
                <w:sz w:val="20"/>
                <w:szCs w:val="20"/>
                <w:color w:val="auto"/>
              </w:rPr>
            </w:pPr>
            <w:r>
              <w:rPr>
                <w:rFonts w:ascii="Arial" w:cs="Arial" w:eastAsia="Arial" w:hAnsi="Arial"/>
                <w:sz w:val="14"/>
                <w:szCs w:val="14"/>
                <w:b w:val="1"/>
                <w:bCs w:val="1"/>
                <w:color w:val="002453"/>
              </w:rPr>
              <w:t>Voting</w:t>
            </w:r>
          </w:p>
        </w:tc>
        <w:tc>
          <w:tcPr>
            <w:tcW w:w="60" w:type="dxa"/>
            <w:vAlign w:val="bottom"/>
          </w:tcPr>
          <w:p>
            <w:pPr>
              <w:spacing w:after="0"/>
              <w:rPr>
                <w:sz w:val="12"/>
                <w:szCs w:val="12"/>
                <w:color w:val="auto"/>
              </w:rPr>
            </w:pPr>
          </w:p>
        </w:tc>
      </w:tr>
      <w:tr>
        <w:trPr>
          <w:trHeight w:val="185"/>
        </w:trPr>
        <w:tc>
          <w:tcPr>
            <w:tcW w:w="41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480" w:type="dxa"/>
            <w:vAlign w:val="bottom"/>
            <w:tcBorders>
              <w:bottom w:val="single" w:sz="8" w:color="00C08A"/>
            </w:tcBorders>
            <w:gridSpan w:val="2"/>
          </w:tcPr>
          <w:p>
            <w:pPr>
              <w:jc w:val="center"/>
              <w:ind w:left="134"/>
              <w:spacing w:after="0"/>
              <w:rPr>
                <w:sz w:val="20"/>
                <w:szCs w:val="20"/>
                <w:color w:val="auto"/>
              </w:rPr>
            </w:pPr>
            <w:r>
              <w:rPr>
                <w:rFonts w:ascii="Arial" w:cs="Arial" w:eastAsia="Arial" w:hAnsi="Arial"/>
                <w:sz w:val="14"/>
                <w:szCs w:val="14"/>
                <w:b w:val="1"/>
                <w:bCs w:val="1"/>
                <w:color w:val="002453"/>
              </w:rPr>
              <w:t>converted basis)</w:t>
            </w:r>
          </w:p>
        </w:tc>
        <w:tc>
          <w:tcPr>
            <w:tcW w:w="300" w:type="dxa"/>
            <w:vAlign w:val="bottom"/>
            <w:tcBorders>
              <w:bottom w:val="single" w:sz="8" w:color="00C08A"/>
            </w:tcBorders>
          </w:tcPr>
          <w:p>
            <w:pPr>
              <w:spacing w:after="0"/>
              <w:rPr>
                <w:sz w:val="16"/>
                <w:szCs w:val="16"/>
                <w:color w:val="auto"/>
              </w:rPr>
            </w:pPr>
          </w:p>
        </w:tc>
        <w:tc>
          <w:tcPr>
            <w:tcW w:w="3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 ​</w:t>
            </w:r>
          </w:p>
        </w:tc>
        <w:tc>
          <w:tcPr>
            <w:tcW w:w="1940" w:type="dxa"/>
            <w:vAlign w:val="bottom"/>
            <w:tcBorders>
              <w:bottom w:val="single" w:sz="8" w:color="00C08A"/>
            </w:tcBorders>
            <w:gridSpan w:val="3"/>
          </w:tcPr>
          <w:p>
            <w:pPr>
              <w:jc w:val="right"/>
              <w:ind w:right="250"/>
              <w:spacing w:after="0"/>
              <w:rPr>
                <w:sz w:val="20"/>
                <w:szCs w:val="20"/>
                <w:color w:val="auto"/>
              </w:rPr>
            </w:pPr>
            <w:r>
              <w:rPr>
                <w:rFonts w:ascii="Arial" w:cs="Arial" w:eastAsia="Arial" w:hAnsi="Arial"/>
                <w:sz w:val="14"/>
                <w:szCs w:val="14"/>
                <w:b w:val="1"/>
                <w:bCs w:val="1"/>
                <w:color w:val="002453"/>
              </w:rPr>
              <w:t>converted basis)(1)</w:t>
            </w:r>
          </w:p>
        </w:tc>
        <w:tc>
          <w:tcPr>
            <w:tcW w:w="860" w:type="dxa"/>
            <w:vAlign w:val="bottom"/>
            <w:tcBorders>
              <w:bottom w:val="single" w:sz="8" w:color="00C08A"/>
            </w:tcBorders>
            <w:gridSpan w:val="3"/>
          </w:tcPr>
          <w:p>
            <w:pPr>
              <w:ind w:left="80"/>
              <w:spacing w:after="0"/>
              <w:rPr>
                <w:sz w:val="20"/>
                <w:szCs w:val="20"/>
                <w:color w:val="auto"/>
              </w:rPr>
            </w:pPr>
            <w:r>
              <w:rPr>
                <w:rFonts w:ascii="Arial" w:cs="Arial" w:eastAsia="Arial" w:hAnsi="Arial"/>
                <w:sz w:val="14"/>
                <w:szCs w:val="14"/>
                <w:b w:val="1"/>
                <w:bCs w:val="1"/>
                <w:color w:val="002453"/>
              </w:rPr>
              <w:t>​ Power(2)</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r>
      <w:tr>
        <w:trPr>
          <w:trHeight w:val="210"/>
        </w:trPr>
        <w:tc>
          <w:tcPr>
            <w:tcW w:w="41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Pr>
          <w:p>
            <w:pPr>
              <w:spacing w:after="0"/>
              <w:rPr>
                <w:sz w:val="20"/>
                <w:szCs w:val="20"/>
                <w:color w:val="auto"/>
              </w:rPr>
            </w:pPr>
            <w:r>
              <w:rPr>
                <w:rFonts w:ascii="Arial" w:cs="Arial" w:eastAsia="Arial" w:hAnsi="Arial"/>
                <w:sz w:val="14"/>
                <w:szCs w:val="14"/>
                <w:b w:val="1"/>
                <w:bCs w:val="1"/>
                <w:color w:val="002453"/>
              </w:rPr>
              <w:t>​</w:t>
            </w:r>
          </w:p>
        </w:tc>
        <w:tc>
          <w:tcPr>
            <w:tcW w:w="2140" w:type="dxa"/>
            <w:vAlign w:val="bottom"/>
            <w:gridSpan w:val="4"/>
          </w:tcPr>
          <w:p>
            <w:pPr>
              <w:ind w:left="80"/>
              <w:spacing w:after="0" w:line="210" w:lineRule="exact"/>
              <w:rPr>
                <w:sz w:val="20"/>
                <w:szCs w:val="20"/>
                <w:color w:val="auto"/>
              </w:rPr>
            </w:pPr>
            <w:r>
              <w:rPr>
                <w:rFonts w:ascii="Arial" w:cs="Arial" w:eastAsia="Arial" w:hAnsi="Arial"/>
                <w:sz w:val="13"/>
                <w:szCs w:val="13"/>
                <w:b w:val="1"/>
                <w:bCs w:val="1"/>
                <w:color w:val="002453"/>
              </w:rPr>
              <w:t xml:space="preserve">Number   </w:t>
            </w: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Percentage </w:t>
            </w:r>
            <w:r>
              <w:rPr>
                <w:rFonts w:ascii="Arial" w:cs="Arial" w:eastAsia="Arial" w:hAnsi="Arial"/>
                <w:sz w:val="24"/>
                <w:szCs w:val="24"/>
                <w:b w:val="1"/>
                <w:bCs w:val="1"/>
                <w:color w:val="002453"/>
                <w:vertAlign w:val="subscript"/>
              </w:rPr>
              <w:t>​ ​</w:t>
            </w:r>
          </w:p>
        </w:tc>
        <w:tc>
          <w:tcPr>
            <w:tcW w:w="1000" w:type="dxa"/>
            <w:vAlign w:val="bottom"/>
          </w:tcPr>
          <w:p>
            <w:pPr>
              <w:jc w:val="right"/>
              <w:spacing w:after="0" w:line="210" w:lineRule="exact"/>
              <w:rPr>
                <w:sz w:val="20"/>
                <w:szCs w:val="20"/>
                <w:color w:val="auto"/>
              </w:rPr>
            </w:pPr>
            <w:r>
              <w:rPr>
                <w:rFonts w:ascii="Arial" w:cs="Arial" w:eastAsia="Arial" w:hAnsi="Arial"/>
                <w:sz w:val="13"/>
                <w:szCs w:val="13"/>
                <w:b w:val="1"/>
                <w:bCs w:val="1"/>
                <w:color w:val="002453"/>
              </w:rPr>
              <w:t xml:space="preserve">Number   </w:t>
            </w:r>
            <w:r>
              <w:rPr>
                <w:rFonts w:ascii="Arial" w:cs="Arial" w:eastAsia="Arial" w:hAnsi="Arial"/>
                <w:sz w:val="24"/>
                <w:szCs w:val="24"/>
                <w:b w:val="1"/>
                <w:bCs w:val="1"/>
                <w:color w:val="002453"/>
                <w:vertAlign w:val="subscript"/>
              </w:rPr>
              <w:t>​​</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002453"/>
              </w:rPr>
              <w:t>Percentage</w:t>
            </w:r>
          </w:p>
        </w:tc>
        <w:tc>
          <w:tcPr>
            <w:tcW w:w="920" w:type="dxa"/>
            <w:vAlign w:val="bottom"/>
            <w:gridSpan w:val="4"/>
          </w:tcPr>
          <w:p>
            <w:pPr>
              <w:ind w:left="80"/>
              <w:spacing w:after="0" w:line="210" w:lineRule="exact"/>
              <w:rPr>
                <w:sz w:val="20"/>
                <w:szCs w:val="20"/>
                <w:color w:val="auto"/>
              </w:rPr>
            </w:pPr>
            <w:r>
              <w:rPr>
                <w:rFonts w:ascii="Arial" w:cs="Arial" w:eastAsia="Arial" w:hAnsi="Arial"/>
                <w:sz w:val="24"/>
                <w:szCs w:val="24"/>
                <w:b w:val="1"/>
                <w:bCs w:val="1"/>
                <w:color w:val="002453"/>
                <w:vertAlign w:val="subscript"/>
              </w:rPr>
              <w:t>​</w:t>
            </w:r>
            <w:r>
              <w:rPr>
                <w:rFonts w:ascii="Arial" w:cs="Arial" w:eastAsia="Arial" w:hAnsi="Arial"/>
                <w:sz w:val="13"/>
                <w:szCs w:val="13"/>
                <w:b w:val="1"/>
                <w:bCs w:val="1"/>
                <w:color w:val="002453"/>
              </w:rPr>
              <w:t>Percentage</w:t>
            </w:r>
            <w:r>
              <w:rPr>
                <w:rFonts w:ascii="Arial" w:cs="Arial" w:eastAsia="Arial" w:hAnsi="Arial"/>
                <w:sz w:val="24"/>
                <w:szCs w:val="24"/>
                <w:b w:val="1"/>
                <w:bCs w:val="1"/>
                <w:color w:val="002453"/>
                <w:vertAlign w:val="subscript"/>
              </w:rPr>
              <w:t>​</w:t>
            </w:r>
          </w:p>
        </w:tc>
      </w:tr>
      <w:tr>
        <w:trPr>
          <w:trHeight w:val="209"/>
        </w:trPr>
        <w:tc>
          <w:tcPr>
            <w:tcW w:w="414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top w:val="single" w:sz="8" w:color="00C08A"/>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4940" w:type="dxa"/>
            <w:vAlign w:val="bottom"/>
            <w:tcBorders>
              <w:top w:val="single" w:sz="8" w:color="00C08A"/>
              <w:bottom w:val="single" w:sz="8" w:color="00C08A"/>
            </w:tcBorders>
            <w:gridSpan w:val="10"/>
          </w:tcPr>
          <w:p>
            <w:pPr>
              <w:jc w:val="right"/>
              <w:ind w:right="110"/>
              <w:spacing w:after="0"/>
              <w:rPr>
                <w:sz w:val="20"/>
                <w:szCs w:val="20"/>
                <w:color w:val="auto"/>
              </w:rPr>
            </w:pPr>
            <w:r>
              <w:rPr>
                <w:rFonts w:ascii="Arial" w:cs="Arial" w:eastAsia="Arial" w:hAnsi="Arial"/>
                <w:sz w:val="14"/>
                <w:szCs w:val="14"/>
                <w:b w:val="1"/>
                <w:bCs w:val="1"/>
                <w:color w:val="002453"/>
              </w:rPr>
              <w:t>As of April 11, 2025 (unless otherwise stated in the footnotes below)</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Pr>
          <w:p>
            <w:pPr>
              <w:spacing w:after="0"/>
              <w:rPr>
                <w:sz w:val="20"/>
                <w:szCs w:val="20"/>
                <w:color w:val="auto"/>
              </w:rPr>
            </w:pPr>
            <w:r>
              <w:rPr>
                <w:rFonts w:ascii="Arial" w:cs="Arial" w:eastAsia="Arial" w:hAnsi="Arial"/>
                <w:sz w:val="18"/>
                <w:szCs w:val="18"/>
                <w:b w:val="1"/>
                <w:bCs w:val="1"/>
                <w:color w:val="auto"/>
              </w:rPr>
              <w:t>5% Equity holders</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TJMT Holdings LLC(3)</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​67,597,894​​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43.1%</w:t>
            </w:r>
          </w:p>
        </w:tc>
        <w:tc>
          <w:tcPr>
            <w:tcW w:w="136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top w:val="single" w:sz="8" w:color="00C08A"/>
              <w:bottom w:val="single" w:sz="8" w:color="00C08A"/>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87.1%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Virtu Employee Holdco LLC(4)</w:t>
            </w:r>
          </w:p>
        </w:tc>
        <w:tc>
          <w:tcPr>
            <w:tcW w:w="1240" w:type="dxa"/>
            <w:vAlign w:val="bottom"/>
            <w:gridSpan w:val="2"/>
          </w:tcPr>
          <w:p>
            <w:pPr>
              <w:spacing w:after="0"/>
              <w:rPr>
                <w:sz w:val="20"/>
                <w:szCs w:val="20"/>
                <w:color w:val="auto"/>
              </w:rPr>
            </w:pPr>
            <w:r>
              <w:rPr>
                <w:rFonts w:ascii="Arial" w:cs="Arial" w:eastAsia="Arial" w:hAnsi="Arial"/>
                <w:sz w:val="18"/>
                <w:szCs w:val="18"/>
                <w:color w:val="auto"/>
              </w:rPr>
              <w:t>​ 3,481,296​​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2.2%</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BlackRock, Inc.(5)</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​11,037,299​​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7.0%</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The Vanguard Group(6)</w:t>
            </w:r>
          </w:p>
        </w:tc>
        <w:tc>
          <w:tcPr>
            <w:tcW w:w="1240" w:type="dxa"/>
            <w:vAlign w:val="bottom"/>
            <w:gridSpan w:val="2"/>
          </w:tcPr>
          <w:p>
            <w:pPr>
              <w:spacing w:after="0"/>
              <w:rPr>
                <w:sz w:val="20"/>
                <w:szCs w:val="20"/>
                <w:color w:val="auto"/>
              </w:rPr>
            </w:pPr>
            <w:r>
              <w:rPr>
                <w:rFonts w:ascii="Arial" w:cs="Arial" w:eastAsia="Arial" w:hAnsi="Arial"/>
                <w:sz w:val="18"/>
                <w:szCs w:val="18"/>
                <w:color w:val="auto"/>
              </w:rPr>
              <w:t>​ 9,523,078​​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6.1%</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1.4%</w:t>
            </w:r>
            <w:r>
              <w:rPr>
                <w:rFonts w:ascii="Arial" w:cs="Arial" w:eastAsia="Arial" w:hAnsi="Arial"/>
                <w:sz w:val="18"/>
                <w:szCs w:val="18"/>
                <w:b w:val="1"/>
                <w:bCs w:val="1"/>
                <w:color w:val="auto"/>
              </w:rPr>
              <w:t xml:space="preserve"> ​</w:t>
            </w:r>
          </w:p>
        </w:tc>
      </w:tr>
      <w:tr>
        <w:trPr>
          <w:trHeight w:val="236"/>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FMR LLC(7)</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 6,235,568​​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4.0%</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Michael T. Viola(3)</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​67,597,894​​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43.1%</w:t>
            </w:r>
          </w:p>
        </w:tc>
        <w:tc>
          <w:tcPr>
            <w:tcW w:w="136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top w:val="single" w:sz="8" w:color="00C08A"/>
              <w:bottom w:val="single" w:sz="8" w:color="00C08A"/>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87.1%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Vincent Viola(3)</w:t>
            </w:r>
          </w:p>
        </w:tc>
        <w:tc>
          <w:tcPr>
            <w:tcW w:w="1240" w:type="dxa"/>
            <w:vAlign w:val="bottom"/>
            <w:gridSpan w:val="2"/>
          </w:tcPr>
          <w:p>
            <w:pPr>
              <w:spacing w:after="0"/>
              <w:rPr>
                <w:sz w:val="20"/>
                <w:szCs w:val="20"/>
                <w:color w:val="auto"/>
              </w:rPr>
            </w:pPr>
            <w:r>
              <w:rPr>
                <w:rFonts w:ascii="Arial" w:cs="Arial" w:eastAsia="Arial" w:hAnsi="Arial"/>
                <w:sz w:val="18"/>
                <w:szCs w:val="18"/>
                <w:color w:val="auto"/>
              </w:rPr>
              <w:t>​67,597,894​​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87.1%</w:t>
            </w:r>
            <w:r>
              <w:rPr>
                <w:rFonts w:ascii="Arial" w:cs="Arial" w:eastAsia="Arial" w:hAnsi="Arial"/>
                <w:sz w:val="18"/>
                <w:szCs w:val="18"/>
                <w:b w:val="1"/>
                <w:bCs w:val="1"/>
                <w:color w:val="auto"/>
              </w:rPr>
              <w:t xml:space="preserve"> ​</w:t>
            </w:r>
          </w:p>
        </w:tc>
      </w:tr>
      <w:tr>
        <w:trPr>
          <w:trHeight w:val="236"/>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Douglas A. Cifu(8)</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 5,278,800​​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3.4%</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Stephen Cavoli</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157,703​​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Brett Fairclough(9)</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101,679​​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Cindy Lee(9)</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18,137​​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Joseph Molluso(10)</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528,143​​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William F. Cruger, Jr.(9)</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64,091​​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Virginia Gambale</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24,122​​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Joseph J. Grano, Jr.</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32,141​​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Joanne M. Minieri</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31,312​​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John D. Nixon</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40,888​​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Christopher C. Quick</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51,123​​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David J. Urban</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34,966​​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4"/>
        </w:trPr>
        <w:tc>
          <w:tcPr>
            <w:tcW w:w="4140" w:type="dxa"/>
            <w:vAlign w:val="bottom"/>
            <w:tcBorders>
              <w:top w:val="single" w:sz="8" w:color="00C08A"/>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00" w:type="dxa"/>
            <w:vAlign w:val="bottom"/>
            <w:tcBorders>
              <w:top w:val="single" w:sz="8" w:color="00C08A"/>
            </w:tcBorders>
            <w:shd w:val="clear" w:color="auto" w:fill="CCEEFF"/>
          </w:tcPr>
          <w:p>
            <w:pPr>
              <w:spacing w:after="0"/>
              <w:rPr>
                <w:sz w:val="17"/>
                <w:szCs w:val="17"/>
                <w:color w:val="auto"/>
              </w:rPr>
            </w:pPr>
          </w:p>
        </w:tc>
        <w:tc>
          <w:tcPr>
            <w:tcW w:w="1140" w:type="dxa"/>
            <w:vAlign w:val="bottom"/>
            <w:tcBorders>
              <w:top w:val="single" w:sz="8" w:color="00C08A"/>
            </w:tcBorders>
            <w:shd w:val="clear" w:color="auto" w:fill="CCEEFF"/>
          </w:tcPr>
          <w:p>
            <w:pPr>
              <w:spacing w:after="0"/>
              <w:rPr>
                <w:sz w:val="17"/>
                <w:szCs w:val="17"/>
                <w:color w:val="auto"/>
              </w:rPr>
            </w:pPr>
          </w:p>
        </w:tc>
        <w:tc>
          <w:tcPr>
            <w:tcW w:w="340" w:type="dxa"/>
            <w:vAlign w:val="bottom"/>
            <w:tcBorders>
              <w:top w:val="single" w:sz="8" w:color="00C08A"/>
            </w:tcBorders>
            <w:shd w:val="clear" w:color="auto" w:fill="CCEEFF"/>
          </w:tcPr>
          <w:p>
            <w:pPr>
              <w:spacing w:after="0"/>
              <w:rPr>
                <w:sz w:val="17"/>
                <w:szCs w:val="17"/>
                <w:color w:val="auto"/>
              </w:rPr>
            </w:pPr>
          </w:p>
        </w:tc>
        <w:tc>
          <w:tcPr>
            <w:tcW w:w="300" w:type="dxa"/>
            <w:vAlign w:val="bottom"/>
            <w:tcBorders>
              <w:top w:val="single" w:sz="8" w:color="00C08A"/>
            </w:tcBorders>
            <w:shd w:val="clear" w:color="auto" w:fill="CCEEFF"/>
          </w:tcPr>
          <w:p>
            <w:pPr>
              <w:spacing w:after="0"/>
              <w:rPr>
                <w:sz w:val="17"/>
                <w:szCs w:val="17"/>
                <w:color w:val="auto"/>
              </w:rPr>
            </w:pPr>
          </w:p>
        </w:tc>
        <w:tc>
          <w:tcPr>
            <w:tcW w:w="360" w:type="dxa"/>
            <w:vAlign w:val="bottom"/>
            <w:tcBorders>
              <w:top w:val="single" w:sz="8" w:color="00C08A"/>
            </w:tcBorders>
            <w:shd w:val="clear" w:color="auto" w:fill="CCEEFF"/>
          </w:tcPr>
          <w:p>
            <w:pPr>
              <w:spacing w:after="0"/>
              <w:rPr>
                <w:sz w:val="17"/>
                <w:szCs w:val="17"/>
                <w:color w:val="auto"/>
              </w:rPr>
            </w:pPr>
          </w:p>
        </w:tc>
        <w:tc>
          <w:tcPr>
            <w:tcW w:w="1000" w:type="dxa"/>
            <w:vAlign w:val="bottom"/>
            <w:tcBorders>
              <w:top w:val="single" w:sz="8" w:color="00C08A"/>
            </w:tcBorders>
            <w:shd w:val="clear" w:color="auto" w:fill="CCEEFF"/>
          </w:tcPr>
          <w:p>
            <w:pPr>
              <w:spacing w:after="0"/>
              <w:rPr>
                <w:sz w:val="17"/>
                <w:szCs w:val="17"/>
                <w:color w:val="auto"/>
              </w:rPr>
            </w:pPr>
          </w:p>
        </w:tc>
        <w:tc>
          <w:tcPr>
            <w:tcW w:w="400" w:type="dxa"/>
            <w:vAlign w:val="bottom"/>
            <w:tcBorders>
              <w:top w:val="single" w:sz="8" w:color="00C08A"/>
            </w:tcBorders>
            <w:shd w:val="clear" w:color="auto" w:fill="CCEEFF"/>
          </w:tcPr>
          <w:p>
            <w:pPr>
              <w:spacing w:after="0"/>
              <w:rPr>
                <w:sz w:val="17"/>
                <w:szCs w:val="17"/>
                <w:color w:val="auto"/>
              </w:rPr>
            </w:pPr>
          </w:p>
        </w:tc>
        <w:tc>
          <w:tcPr>
            <w:tcW w:w="540" w:type="dxa"/>
            <w:vAlign w:val="bottom"/>
            <w:tcBorders>
              <w:top w:val="single" w:sz="8" w:color="00C08A"/>
            </w:tcBorders>
            <w:shd w:val="clear" w:color="auto" w:fill="CCEEFF"/>
          </w:tcPr>
          <w:p>
            <w:pPr>
              <w:spacing w:after="0"/>
              <w:rPr>
                <w:sz w:val="17"/>
                <w:szCs w:val="17"/>
                <w:color w:val="auto"/>
              </w:rPr>
            </w:pPr>
          </w:p>
        </w:tc>
        <w:tc>
          <w:tcPr>
            <w:tcW w:w="180" w:type="dxa"/>
            <w:vAlign w:val="bottom"/>
            <w:tcBorders>
              <w:top w:val="single" w:sz="8" w:color="00C08A"/>
            </w:tcBorders>
            <w:shd w:val="clear" w:color="auto" w:fill="CCEEFF"/>
          </w:tcPr>
          <w:p>
            <w:pPr>
              <w:spacing w:after="0"/>
              <w:rPr>
                <w:sz w:val="17"/>
                <w:szCs w:val="17"/>
                <w:color w:val="auto"/>
              </w:rPr>
            </w:pPr>
          </w:p>
        </w:tc>
        <w:tc>
          <w:tcPr>
            <w:tcW w:w="280" w:type="dxa"/>
            <w:vAlign w:val="bottom"/>
            <w:tcBorders>
              <w:top w:val="single" w:sz="8" w:color="00C08A"/>
            </w:tcBorders>
            <w:shd w:val="clear" w:color="auto" w:fill="CCEEFF"/>
          </w:tcPr>
          <w:p>
            <w:pPr>
              <w:spacing w:after="0"/>
              <w:rPr>
                <w:sz w:val="17"/>
                <w:szCs w:val="17"/>
                <w:color w:val="auto"/>
              </w:rPr>
            </w:pPr>
          </w:p>
        </w:tc>
        <w:tc>
          <w:tcPr>
            <w:tcW w:w="400" w:type="dxa"/>
            <w:vAlign w:val="bottom"/>
            <w:tcBorders>
              <w:top w:val="single" w:sz="8" w:color="00C08A"/>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62"/>
        </w:trPr>
        <w:tc>
          <w:tcPr>
            <w:tcW w:w="4140" w:type="dxa"/>
            <w:vAlign w:val="bottom"/>
            <w:tcBorders>
              <w:bottom w:val="single" w:sz="8" w:color="00C08A"/>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(15 persons)</w:t>
            </w:r>
          </w:p>
        </w:tc>
        <w:tc>
          <w:tcPr>
            <w:tcW w:w="1240" w:type="dxa"/>
            <w:vAlign w:val="bottom"/>
            <w:tcBorders>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​74,007,358​​ ​</w:t>
            </w:r>
          </w:p>
        </w:tc>
        <w:tc>
          <w:tcPr>
            <w:tcW w:w="640" w:type="dxa"/>
            <w:vAlign w:val="bottom"/>
            <w:tcBorders>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47.2%</w:t>
            </w:r>
          </w:p>
        </w:tc>
        <w:tc>
          <w:tcPr>
            <w:tcW w:w="136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bottom w:val="single" w:sz="8" w:color="00C08A"/>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C08A"/>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88.0%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85" w:lineRule="exact"/>
        <w:rPr>
          <w:sz w:val="20"/>
          <w:szCs w:val="20"/>
          <w:color w:val="auto"/>
        </w:rPr>
      </w:pPr>
    </w:p>
    <w:p>
      <w:pPr>
        <w:ind w:left="1080" w:hanging="318"/>
        <w:spacing w:after="0"/>
        <w:tabs>
          <w:tab w:leader="none" w:pos="10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1080" w:right="60" w:hanging="318"/>
        <w:spacing w:after="0" w:line="293" w:lineRule="auto"/>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(i) 60,091,740 shares of Class A common stock issuable to the Founder Member at any time upon (a) the exchange of the 60,091,740 Virtu Financial Units and an equal number of shares of Class D common stock held by the Founder Member for shares of Class B common stock; and (b) the conversion of such shares of Class B common stock into shares of Class A common stock.</w:t>
      </w:r>
    </w:p>
    <w:p>
      <w:pPr>
        <w:spacing w:after="0" w:line="58" w:lineRule="exact"/>
        <w:rPr>
          <w:rFonts w:ascii="Arial" w:cs="Arial" w:eastAsia="Arial" w:hAnsi="Arial"/>
          <w:sz w:val="14"/>
          <w:szCs w:val="14"/>
          <w:color w:val="auto"/>
        </w:rPr>
      </w:pPr>
    </w:p>
    <w:p>
      <w:pPr>
        <w:ind w:left="1080" w:right="220" w:hanging="318"/>
        <w:spacing w:after="0" w:line="278" w:lineRule="auto"/>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common stock and Class B common stock.</w:t>
      </w:r>
    </w:p>
    <w:p>
      <w:pPr>
        <w:spacing w:after="0" w:line="55" w:lineRule="exact"/>
        <w:rPr>
          <w:rFonts w:ascii="Arial" w:cs="Arial" w:eastAsia="Arial" w:hAnsi="Arial"/>
          <w:sz w:val="14"/>
          <w:szCs w:val="14"/>
          <w:color w:val="auto"/>
        </w:rPr>
      </w:pPr>
    </w:p>
    <w:p>
      <w:pPr>
        <w:ind w:left="1080" w:hanging="318"/>
        <w:spacing w:after="0"/>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Founder Member is owned by trusts for the benefit of family members of Vincent Viola and Teresa Viola, Vincent Viola’s wife. Teresa</w:t>
      </w:r>
    </w:p>
    <w:p>
      <w:pPr>
        <w:spacing w:after="0" w:line="29" w:lineRule="exact"/>
        <w:rPr>
          <w:sz w:val="20"/>
          <w:szCs w:val="20"/>
          <w:color w:val="auto"/>
        </w:rPr>
      </w:pPr>
    </w:p>
    <w:p>
      <w:pPr>
        <w:ind w:left="1080" w:right="180"/>
        <w:spacing w:after="0" w:line="271" w:lineRule="auto"/>
        <w:rPr>
          <w:sz w:val="20"/>
          <w:szCs w:val="20"/>
          <w:color w:val="auto"/>
        </w:rPr>
      </w:pPr>
      <w:r>
        <w:rPr>
          <w:rFonts w:ascii="Arial" w:cs="Arial" w:eastAsia="Arial" w:hAnsi="Arial"/>
          <w:sz w:val="14"/>
          <w:szCs w:val="14"/>
          <w:color w:val="auto"/>
        </w:rPr>
        <w:t>Viola and Michael T. Viola, Vincent Viola’s son and one of our directors, share dispositive control and voting control over the shares held by the Founder Member. As a result of these relationships, Teresa Viola, Michael T. Viola and Vincent Viola may be deemed to beneficially own</w:t>
      </w:r>
    </w:p>
    <w:p>
      <w:pPr>
        <w:ind w:left="1080" w:right="120"/>
        <w:spacing w:after="0" w:line="272" w:lineRule="auto"/>
        <w:rPr>
          <w:sz w:val="20"/>
          <w:szCs w:val="20"/>
          <w:color w:val="auto"/>
        </w:rPr>
      </w:pPr>
      <w:r>
        <w:rPr>
          <w:rFonts w:ascii="Arial" w:cs="Arial" w:eastAsia="Arial" w:hAnsi="Arial"/>
          <w:sz w:val="14"/>
          <w:szCs w:val="14"/>
          <w:color w:val="auto"/>
        </w:rPr>
        <w:t>(i) 60,091,740 shares of Class A common stock issuable to the Founder Member upon the exchange of Virtu Financial Units and an equal number of shares of Class D common stock held by the Founder Member, (ii) 216,680 shares of Class A common stock issuable to the Founder Member upon the exchange of Virtu Financial Units and an equal number of shares of Class C common stock held by the Founder Member, (iii) 3,000,000 shares of Class A common stock held directly by the Founder, (iv) 3,481,296 shares of Class A common stock issuable to Virtu Employee Holdco upon the exchange of Virtu Financial Units and an equal number of shares of Class C common stock held by Virtu Employee Holdco, (v) 114,428 shares of Class A common stock held directly by Michael T. Viola, and (vi) 693,750 shares of Class A common stock issued to Mr. Vincent Viola upon the exercise of stock options on April 11, 2025.</w:t>
      </w:r>
    </w:p>
    <w:p>
      <w:pPr>
        <w:spacing w:after="0" w:line="72" w:lineRule="exact"/>
        <w:rPr>
          <w:sz w:val="20"/>
          <w:szCs w:val="20"/>
          <w:color w:val="auto"/>
        </w:rPr>
      </w:pPr>
    </w:p>
    <w:p>
      <w:pPr>
        <w:ind w:left="1080" w:right="500" w:hanging="318"/>
        <w:spacing w:after="0" w:line="325" w:lineRule="auto"/>
        <w:tabs>
          <w:tab w:leader="none" w:pos="10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 vehicle that holds Virtu Financial Units on behalf of certain directors and key employees, and exercises dispositive control and voting control over the 3,481,296 shares of Class A common stock issuable upon the</w:t>
      </w:r>
    </w:p>
    <w:p>
      <w:pPr>
        <w:spacing w:after="0" w:line="22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35" w:lineRule="exact"/>
        <w:rPr>
          <w:sz w:val="20"/>
          <w:szCs w:val="20"/>
          <w:color w:val="auto"/>
        </w:rPr>
      </w:pPr>
    </w:p>
    <w:p>
      <w:pPr>
        <w:ind w:left="1080" w:right="140"/>
        <w:spacing w:after="0" w:line="282" w:lineRule="auto"/>
        <w:rPr>
          <w:sz w:val="20"/>
          <w:szCs w:val="20"/>
          <w:color w:val="auto"/>
        </w:rPr>
      </w:pPr>
      <w:r>
        <w:rPr>
          <w:rFonts w:ascii="Arial" w:cs="Arial" w:eastAsia="Arial" w:hAnsi="Arial"/>
          <w:sz w:val="14"/>
          <w:szCs w:val="14"/>
          <w:color w:val="auto"/>
        </w:rPr>
        <w:t>exchange of Virtu Financial Units and corresponding shares of Class C common stock held by Virtu Employee Holdco (including both vested and unvested Virtu Financial Units and corresponding shares of Class C common stock), which represents 2.2% of the shares of Class A common stock on a fully exchanged and converted basis as of April 11, 2025. Mr. Viola disclaims beneficial ownership in such shares except to the extent of his pecuniary interest therein.</w:t>
      </w:r>
    </w:p>
    <w:p>
      <w:pPr>
        <w:spacing w:after="0" w:line="67" w:lineRule="exact"/>
        <w:rPr>
          <w:sz w:val="20"/>
          <w:szCs w:val="20"/>
          <w:color w:val="auto"/>
        </w:rPr>
      </w:pPr>
    </w:p>
    <w:p>
      <w:pPr>
        <w:ind w:left="1080" w:hanging="318"/>
        <w:spacing w:after="0"/>
        <w:tabs>
          <w:tab w:leader="none" w:pos="10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upon statements in the Schedule 13G filed by BlackRock, Inc. (“</w:t>
      </w:r>
      <w:r>
        <w:rPr>
          <w:rFonts w:ascii="Arial" w:cs="Arial" w:eastAsia="Arial" w:hAnsi="Arial"/>
          <w:sz w:val="14"/>
          <w:szCs w:val="14"/>
          <w:b w:val="1"/>
          <w:bCs w:val="1"/>
          <w:color w:val="auto"/>
        </w:rPr>
        <w:t>BlackRock</w:t>
      </w:r>
      <w:r>
        <w:rPr>
          <w:rFonts w:ascii="Arial" w:cs="Arial" w:eastAsia="Arial" w:hAnsi="Arial"/>
          <w:sz w:val="14"/>
          <w:szCs w:val="14"/>
          <w:color w:val="auto"/>
        </w:rPr>
        <w:t>”) on July 8, 2024. BlackRock has sole voting</w:t>
      </w:r>
    </w:p>
    <w:p>
      <w:pPr>
        <w:spacing w:after="0" w:line="35" w:lineRule="exact"/>
        <w:rPr>
          <w:rFonts w:ascii="Arial" w:cs="Arial" w:eastAsia="Arial" w:hAnsi="Arial"/>
          <w:sz w:val="14"/>
          <w:szCs w:val="14"/>
          <w:color w:val="auto"/>
        </w:rPr>
      </w:pPr>
    </w:p>
    <w:p>
      <w:pPr>
        <w:ind w:left="1080" w:right="80"/>
        <w:spacing w:after="0" w:line="278" w:lineRule="auto"/>
        <w:rPr>
          <w:rFonts w:ascii="Arial" w:cs="Arial" w:eastAsia="Arial" w:hAnsi="Arial"/>
          <w:sz w:val="14"/>
          <w:szCs w:val="14"/>
          <w:color w:val="auto"/>
        </w:rPr>
      </w:pPr>
      <w:r>
        <w:rPr>
          <w:rFonts w:ascii="Arial" w:cs="Arial" w:eastAsia="Arial" w:hAnsi="Arial"/>
          <w:sz w:val="14"/>
          <w:szCs w:val="14"/>
          <w:color w:val="auto"/>
        </w:rPr>
        <w:t>and dispositive power over 11,037,299 shares of Class A common stock. The aggregate amount of Class A common stock beneficially owned by BlackRock represents 7.0% of the shares of Class A common stock on a fully exchanged and converted basis as of April 11, 2025. The address of BlackRock is 50 Hudson Yards, New York, NY 10001.</w:t>
      </w:r>
    </w:p>
    <w:p>
      <w:pPr>
        <w:spacing w:after="0" w:line="81" w:lineRule="exact"/>
        <w:rPr>
          <w:rFonts w:ascii="Arial" w:cs="Arial" w:eastAsia="Arial" w:hAnsi="Arial"/>
          <w:sz w:val="14"/>
          <w:szCs w:val="14"/>
          <w:color w:val="auto"/>
        </w:rPr>
      </w:pPr>
    </w:p>
    <w:p>
      <w:pPr>
        <w:ind w:left="1080" w:right="180" w:hanging="318"/>
        <w:spacing w:after="0" w:line="268" w:lineRule="auto"/>
        <w:tabs>
          <w:tab w:leader="none" w:pos="10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The Vanguard Group (“</w:t>
      </w:r>
      <w:r>
        <w:rPr>
          <w:rFonts w:ascii="Arial" w:cs="Arial" w:eastAsia="Arial" w:hAnsi="Arial"/>
          <w:sz w:val="14"/>
          <w:szCs w:val="14"/>
          <w:b w:val="1"/>
          <w:bCs w:val="1"/>
          <w:color w:val="auto"/>
        </w:rPr>
        <w:t>Vanguard</w:t>
      </w:r>
      <w:r>
        <w:rPr>
          <w:rFonts w:ascii="Arial" w:cs="Arial" w:eastAsia="Arial" w:hAnsi="Arial"/>
          <w:sz w:val="14"/>
          <w:szCs w:val="14"/>
          <w:color w:val="auto"/>
        </w:rPr>
        <w:t>”) on February 13, 2024. Vanguard has (i) shared voting power over 29,971 shares of Class A common stock; (ii) sole dispositive power over 9,397,581 shares of Class A common stock; and (iii) shared dispositive power over 125,497 shares of Class A common stock. The aggregate amount of Class A common stock beneficially</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owned by Vanguard represents 6.1% of the shares of Class A common stock on a fully exchanged and converted basis as of April 11, 2025.</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address of Vanguard is 100 Vanguard Blvd., Malvern, PA 19355.</w:t>
      </w:r>
    </w:p>
    <w:p>
      <w:pPr>
        <w:spacing w:after="0" w:line="109" w:lineRule="exact"/>
        <w:rPr>
          <w:sz w:val="20"/>
          <w:szCs w:val="20"/>
          <w:color w:val="auto"/>
        </w:rPr>
      </w:pPr>
    </w:p>
    <w:p>
      <w:pPr>
        <w:ind w:left="1080" w:right="180" w:hanging="318"/>
        <w:spacing w:after="0" w:line="282" w:lineRule="auto"/>
        <w:tabs>
          <w:tab w:leader="none" w:pos="10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upon statements in the Schedule 13G filed by FMR LLC (“</w:t>
      </w:r>
      <w:r>
        <w:rPr>
          <w:rFonts w:ascii="Arial" w:cs="Arial" w:eastAsia="Arial" w:hAnsi="Arial"/>
          <w:sz w:val="14"/>
          <w:szCs w:val="14"/>
          <w:b w:val="1"/>
          <w:bCs w:val="1"/>
          <w:color w:val="auto"/>
        </w:rPr>
        <w:t>FMR</w:t>
      </w:r>
      <w:r>
        <w:rPr>
          <w:rFonts w:ascii="Arial" w:cs="Arial" w:eastAsia="Arial" w:hAnsi="Arial"/>
          <w:sz w:val="14"/>
          <w:szCs w:val="14"/>
          <w:color w:val="auto"/>
        </w:rPr>
        <w:t>”) on February 12, 2025. FMR has (i) shared voting power over 5,582,499 shares of Class A common stock and (ii) sole dispositive power over 6,235,568 shares of Class A common stock. The aggregate amount of Class A common stock beneficially owned by FMR represents 4.0% of the shares of Class A common stock on a fully exchanged and converted basis as of April 11, 2025. The address of FMR is 245 Summer Street, Boston, Massachusetts 02210.</w:t>
      </w:r>
    </w:p>
    <w:p>
      <w:pPr>
        <w:spacing w:after="0" w:line="80" w:lineRule="exact"/>
        <w:rPr>
          <w:rFonts w:ascii="Arial" w:cs="Arial" w:eastAsia="Arial" w:hAnsi="Arial"/>
          <w:sz w:val="14"/>
          <w:szCs w:val="14"/>
          <w:color w:val="auto"/>
        </w:rPr>
      </w:pPr>
    </w:p>
    <w:p>
      <w:pPr>
        <w:ind w:left="1080" w:right="140" w:hanging="318"/>
        <w:spacing w:after="0" w:line="272" w:lineRule="auto"/>
        <w:tabs>
          <w:tab w:leader="none" w:pos="10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Class A common stock owned by Mr. Cifu is comprised of (i) 2,830,742 shares of Class A common stock issuable upon the exchange of Virtu Financial Units and corresponding shares of Class C common stock held by DAC Investment LLC, owned by Mr. Cifu and Melissa</w:t>
      </w:r>
    </w:p>
    <w:p>
      <w:pPr>
        <w:ind w:left="1080"/>
        <w:spacing w:after="0"/>
        <w:rPr>
          <w:rFonts w:ascii="Arial" w:cs="Arial" w:eastAsia="Arial" w:hAnsi="Arial"/>
          <w:sz w:val="14"/>
          <w:szCs w:val="14"/>
          <w:color w:val="auto"/>
        </w:rPr>
      </w:pPr>
      <w:r>
        <w:rPr>
          <w:rFonts w:ascii="Arial" w:cs="Arial" w:eastAsia="Arial" w:hAnsi="Arial"/>
          <w:sz w:val="14"/>
          <w:szCs w:val="14"/>
          <w:color w:val="auto"/>
        </w:rPr>
        <w:t>L. Cifu, Mr. Cifu’s wife; (ii) 819,804 shares of Class A common stock issuable upon the exchange of Virtu Financial Units and corresponding</w:t>
      </w:r>
    </w:p>
    <w:p>
      <w:pPr>
        <w:spacing w:after="0" w:line="15" w:lineRule="exact"/>
        <w:rPr>
          <w:sz w:val="20"/>
          <w:szCs w:val="20"/>
          <w:color w:val="auto"/>
        </w:rPr>
      </w:pPr>
    </w:p>
    <w:p>
      <w:pPr>
        <w:ind w:left="1080" w:right="80"/>
        <w:spacing w:after="0" w:line="275" w:lineRule="auto"/>
        <w:rPr>
          <w:sz w:val="20"/>
          <w:szCs w:val="20"/>
          <w:color w:val="auto"/>
        </w:rPr>
      </w:pPr>
      <w:r>
        <w:rPr>
          <w:rFonts w:ascii="Arial" w:cs="Arial" w:eastAsia="Arial" w:hAnsi="Arial"/>
          <w:sz w:val="14"/>
          <w:szCs w:val="14"/>
          <w:color w:val="auto"/>
        </w:rPr>
        <w:t>shares of Class C common stock held by Melissa L. Cifu, as Trustee of the Cifu 2025 GST Trust (the “</w:t>
      </w:r>
      <w:r>
        <w:rPr>
          <w:rFonts w:ascii="Arial" w:cs="Arial" w:eastAsia="Arial" w:hAnsi="Arial"/>
          <w:sz w:val="14"/>
          <w:szCs w:val="14"/>
          <w:b w:val="1"/>
          <w:bCs w:val="1"/>
          <w:color w:val="auto"/>
        </w:rPr>
        <w:t>Cifu 2025 GST Trust</w:t>
      </w:r>
      <w:r>
        <w:rPr>
          <w:rFonts w:ascii="Arial" w:cs="Arial" w:eastAsia="Arial" w:hAnsi="Arial"/>
          <w:sz w:val="14"/>
          <w:szCs w:val="14"/>
          <w:color w:val="auto"/>
        </w:rPr>
        <w:t>”), (iii) 587,187 shares of Class A common stock held by Mr. Cifu directly; (iv) 114,000 shares of Class A common stock held by Melissa L. Cifu, as Trustee of the Cifu 2025 GST Trust (v) 442,755 shares of Class A common stock held by a trust for the benefit of the Cifu Family (the “</w:t>
      </w:r>
      <w:r>
        <w:rPr>
          <w:rFonts w:ascii="Arial" w:cs="Arial" w:eastAsia="Arial" w:hAnsi="Arial"/>
          <w:sz w:val="14"/>
          <w:szCs w:val="14"/>
          <w:b w:val="1"/>
          <w:bCs w:val="1"/>
          <w:color w:val="auto"/>
        </w:rPr>
        <w:t>2020 Cifu Family</w:t>
      </w:r>
      <w:r>
        <w:rPr>
          <w:rFonts w:ascii="Arial" w:cs="Arial" w:eastAsia="Arial" w:hAnsi="Arial"/>
          <w:sz w:val="14"/>
          <w:szCs w:val="14"/>
          <w:color w:val="auto"/>
        </w:rPr>
        <w:t xml:space="preserve"> </w:t>
      </w:r>
      <w:r>
        <w:rPr>
          <w:rFonts w:ascii="Arial" w:cs="Arial" w:eastAsia="Arial" w:hAnsi="Arial"/>
          <w:sz w:val="14"/>
          <w:szCs w:val="14"/>
          <w:b w:val="1"/>
          <w:bCs w:val="1"/>
          <w:color w:val="auto"/>
        </w:rPr>
        <w:t>Trust</w:t>
      </w:r>
      <w:r>
        <w:rPr>
          <w:rFonts w:ascii="Arial" w:cs="Arial" w:eastAsia="Arial" w:hAnsi="Arial"/>
          <w:sz w:val="14"/>
          <w:szCs w:val="14"/>
          <w:color w:val="auto"/>
        </w:rPr>
        <w:t>”); and (vi) 484,312 deferred stock units which will be settled in shares of Class A common stock upon the expiration of a specified</w:t>
      </w:r>
      <w:r>
        <w:rPr>
          <w:rFonts w:ascii="Arial" w:cs="Arial" w:eastAsia="Arial" w:hAnsi="Arial"/>
          <w:sz w:val="14"/>
          <w:szCs w:val="14"/>
          <w:b w:val="1"/>
          <w:bCs w:val="1"/>
          <w:color w:val="auto"/>
        </w:rPr>
        <w:t xml:space="preserve"> </w:t>
      </w:r>
      <w:r>
        <w:rPr>
          <w:rFonts w:ascii="Arial" w:cs="Arial" w:eastAsia="Arial" w:hAnsi="Arial"/>
          <w:sz w:val="14"/>
          <w:szCs w:val="14"/>
          <w:color w:val="auto"/>
        </w:rPr>
        <w:t>deferral period or an earlier triggering event. Mrs. Cifu, and Dr. Mitchel A. Lautenberg, Mrs. Cifu’s brother, share dispositive control and voting control over the shares held by the 2020 Cifu Family Trust. Mr. Cifu may be deemed to beneficially own the shares held by the 2020 Cifu Family Trust and the Cifu 2025 GST Trust by virtue of his relationship with Mrs. Cifu.</w:t>
      </w:r>
    </w:p>
    <w:p>
      <w:pPr>
        <w:spacing w:after="0" w:line="71" w:lineRule="exact"/>
        <w:rPr>
          <w:sz w:val="20"/>
          <w:szCs w:val="20"/>
          <w:color w:val="auto"/>
        </w:rPr>
      </w:pPr>
    </w:p>
    <w:p>
      <w:pPr>
        <w:ind w:left="1080" w:right="220" w:hanging="318"/>
        <w:spacing w:after="0" w:line="305" w:lineRule="auto"/>
        <w:tabs>
          <w:tab w:leader="none" w:pos="10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Virtu Financial Units and corresponding shares of Class C common stock held by Virtu Employee Holdco on behalf of such person that have vested or will vest within the next 60 days.</w:t>
      </w:r>
    </w:p>
    <w:p>
      <w:pPr>
        <w:spacing w:after="0" w:line="63" w:lineRule="exact"/>
        <w:rPr>
          <w:rFonts w:ascii="Arial" w:cs="Arial" w:eastAsia="Arial" w:hAnsi="Arial"/>
          <w:sz w:val="14"/>
          <w:szCs w:val="14"/>
          <w:color w:val="auto"/>
        </w:rPr>
      </w:pPr>
    </w:p>
    <w:p>
      <w:pPr>
        <w:ind w:left="1080" w:right="240" w:hanging="318"/>
        <w:spacing w:after="0" w:line="283" w:lineRule="auto"/>
        <w:tabs>
          <w:tab w:leader="none" w:pos="10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Class A common stock owned by Mr. Molluso is comprised of (i) 429,945 shares of Class A common stock and (ii) 98,198 deferred stock units which will be settled in shares of Class A common stock upon the expiration of a specified deferral period or an earlier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3561715</wp:posOffset>
            </wp:positionV>
            <wp:extent cx="754380" cy="2400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180"/>
        <w:spacing w:after="0" w:line="256" w:lineRule="auto"/>
        <w:rPr>
          <w:sz w:val="20"/>
          <w:szCs w:val="20"/>
          <w:color w:val="auto"/>
        </w:rPr>
      </w:pPr>
      <w:r>
        <w:rPr>
          <w:rFonts w:ascii="Arial" w:cs="Arial" w:eastAsia="Arial" w:hAnsi="Arial"/>
          <w:sz w:val="54"/>
          <w:szCs w:val="54"/>
          <w:color w:val="002453"/>
        </w:rPr>
        <w:t>Certain Relationships and Related Party Transactions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Related Party Transactions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380"/>
        <w:spacing w:after="0" w:line="252" w:lineRule="auto"/>
        <w:rPr>
          <w:sz w:val="20"/>
          <w:szCs w:val="20"/>
          <w:color w:val="auto"/>
        </w:rPr>
      </w:pPr>
      <w:r>
        <w:rPr>
          <w:rFonts w:ascii="Arial" w:cs="Arial" w:eastAsia="Arial" w:hAnsi="Arial"/>
          <w:sz w:val="18"/>
          <w:szCs w:val="18"/>
          <w:color w:val="auto"/>
        </w:rPr>
        <w:t>Upon the consummation of our initial public offering, we adopted a written Related Person Transaction Policy (the “</w:t>
      </w:r>
      <w:r>
        <w:rPr>
          <w:rFonts w:ascii="Arial" w:cs="Arial" w:eastAsia="Arial" w:hAnsi="Arial"/>
          <w:sz w:val="18"/>
          <w:szCs w:val="18"/>
          <w:b w:val="1"/>
          <w:bCs w:val="1"/>
          <w:color w:val="auto"/>
        </w:rPr>
        <w:t>Policy</w:t>
      </w:r>
      <w:r>
        <w:rPr>
          <w:rFonts w:ascii="Arial" w:cs="Arial" w:eastAsia="Arial" w:hAnsi="Arial"/>
          <w:sz w:val="18"/>
          <w:szCs w:val="18"/>
          <w:color w:val="auto"/>
        </w:rPr>
        <w:t>”),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62"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67" w:lineRule="exact"/>
        <w:rPr>
          <w:sz w:val="20"/>
          <w:szCs w:val="20"/>
          <w:color w:val="auto"/>
        </w:rPr>
      </w:pPr>
    </w:p>
    <w:p>
      <w:pPr>
        <w:ind w:left="760" w:right="200"/>
        <w:spacing w:after="0" w:line="246" w:lineRule="auto"/>
        <w:rPr>
          <w:sz w:val="20"/>
          <w:szCs w:val="20"/>
          <w:color w:val="auto"/>
        </w:rPr>
      </w:pPr>
      <w:r>
        <w:rPr>
          <w:rFonts w:ascii="Arial" w:cs="Arial" w:eastAsia="Arial" w:hAnsi="Arial"/>
          <w:sz w:val="18"/>
          <w:szCs w:val="18"/>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71" w:lineRule="exact"/>
        <w:rPr>
          <w:sz w:val="20"/>
          <w:szCs w:val="20"/>
          <w:color w:val="auto"/>
        </w:rPr>
      </w:pPr>
    </w:p>
    <w:p>
      <w:pPr>
        <w:ind w:left="760" w:right="140"/>
        <w:spacing w:after="0" w:line="271" w:lineRule="auto"/>
        <w:rPr>
          <w:sz w:val="20"/>
          <w:szCs w:val="20"/>
          <w:color w:val="auto"/>
        </w:rPr>
      </w:pPr>
      <w:r>
        <w:rPr>
          <w:rFonts w:ascii="Arial" w:cs="Arial" w:eastAsia="Arial" w:hAnsi="Arial"/>
          <w:sz w:val="17"/>
          <w:szCs w:val="17"/>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60" w:lineRule="exact"/>
        <w:rPr>
          <w:sz w:val="20"/>
          <w:szCs w:val="20"/>
          <w:color w:val="auto"/>
        </w:rPr>
      </w:pPr>
    </w:p>
    <w:p>
      <w:pPr>
        <w:ind w:left="760" w:right="360"/>
        <w:spacing w:after="0" w:line="268" w:lineRule="auto"/>
        <w:rPr>
          <w:sz w:val="20"/>
          <w:szCs w:val="20"/>
          <w:color w:val="auto"/>
        </w:rPr>
      </w:pPr>
      <w:r>
        <w:rPr>
          <w:rFonts w:ascii="Arial" w:cs="Arial" w:eastAsia="Arial" w:hAnsi="Arial"/>
          <w:sz w:val="29"/>
          <w:szCs w:val="29"/>
          <w:b w:val="1"/>
          <w:bCs w:val="1"/>
          <w:color w:val="002453"/>
        </w:rPr>
        <w:t>Amended and Restated Virtu Financial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reorganization transactions preceding our initial public offering (which we refer to as the</w:t>
      </w:r>
    </w:p>
    <w:p>
      <w:pPr>
        <w:spacing w:after="0" w:line="27" w:lineRule="exact"/>
        <w:rPr>
          <w:sz w:val="20"/>
          <w:szCs w:val="20"/>
          <w:color w:val="auto"/>
        </w:rPr>
      </w:pPr>
    </w:p>
    <w:p>
      <w:pPr>
        <w:jc w:val="both"/>
        <w:ind w:left="760" w:right="8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transactions</w:t>
      </w:r>
      <w:r>
        <w:rPr>
          <w:rFonts w:ascii="Arial" w:cs="Arial" w:eastAsia="Arial" w:hAnsi="Arial"/>
          <w:sz w:val="18"/>
          <w:szCs w:val="18"/>
          <w:color w:val="auto"/>
        </w:rPr>
        <w:t>”),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p>
    <w:p>
      <w:pPr>
        <w:spacing w:after="0" w:line="85"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 making of Virtu Financial. As such, through our officers and directors, we are responsible for all operational and administrative decisions of Virtu Financial and the day-to-day management of Virtu Financial’s business. We will fund any dividends to our stockholders by causing Virtu Financial to make distributions to its equity holders, including the Founder Member, Virtu Employee Holdco, the Employee Trust and us, subject to the limitations imposed by our credit agreement.</w:t>
      </w:r>
    </w:p>
    <w:p>
      <w:pPr>
        <w:spacing w:after="0" w:line="27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CERTAIN RELATIONSHIPS AND RELATED PARTY TRANSACTIONS</w:t>
      </w:r>
    </w:p>
    <w:p>
      <w:pPr>
        <w:spacing w:after="0" w:line="237"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 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w:t>
      </w:r>
    </w:p>
    <w:p>
      <w:pPr>
        <w:spacing w:after="0" w:line="82"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affect any subdivision or combination of any class of our common stock unless it is accompanied by a substantively identical subdivision or combination, as applicable, of the Virtu Financial Units.</w:t>
      </w:r>
    </w:p>
    <w:p>
      <w:pPr>
        <w:spacing w:after="0" w:line="81"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including Mr. Fairclough, are subject to similar restrictions under the limited liability company agreements of Virtu Employee Holdco.</w:t>
      </w:r>
    </w:p>
    <w:p>
      <w:pPr>
        <w:spacing w:after="0" w:line="71" w:lineRule="exact"/>
        <w:rPr>
          <w:sz w:val="20"/>
          <w:szCs w:val="20"/>
          <w:color w:val="auto"/>
        </w:rPr>
      </w:pPr>
    </w:p>
    <w:p>
      <w:pPr>
        <w:ind w:left="760" w:right="200"/>
        <w:spacing w:after="0" w:line="262" w:lineRule="auto"/>
        <w:rPr>
          <w:sz w:val="20"/>
          <w:szCs w:val="20"/>
          <w:color w:val="auto"/>
        </w:rPr>
      </w:pPr>
      <w:r>
        <w:rPr>
          <w:rFonts w:ascii="Arial" w:cs="Arial" w:eastAsia="Arial" w:hAnsi="Arial"/>
          <w:sz w:val="18"/>
          <w:szCs w:val="18"/>
          <w:color w:val="auto"/>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68" w:lineRule="exact"/>
        <w:rPr>
          <w:sz w:val="20"/>
          <w:szCs w:val="20"/>
          <w:color w:val="auto"/>
        </w:rPr>
      </w:pPr>
    </w:p>
    <w:p>
      <w:pPr>
        <w:ind w:left="760" w:right="80"/>
        <w:spacing w:after="0" w:line="269" w:lineRule="auto"/>
        <w:rPr>
          <w:sz w:val="20"/>
          <w:szCs w:val="20"/>
          <w:color w:val="auto"/>
        </w:rPr>
      </w:pPr>
      <w:r>
        <w:rPr>
          <w:rFonts w:ascii="Arial" w:cs="Arial" w:eastAsia="Arial" w:hAnsi="Arial"/>
          <w:sz w:val="17"/>
          <w:szCs w:val="17"/>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w:t>
      </w:r>
    </w:p>
    <w:p>
      <w:pPr>
        <w:spacing w:after="0" w:line="3" w:lineRule="exact"/>
        <w:rPr>
          <w:sz w:val="20"/>
          <w:szCs w:val="20"/>
          <w:color w:val="auto"/>
        </w:rPr>
      </w:pPr>
    </w:p>
    <w:p>
      <w:pPr>
        <w:ind w:left="760" w:right="200" w:firstLine="2"/>
        <w:spacing w:after="0" w:line="266" w:lineRule="auto"/>
        <w:tabs>
          <w:tab w:leader="none" w:pos="10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second, to the members in proportion to their vested Virtu Financial Units (after giving effect to any obligations of Virtu Financial to make tax distributions).</w:t>
      </w:r>
    </w:p>
    <w:p>
      <w:pPr>
        <w:spacing w:after="0" w:line="63" w:lineRule="exact"/>
        <w:rPr>
          <w:sz w:val="20"/>
          <w:szCs w:val="20"/>
          <w:color w:val="auto"/>
        </w:rPr>
      </w:pPr>
    </w:p>
    <w:p>
      <w:pPr>
        <w:ind w:left="760" w:right="180"/>
        <w:spacing w:after="0" w:line="291" w:lineRule="auto"/>
        <w:rPr>
          <w:sz w:val="20"/>
          <w:szCs w:val="20"/>
          <w:color w:val="auto"/>
        </w:rPr>
      </w:pPr>
      <w:r>
        <w:rPr>
          <w:rFonts w:ascii="Arial" w:cs="Arial" w:eastAsia="Arial" w:hAnsi="Arial"/>
          <w:sz w:val="17"/>
          <w:szCs w:val="17"/>
          <w:color w:val="auto"/>
        </w:rPr>
        <w:t>Historically, Virtu Financial has regularly declared and paid distributions on its equity interests to its members, including the Company. During the year ended December 31, 2024, Virtu Financial declared and paid $497.0 million in cash distributions to its members (including our Founder Member, Employee Holdco, and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177800</wp:posOffset>
            </wp:positionV>
            <wp:extent cx="754380" cy="2400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40"/>
        <w:spacing w:after="0" w:line="243" w:lineRule="auto"/>
        <w:rPr>
          <w:sz w:val="20"/>
          <w:szCs w:val="20"/>
          <w:color w:val="auto"/>
        </w:rPr>
      </w:pPr>
      <w:r>
        <w:rPr>
          <w:rFonts w:ascii="Arial" w:cs="Arial" w:eastAsia="Arial" w:hAnsi="Arial"/>
          <w:sz w:val="18"/>
          <w:szCs w:val="18"/>
          <w:color w:val="auto"/>
        </w:rPr>
        <w:t>In connection with the reorganization transactions, we acquired equity interests in Virtu Financial from certain affiliates of Silver Lake Partners and Temasek, as a result of a series of transactions (the “</w:t>
      </w:r>
      <w:r>
        <w:rPr>
          <w:rFonts w:ascii="Arial" w:cs="Arial" w:eastAsia="Arial" w:hAnsi="Arial"/>
          <w:sz w:val="18"/>
          <w:szCs w:val="18"/>
          <w:b w:val="1"/>
          <w:bCs w:val="1"/>
          <w:color w:val="auto"/>
        </w:rPr>
        <w:t>Mergers</w:t>
      </w:r>
      <w:r>
        <w:rPr>
          <w:rFonts w:ascii="Arial" w:cs="Arial" w:eastAsia="Arial" w:hAnsi="Arial"/>
          <w:sz w:val="18"/>
          <w:szCs w:val="18"/>
          <w:color w:val="auto"/>
        </w:rPr>
        <w:t>”). In addition, we used a portion of the net proceeds from our initial public offering to purchase Virtu Financial Units and corresponding shares of Class C common stock from certain direct or indirect equity 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 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77" w:lineRule="exact"/>
        <w:rPr>
          <w:sz w:val="20"/>
          <w:szCs w:val="20"/>
          <w:color w:val="auto"/>
        </w:rPr>
      </w:pPr>
    </w:p>
    <w:p>
      <w:pPr>
        <w:ind w:left="760" w:right="120"/>
        <w:spacing w:after="0" w:line="257" w:lineRule="auto"/>
        <w:rPr>
          <w:sz w:val="20"/>
          <w:szCs w:val="20"/>
          <w:color w:val="auto"/>
        </w:rPr>
      </w:pPr>
      <w:r>
        <w:rPr>
          <w:rFonts w:ascii="Arial" w:cs="Arial" w:eastAsia="Arial" w:hAnsi="Arial"/>
          <w:sz w:val="17"/>
          <w:szCs w:val="17"/>
          <w:color w:val="auto"/>
        </w:rPr>
        <w:t>We entered into three tax receivable agreements with certain direct or indirect equity holders of Virtu Financial (one with the Founder Member, Virtu Employee Holdco, the Employee Trust, certain management members and other post initial public offering investors), another with affiliates of Silver Lake Partners and affiliates of Temasek, and the other with other affiliates of Silver Lake Partners, that provide for the payment by us to certain direct or indirect equity holders of Virtu Financial (or their transferees of Virtu Financial Units or other assignees) of 85% of the amount of cash savings, if any, in U.S. federal, state and local income tax or franchise tax that we actually realize as a result of</w:t>
      </w:r>
    </w:p>
    <w:p>
      <w:pPr>
        <w:spacing w:after="0" w:line="4" w:lineRule="exact"/>
        <w:rPr>
          <w:sz w:val="20"/>
          <w:szCs w:val="20"/>
          <w:color w:val="auto"/>
        </w:rPr>
      </w:pPr>
    </w:p>
    <w:p>
      <w:pPr>
        <w:ind w:left="760" w:right="140" w:firstLine="2"/>
        <w:spacing w:after="0" w:line="255" w:lineRule="auto"/>
        <w:tabs>
          <w:tab w:leader="none" w:pos="9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increase in tax basis in Virtu Financial’s assets resulting from (a) the acquisition of equity interests in Virtu Financial from an affiliate of Silver Lake Partners and an affiliate of Temasek, and another affiliate of Temasek (the “</w:t>
      </w:r>
      <w:r>
        <w:rPr>
          <w:rFonts w:ascii="Arial" w:cs="Arial" w:eastAsia="Arial" w:hAnsi="Arial"/>
          <w:sz w:val="17"/>
          <w:szCs w:val="17"/>
          <w:b w:val="1"/>
          <w:bCs w:val="1"/>
          <w:color w:val="auto"/>
        </w:rPr>
        <w:t>Temasek Member</w:t>
      </w:r>
      <w:r>
        <w:rPr>
          <w:rFonts w:ascii="Arial" w:cs="Arial" w:eastAsia="Arial" w:hAnsi="Arial"/>
          <w:sz w:val="17"/>
          <w:szCs w:val="17"/>
          <w:color w:val="auto"/>
        </w:rPr>
        <w:t>”) in the reorganization transactions (which represents the unamortized portion of the increase in tax basis in Virtu Financial’s assets resulting from a prior acquisition of interests in Virtu Financial by an affiliate of Silver Lake Partners and Temasek, and the Temasek Member, (b) the purchases of Virtu Financial Units (along with the corresponding shares of our Class C common stock or Class D common stock, as applicable) from certain direct or indirect equity holders of Virtu Financial using a portion of the net proceeds from our initial public offering or in any future offering, (c) exchanges by certain direct or indirect equity holders of Virtu Financial of Virtu Financial Units (together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82" w:lineRule="exact"/>
        <w:rPr>
          <w:sz w:val="20"/>
          <w:szCs w:val="20"/>
          <w:color w:val="auto"/>
        </w:rPr>
      </w:pPr>
    </w:p>
    <w:p>
      <w:pPr>
        <w:ind w:left="760" w:right="200"/>
        <w:spacing w:after="0" w:line="266" w:lineRule="auto"/>
        <w:rPr>
          <w:sz w:val="20"/>
          <w:szCs w:val="20"/>
          <w:color w:val="auto"/>
        </w:rPr>
      </w:pPr>
      <w:r>
        <w:rPr>
          <w:rFonts w:ascii="Arial" w:cs="Arial" w:eastAsia="Arial" w:hAnsi="Arial"/>
          <w:sz w:val="17"/>
          <w:szCs w:val="17"/>
          <w:color w:val="auto"/>
        </w:rPr>
        <w:t>The actual increase in tax basis, as well as the amount and timing of any payments under these agreements, varies depending upon a number of factors, including the timing of exchanges by certain direct or indirect equity 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51"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 holders of Virtu Financial are expected to range from approximately $0.1 million to $22.1 million per year over the next 15 years. Such payments will occur only after we have filed our U.S. federal and state income tax returns and realized the cash tax savings from the favorable tax attributes. Future payments under the tax receivable agreements in respect of subsequent exchanges would be in addition to these amounts and are expected to be substantial. The payments under the tax receivable agreements are not conditioned upon the certain direct or indirect equity holders of Virtu Financial’s continued ownership of us.</w:t>
      </w:r>
    </w:p>
    <w:p>
      <w:pPr>
        <w:spacing w:after="0" w:line="83" w:lineRule="exact"/>
        <w:rPr>
          <w:sz w:val="20"/>
          <w:szCs w:val="20"/>
          <w:color w:val="auto"/>
        </w:rPr>
      </w:pPr>
    </w:p>
    <w:p>
      <w:pPr>
        <w:ind w:left="760" w:right="140"/>
        <w:spacing w:after="0" w:line="266"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agreements, certain direct or indirect equity holders of Virtu Financial (or their transferees or other assignees) will not reimburse us for any payments previously made if such tax basis increases or other tax benefits are subsequently disallowed, except that any excess payments made to certain direct or indirect equity holders of Virtu Financial will be netted against future payments otherwise to be made under the</w:t>
      </w:r>
    </w:p>
    <w:p>
      <w:pPr>
        <w:spacing w:after="0" w:line="27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CERTAIN RELATIONSHIPS AND RELATED PARTY TRANSACTIONS</w:t>
      </w:r>
    </w:p>
    <w:p>
      <w:pPr>
        <w:spacing w:after="0" w:line="237" w:lineRule="exact"/>
        <w:rPr>
          <w:sz w:val="20"/>
          <w:szCs w:val="20"/>
          <w:color w:val="auto"/>
        </w:rPr>
      </w:pPr>
    </w:p>
    <w:p>
      <w:pPr>
        <w:ind w:left="760" w:right="180"/>
        <w:spacing w:after="0" w:line="262" w:lineRule="auto"/>
        <w:rPr>
          <w:sz w:val="20"/>
          <w:szCs w:val="20"/>
          <w:color w:val="auto"/>
        </w:rPr>
      </w:pPr>
      <w:r>
        <w:rPr>
          <w:rFonts w:ascii="Arial" w:cs="Arial" w:eastAsia="Arial" w:hAnsi="Arial"/>
          <w:sz w:val="18"/>
          <w:szCs w:val="18"/>
          <w:color w:val="auto"/>
        </w:rPr>
        <w:t>tax receivable agreements, if any, after our determination of such excess. As a result, in such circumstances we could make payments to certain direct or indirect equity holders of Virtu Financial under the tax receivable agreements that are greater than our actual cash tax savings and may not be able to recoup those payments, which could negatively impact our liquidity.</w:t>
      </w:r>
    </w:p>
    <w:p>
      <w:pPr>
        <w:spacing w:after="0" w:line="68"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75" w:lineRule="exact"/>
        <w:rPr>
          <w:sz w:val="20"/>
          <w:szCs w:val="20"/>
          <w:color w:val="auto"/>
        </w:rPr>
      </w:pPr>
    </w:p>
    <w:p>
      <w:pPr>
        <w:ind w:left="760" w:right="220"/>
        <w:spacing w:after="0" w:line="253" w:lineRule="auto"/>
        <w:rPr>
          <w:sz w:val="20"/>
          <w:szCs w:val="20"/>
          <w:color w:val="auto"/>
        </w:rPr>
      </w:pPr>
      <w:r>
        <w:rPr>
          <w:rFonts w:ascii="Arial" w:cs="Arial" w:eastAsia="Arial" w:hAnsi="Arial"/>
          <w:sz w:val="18"/>
          <w:szCs w:val="18"/>
          <w:color w:val="auto"/>
        </w:rPr>
        <w:t>In addition, the tax receivable agreements provide that in the case of a change in control of the Company, certain direct or indirect equity 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 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 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p>
    <w:p>
      <w:pPr>
        <w:spacing w:after="0" w:line="79"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71" w:lineRule="exact"/>
        <w:rPr>
          <w:sz w:val="20"/>
          <w:szCs w:val="20"/>
          <w:color w:val="auto"/>
        </w:rPr>
      </w:pPr>
    </w:p>
    <w:p>
      <w:pPr>
        <w:ind w:left="760" w:right="80"/>
        <w:spacing w:after="0" w:line="257" w:lineRule="auto"/>
        <w:rPr>
          <w:sz w:val="20"/>
          <w:szCs w:val="20"/>
          <w:color w:val="auto"/>
        </w:rPr>
      </w:pPr>
      <w:r>
        <w:rPr>
          <w:rFonts w:ascii="Arial" w:cs="Arial" w:eastAsia="Arial" w:hAnsi="Arial"/>
          <w:sz w:val="18"/>
          <w:szCs w:val="18"/>
          <w:color w:val="auto"/>
        </w:rPr>
        <w:t>The Company made payments totaling $114.0 million from February 2017 through December 2024 with respect to its the tax receivable agreement obligations. During the year ended December 31, 2024, the Founder Member received $7.1 million, and members and former members of Virtu Employee Holdco LLC received $3.3 million. Through April 14, 2025, during the year ending December 31, 2024, an additional payment of $20.8 million was made under the tax receivable agreements, of which the Founder Member received $7.2 million and members and former members of Virtu Employee Holdco LLC received $3.6 million.</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20"/>
        <w:spacing w:after="0" w:line="268" w:lineRule="auto"/>
        <w:rPr>
          <w:sz w:val="20"/>
          <w:szCs w:val="20"/>
          <w:color w:val="auto"/>
        </w:rPr>
      </w:pPr>
      <w:r>
        <w:rPr>
          <w:rFonts w:ascii="Arial" w:cs="Arial" w:eastAsia="Arial" w:hAnsi="Arial"/>
          <w:sz w:val="18"/>
          <w:szCs w:val="18"/>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400"/>
        <w:spacing w:after="0" w:line="268" w:lineRule="auto"/>
        <w:rPr>
          <w:sz w:val="20"/>
          <w:szCs w:val="20"/>
          <w:color w:val="auto"/>
        </w:rPr>
      </w:pPr>
      <w:r>
        <w:rPr>
          <w:rFonts w:ascii="Arial" w:cs="Arial" w:eastAsia="Arial" w:hAnsi="Arial"/>
          <w:sz w:val="18"/>
          <w:szCs w:val="18"/>
          <w:color w:val="auto"/>
        </w:rPr>
        <w:t>The Company incurs expenses and maintains balances with its affiliates in the ordinary course of business. As of December 31, 2023, the Company had a net payable to its affiliates of $1.8 million and a net receivable from its affiliates of $1.5 million.</w:t>
      </w:r>
    </w:p>
    <w:p>
      <w:pPr>
        <w:spacing w:after="0" w:line="63" w:lineRule="exact"/>
        <w:rPr>
          <w:sz w:val="20"/>
          <w:szCs w:val="20"/>
          <w:color w:val="auto"/>
        </w:rPr>
      </w:pPr>
    </w:p>
    <w:p>
      <w:pPr>
        <w:jc w:val="both"/>
        <w:ind w:left="760" w:right="200"/>
        <w:spacing w:after="0" w:line="262" w:lineRule="auto"/>
        <w:rPr>
          <w:sz w:val="20"/>
          <w:szCs w:val="20"/>
          <w:color w:val="auto"/>
        </w:rPr>
      </w:pPr>
      <w:r>
        <w:rPr>
          <w:rFonts w:ascii="Arial" w:cs="Arial" w:eastAsia="Arial" w:hAnsi="Arial"/>
          <w:sz w:val="18"/>
          <w:szCs w:val="18"/>
          <w:color w:val="auto"/>
        </w:rPr>
        <w:t>The Company has held a minority interest in Japannext Co., Ltd. (“</w:t>
      </w:r>
      <w:r>
        <w:rPr>
          <w:rFonts w:ascii="Arial" w:cs="Arial" w:eastAsia="Arial" w:hAnsi="Arial"/>
          <w:sz w:val="18"/>
          <w:szCs w:val="18"/>
          <w:b w:val="1"/>
          <w:bCs w:val="1"/>
          <w:color w:val="auto"/>
        </w:rPr>
        <w:t>JNX</w:t>
      </w:r>
      <w:r>
        <w:rPr>
          <w:rFonts w:ascii="Arial" w:cs="Arial" w:eastAsia="Arial" w:hAnsi="Arial"/>
          <w:sz w:val="18"/>
          <w:szCs w:val="18"/>
          <w:color w:val="auto"/>
        </w:rPr>
        <w:t>”) since 2016. The Company pays exchange fees to JNX for the trading activities conducted on its proprietary trading system. For the year ended December 31, 2023, the Company paid $12.1 million to JNX for these trading activities, and for the quarter ended March 31, 2024, the Company paid $2.2 million to JNX for these trading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201295</wp:posOffset>
            </wp:positionV>
            <wp:extent cx="754380" cy="2400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260"/>
        <w:spacing w:after="0" w:line="262" w:lineRule="auto"/>
        <w:rPr>
          <w:sz w:val="20"/>
          <w:szCs w:val="20"/>
          <w:color w:val="auto"/>
        </w:rPr>
      </w:pPr>
      <w:r>
        <w:rPr>
          <w:rFonts w:ascii="Arial" w:cs="Arial" w:eastAsia="Arial" w:hAnsi="Arial"/>
          <w:sz w:val="18"/>
          <w:szCs w:val="18"/>
          <w:color w:val="auto"/>
        </w:rPr>
        <w:t>The Company makes payments to two joint ventures (“</w:t>
      </w:r>
      <w:r>
        <w:rPr>
          <w:rFonts w:ascii="Arial" w:cs="Arial" w:eastAsia="Arial" w:hAnsi="Arial"/>
          <w:sz w:val="18"/>
          <w:szCs w:val="18"/>
          <w:b w:val="1"/>
          <w:bCs w:val="1"/>
          <w:color w:val="auto"/>
        </w:rPr>
        <w:t>JVs</w:t>
      </w:r>
      <w:r>
        <w:rPr>
          <w:rFonts w:ascii="Arial" w:cs="Arial" w:eastAsia="Arial" w:hAnsi="Arial"/>
          <w:sz w:val="18"/>
          <w:szCs w:val="18"/>
          <w:color w:val="auto"/>
        </w:rPr>
        <w:t>”) to fund the construction of the microwave communication networks, and to purchase microwave communication networks. For the year ended December 31, 2023, the Company paid $32.6 million to the JVs, and for the quarter ended March 31, 2024, the Company paid $7.4 million to the JVs.</w:t>
      </w:r>
    </w:p>
    <w:p>
      <w:pPr>
        <w:spacing w:after="0" w:line="68"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The Company has an interest in Members Exchange, a member-owned equities exchange. The Company pays regulatory and transaction fees and receives rebates from trading activities. For the year ended December 31, 2023, the Company paid $4.8 million to Members Exchange on a net basis, and for the quarter ended March 31, 2024, the Company paid $1.5 million to the Members Exchange.</w:t>
      </w:r>
    </w:p>
    <w:p>
      <w:pPr>
        <w:spacing w:after="0" w:line="68"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The Company provides brokerage and related services to BlackRock, Inc. and affiliates (“</w:t>
      </w:r>
      <w:r>
        <w:rPr>
          <w:rFonts w:ascii="Arial" w:cs="Arial" w:eastAsia="Arial" w:hAnsi="Arial"/>
          <w:sz w:val="18"/>
          <w:szCs w:val="18"/>
          <w:b w:val="1"/>
          <w:bCs w:val="1"/>
          <w:color w:val="auto"/>
        </w:rPr>
        <w:t>BlackRock</w:t>
      </w:r>
      <w:r>
        <w:rPr>
          <w:rFonts w:ascii="Arial" w:cs="Arial" w:eastAsia="Arial" w:hAnsi="Arial"/>
          <w:sz w:val="18"/>
          <w:szCs w:val="18"/>
          <w:color w:val="auto"/>
        </w:rPr>
        <w:t>”). As noted in footnote 5 to the beneficial ownership table on page 67 of this proxy statement, according to the Schedule 13G filed by BlackRock on July 8, 2024, BlackRock may have been deemed to have shared voting and dispositive power over more than 5% of the Company’s issued and outstanding Class A common shares. For the year ended December 31, 2024, the Company received $4.9 million from BlackRock for these services and through April 11, 2025, during the year ending December 31, 2025, the Company received approximately $0.9 million from Vanguard for these services.</w:t>
      </w:r>
    </w:p>
    <w:p>
      <w:pPr>
        <w:spacing w:after="0" w:line="75"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The Company provides brokerage and related services to The Vanguard Group, Inc. and affiliates (“</w:t>
      </w:r>
      <w:r>
        <w:rPr>
          <w:rFonts w:ascii="Arial" w:cs="Arial" w:eastAsia="Arial" w:hAnsi="Arial"/>
          <w:sz w:val="18"/>
          <w:szCs w:val="18"/>
          <w:b w:val="1"/>
          <w:bCs w:val="1"/>
          <w:color w:val="auto"/>
        </w:rPr>
        <w:t>Vanguard</w:t>
      </w:r>
      <w:r>
        <w:rPr>
          <w:rFonts w:ascii="Arial" w:cs="Arial" w:eastAsia="Arial" w:hAnsi="Arial"/>
          <w:sz w:val="18"/>
          <w:szCs w:val="18"/>
          <w:color w:val="auto"/>
        </w:rPr>
        <w:t>”). As noted in footnote 6 to the beneficial ownership table on page 67 of this proxy statement, according to the Schedule 13G/A filed by Vanguard on February 13, 2024, Vanguard may have been deemed to have shared voting and dispositive power over more than 5% of the Company’s issued and outstanding Class A common shares. For the year ended December 31, 2024, the Company received $2.8 million from Vanguard for these services and through April 11, 2025, during the year ending December 31, 2025, the Company received approximately $0.2 million from Vanguard for these services.</w:t>
      </w:r>
    </w:p>
    <w:p>
      <w:pPr>
        <w:spacing w:after="0" w:line="75" w:lineRule="exact"/>
        <w:rPr>
          <w:sz w:val="20"/>
          <w:szCs w:val="20"/>
          <w:color w:val="auto"/>
        </w:rPr>
      </w:pPr>
    </w:p>
    <w:p>
      <w:pPr>
        <w:ind w:left="760" w:right="100"/>
        <w:spacing w:after="0" w:line="257" w:lineRule="auto"/>
        <w:rPr>
          <w:sz w:val="20"/>
          <w:szCs w:val="20"/>
          <w:color w:val="auto"/>
        </w:rPr>
      </w:pPr>
      <w:r>
        <w:rPr>
          <w:rFonts w:ascii="Arial" w:cs="Arial" w:eastAsia="Arial" w:hAnsi="Arial"/>
          <w:sz w:val="18"/>
          <w:szCs w:val="18"/>
          <w:color w:val="auto"/>
        </w:rPr>
        <w:t>The Company provides brokerage and related services to FMR, LLC and affiliates. (“</w:t>
      </w:r>
      <w:r>
        <w:rPr>
          <w:rFonts w:ascii="Arial" w:cs="Arial" w:eastAsia="Arial" w:hAnsi="Arial"/>
          <w:sz w:val="18"/>
          <w:szCs w:val="18"/>
          <w:b w:val="1"/>
          <w:bCs w:val="1"/>
          <w:color w:val="auto"/>
        </w:rPr>
        <w:t>FMR</w:t>
      </w:r>
      <w:r>
        <w:rPr>
          <w:rFonts w:ascii="Arial" w:cs="Arial" w:eastAsia="Arial" w:hAnsi="Arial"/>
          <w:sz w:val="18"/>
          <w:szCs w:val="18"/>
          <w:color w:val="auto"/>
        </w:rPr>
        <w:t>”). As noted in footnote 7 to the beneficial ownership table on page 67 of this proxy statement, according to the Schedule 13G filed by FMR on February 12, 2025, FMR may have been deemed to have shared voting and dispositive power over more than 5% of the Company’s issued and outstanding Class A common shares. For the year ended December 31, 2024, the Company received $7.6 million from FMR for these services and through April 11, 2025, during the year ending December 31, 2025, the Company received approximately $2.4 million from FMR for these services.</w:t>
      </w:r>
    </w:p>
    <w:p>
      <w:pPr>
        <w:spacing w:after="0" w:line="74"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On February 6, 2025, the Company entered into a senior secured revolving loan agreement (“EDX Revolving Credit Agreement”) with EDX Markets LLC (“EDX Markets”) pursuant to which the Company and the other lenders party thereto, agreed to make loans on a pro rata basis based on their committed amounts, subject to the terms and conditions of the EDX Revolving Credit Agreement. The EDX Revolving Credit Agreement has a 90 day commitment period which may be renewed for additional 90 day periods. The Company’s committed amount under the EDX Revolving Credit Agreement is $5.0 million and the total committed amount is $17.0 million. Loans outstanding under the EDX Revolving Credit Agreement bear interest at a rate equal to the term SOFR rate then in effect for an interest period of 90 days plus 10%. The Company’s affiliate, Virtu Investments LLC, maintains a minority equity interest in EDX Markets’ ultimate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Delinquent Section 16(a) Reports</w:t>
      </w:r>
    </w:p>
    <w:p>
      <w:pPr>
        <w:spacing w:after="0" w:line="146" w:lineRule="exact"/>
        <w:rPr>
          <w:sz w:val="20"/>
          <w:szCs w:val="20"/>
          <w:color w:val="auto"/>
        </w:rPr>
      </w:pPr>
    </w:p>
    <w:p>
      <w:pPr>
        <w:ind w:left="760" w:right="120"/>
        <w:spacing w:after="0" w:line="271" w:lineRule="auto"/>
        <w:rPr>
          <w:sz w:val="20"/>
          <w:szCs w:val="20"/>
          <w:color w:val="auto"/>
        </w:rPr>
      </w:pPr>
      <w:r>
        <w:rPr>
          <w:rFonts w:ascii="Arial" w:cs="Arial" w:eastAsia="Arial" w:hAnsi="Arial"/>
          <w:sz w:val="17"/>
          <w:szCs w:val="17"/>
          <w:color w:val="auto"/>
        </w:rPr>
        <w:t>Section 16(a) of the Exchange Act requires our directors, executive officers and persons who own more than 10% of a registered class of the Company’s equity securities (collectively, the “</w:t>
      </w:r>
      <w:r>
        <w:rPr>
          <w:rFonts w:ascii="Arial" w:cs="Arial" w:eastAsia="Arial" w:hAnsi="Arial"/>
          <w:sz w:val="17"/>
          <w:szCs w:val="17"/>
          <w:b w:val="1"/>
          <w:bCs w:val="1"/>
          <w:color w:val="auto"/>
        </w:rPr>
        <w:t>Reporting Persons</w:t>
      </w:r>
      <w:r>
        <w:rPr>
          <w:rFonts w:ascii="Arial" w:cs="Arial" w:eastAsia="Arial" w:hAnsi="Arial"/>
          <w:sz w:val="17"/>
          <w:szCs w:val="17"/>
          <w:color w:val="auto"/>
        </w:rPr>
        <w:t>”),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year 2024, except that, due to administrative oversight one Form 4 of director John Nixon reporting the gift of 5,740 shares was filed late on May 21, 2024 and one Form 4 of Virtu Employee Holdco reporting the disposition of 367,123 shares of Class C common stock and corresponding Virtu Financial Units was filed late on 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5802630</wp:posOffset>
            </wp:positionV>
            <wp:extent cx="754380" cy="2400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Additional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List of Stockholders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2" w:lineRule="exact"/>
        <w:rPr>
          <w:sz w:val="20"/>
          <w:szCs w:val="20"/>
          <w:color w:val="auto"/>
        </w:rPr>
      </w:pPr>
    </w:p>
    <w:p>
      <w:pPr>
        <w:ind w:left="760" w:right="260"/>
        <w:spacing w:after="0" w:line="252" w:lineRule="auto"/>
        <w:rPr>
          <w:sz w:val="20"/>
          <w:szCs w:val="20"/>
          <w:color w:val="auto"/>
        </w:rPr>
      </w:pPr>
      <w:r>
        <w:rPr>
          <w:rFonts w:ascii="Arial" w:cs="Arial" w:eastAsia="Arial" w:hAnsi="Arial"/>
          <w:sz w:val="18"/>
          <w:szCs w:val="18"/>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1633 Broadway, New York, New York 10019.</w:t>
      </w:r>
    </w:p>
    <w:p>
      <w:pPr>
        <w:spacing w:after="0" w:line="87" w:lineRule="exact"/>
        <w:rPr>
          <w:sz w:val="20"/>
          <w:szCs w:val="20"/>
          <w:color w:val="auto"/>
        </w:rPr>
      </w:pPr>
    </w:p>
    <w:p>
      <w:pPr>
        <w:ind w:left="760" w:right="1040"/>
        <w:spacing w:after="0" w:line="278" w:lineRule="auto"/>
        <w:rPr>
          <w:sz w:val="20"/>
          <w:szCs w:val="20"/>
          <w:color w:val="auto"/>
        </w:rPr>
      </w:pPr>
      <w:r>
        <w:rPr>
          <w:rFonts w:ascii="Arial" w:cs="Arial" w:eastAsia="Arial" w:hAnsi="Arial"/>
          <w:sz w:val="29"/>
          <w:szCs w:val="29"/>
          <w:b w:val="1"/>
          <w:bCs w:val="1"/>
          <w:color w:val="002453"/>
        </w:rPr>
        <w:t>Submission of Stockholder Proposals at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-5080</wp:posOffset>
            </wp:positionV>
            <wp:extent cx="58293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1" w:lineRule="exact"/>
        <w:rPr>
          <w:sz w:val="20"/>
          <w:szCs w:val="20"/>
          <w:color w:val="auto"/>
        </w:rPr>
      </w:pPr>
    </w:p>
    <w:p>
      <w:pPr>
        <w:ind w:left="760" w:right="100"/>
        <w:spacing w:after="0" w:line="251" w:lineRule="auto"/>
        <w:rPr>
          <w:sz w:val="20"/>
          <w:szCs w:val="20"/>
          <w:color w:val="auto"/>
        </w:rPr>
      </w:pPr>
      <w:r>
        <w:rPr>
          <w:rFonts w:ascii="Arial" w:cs="Arial" w:eastAsia="Arial" w:hAnsi="Arial"/>
          <w:sz w:val="18"/>
          <w:szCs w:val="18"/>
          <w:color w:val="auto"/>
        </w:rPr>
        <w:t>To be considered for inclusion in next year’s proxy statement and form of proxy, stockholder proposals for the 2026 Annual Meeting of Stockholders must be received at our principal executive offices no later than December 27, 2025, unless the date of the 2026 Annual Meeting of Stockholders is more than 30 days before or after June 2, 2026, in which case the stockholder proposal must be received a reasonable time before we begin to print and mail our proxy materials.</w:t>
      </w:r>
    </w:p>
    <w:p>
      <w:pPr>
        <w:spacing w:after="0" w:line="65" w:lineRule="exact"/>
        <w:rPr>
          <w:sz w:val="20"/>
          <w:szCs w:val="20"/>
          <w:color w:val="auto"/>
        </w:rPr>
      </w:pPr>
    </w:p>
    <w:p>
      <w:pPr>
        <w:ind w:left="760" w:right="180"/>
        <w:spacing w:after="0" w:line="255" w:lineRule="auto"/>
        <w:rPr>
          <w:sz w:val="20"/>
          <w:szCs w:val="20"/>
          <w:color w:val="auto"/>
        </w:rPr>
      </w:pPr>
      <w:r>
        <w:rPr>
          <w:rFonts w:ascii="Arial" w:cs="Arial" w:eastAsia="Arial" w:hAnsi="Arial"/>
          <w:sz w:val="17"/>
          <w:szCs w:val="17"/>
          <w:color w:val="auto"/>
        </w:rPr>
        <w:t>For any stockholder proposal or director nomination that is not submitted for inclusion in next year’s proxy statement pursuant to the process set forth above but is instead sought to be presented directly at the 2026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6, 2026, and March 8, 2026, for the 2026 Annual Meeting of Stockholders. In the event that the 2024 Annual Meeting of Stockholders is convened more than 30 days prior to or delayed by more than</w:t>
      </w:r>
    </w:p>
    <w:p>
      <w:pPr>
        <w:spacing w:after="0" w:line="3" w:lineRule="exact"/>
        <w:rPr>
          <w:sz w:val="20"/>
          <w:szCs w:val="20"/>
          <w:color w:val="auto"/>
        </w:rPr>
      </w:pPr>
    </w:p>
    <w:p>
      <w:pPr>
        <w:ind w:left="760" w:right="100"/>
        <w:spacing w:after="0" w:line="245" w:lineRule="auto"/>
        <w:rPr>
          <w:sz w:val="20"/>
          <w:szCs w:val="20"/>
          <w:color w:val="auto"/>
        </w:rPr>
      </w:pPr>
      <w:r>
        <w:rPr>
          <w:rFonts w:ascii="Arial" w:cs="Arial" w:eastAsia="Arial" w:hAnsi="Arial"/>
          <w:sz w:val="18"/>
          <w:szCs w:val="18"/>
          <w:color w:val="auto"/>
        </w:rPr>
        <w:t>60 days after June 2, 2025, notice by the stockholder, to be timely, must be received no earlier than the 120th day prior to the 2025 Annual Meeting of Stockholders and no later than the later of (1) the 90th day prior to the 2026 Annual Meeting of stockholders and (2) the tenth day following the day on which we notify stockholders of the date of the 2026 Annual Meeting of Stockholders, either by mail or other public disclosure.</w:t>
      </w:r>
    </w:p>
    <w:p>
      <w:pPr>
        <w:spacing w:after="0" w:line="82"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7, 2026.</w:t>
      </w:r>
    </w:p>
    <w:p>
      <w:pPr>
        <w:spacing w:after="0" w:line="74" w:lineRule="exact"/>
        <w:rPr>
          <w:sz w:val="20"/>
          <w:szCs w:val="20"/>
          <w:color w:val="auto"/>
        </w:rPr>
      </w:pPr>
    </w:p>
    <w:p>
      <w:pPr>
        <w:ind w:left="760" w:right="400"/>
        <w:spacing w:after="0" w:line="271" w:lineRule="auto"/>
        <w:rPr>
          <w:sz w:val="20"/>
          <w:szCs w:val="20"/>
          <w:color w:val="auto"/>
        </w:rPr>
      </w:pPr>
      <w:r>
        <w:rPr>
          <w:rFonts w:ascii="Arial" w:cs="Arial" w:eastAsia="Arial" w:hAnsi="Arial"/>
          <w:sz w:val="18"/>
          <w:szCs w:val="18"/>
          <w:color w:val="auto"/>
        </w:rPr>
        <w:t>All stockholder proposals should be sent to our principal executive offices at Virtu Financial, Inc., 1633 Broadway, New York, New York 10019, Attn: Secretary.</w:t>
      </w:r>
    </w:p>
    <w:p>
      <w:pPr>
        <w:spacing w:after="0" w:line="46" w:lineRule="exact"/>
        <w:rPr>
          <w:sz w:val="20"/>
          <w:szCs w:val="20"/>
          <w:color w:val="auto"/>
        </w:rPr>
      </w:pPr>
    </w:p>
    <w:p>
      <w:pPr>
        <w:jc w:val="both"/>
        <w:ind w:left="760" w:right="200"/>
        <w:spacing w:after="0" w:line="261" w:lineRule="auto"/>
        <w:rPr>
          <w:sz w:val="20"/>
          <w:szCs w:val="20"/>
          <w:color w:val="auto"/>
        </w:rPr>
      </w:pPr>
      <w:r>
        <w:rPr>
          <w:rFonts w:ascii="Arial" w:cs="Arial" w:eastAsia="Arial" w:hAnsi="Arial"/>
          <w:sz w:val="18"/>
          <w:szCs w:val="18"/>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Consideration of Stockholder 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jc w:val="both"/>
        <w:ind w:left="760" w:right="240"/>
        <w:spacing w:after="0" w:line="261" w:lineRule="auto"/>
        <w:rPr>
          <w:sz w:val="20"/>
          <w:szCs w:val="20"/>
          <w:color w:val="auto"/>
        </w:rPr>
      </w:pPr>
      <w:r>
        <w:rPr>
          <w:rFonts w:ascii="Arial" w:cs="Arial" w:eastAsia="Arial" w:hAnsi="Arial"/>
          <w:sz w:val="17"/>
          <w:szCs w:val="17"/>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1633 Broadway, New York, New York 10019, Attn: Secretary.</w:t>
      </w:r>
    </w:p>
    <w:p>
      <w:pPr>
        <w:spacing w:after="0" w:line="86" w:lineRule="exact"/>
        <w:rPr>
          <w:sz w:val="20"/>
          <w:szCs w:val="20"/>
          <w:color w:val="auto"/>
        </w:rPr>
      </w:pPr>
    </w:p>
    <w:p>
      <w:pPr>
        <w:ind w:left="760" w:right="200"/>
        <w:spacing w:after="0" w:line="246" w:lineRule="auto"/>
        <w:rPr>
          <w:sz w:val="20"/>
          <w:szCs w:val="20"/>
          <w:color w:val="auto"/>
        </w:rPr>
      </w:pPr>
      <w:r>
        <w:rPr>
          <w:rFonts w:ascii="Arial" w:cs="Arial" w:eastAsia="Arial" w:hAnsi="Arial"/>
          <w:sz w:val="18"/>
          <w:szCs w:val="18"/>
          <w:color w:val="auto"/>
        </w:rPr>
        <w:t>As required by our bylaws, stockholders should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 the Nominating and Corporate Governance Committee. In the event of any stockholder recommendations, the Nominating and Corporate Governance Committee will evaluate the persons recommended in the same manner as other candidates.</w:t>
      </w:r>
    </w:p>
    <w:p>
      <w:pPr>
        <w:spacing w:after="0" w:line="2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ADDITIONAL INFORMATION</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80"/>
        <w:spacing w:after="0" w:line="268" w:lineRule="auto"/>
        <w:rPr>
          <w:sz w:val="20"/>
          <w:szCs w:val="20"/>
          <w:color w:val="auto"/>
        </w:rPr>
      </w:pPr>
      <w:r>
        <w:rPr>
          <w:rFonts w:ascii="Arial" w:cs="Arial" w:eastAsia="Arial" w:hAnsi="Arial"/>
          <w:sz w:val="18"/>
          <w:szCs w:val="18"/>
          <w:color w:val="auto"/>
        </w:rPr>
        <w:t>Any stockholder or other interested party may contact our board of directors as a group, our non-employee directors as a group, or any individual director by sending written correspondence to the following address: Virtu Financial, Inc., 1633 Broadway, New York, New York 10019, Attn: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6840855</wp:posOffset>
            </wp:positionV>
            <wp:extent cx="754380" cy="2400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General Information</w:t>
      </w:r>
    </w:p>
    <w:p>
      <w:pPr>
        <w:spacing w:after="0" w:line="132" w:lineRule="exact"/>
        <w:rPr>
          <w:sz w:val="20"/>
          <w:szCs w:val="20"/>
          <w:color w:val="auto"/>
        </w:rPr>
      </w:pPr>
    </w:p>
    <w:p>
      <w:pPr>
        <w:ind w:left="760" w:right="100"/>
        <w:spacing w:after="0" w:line="259" w:lineRule="auto"/>
        <w:rPr>
          <w:sz w:val="20"/>
          <w:szCs w:val="20"/>
          <w:color w:val="auto"/>
        </w:rPr>
      </w:pPr>
      <w:r>
        <w:rPr>
          <w:rFonts w:ascii="Arial" w:cs="Arial" w:eastAsia="Arial" w:hAnsi="Arial"/>
          <w:sz w:val="17"/>
          <w:szCs w:val="17"/>
          <w:color w:val="auto"/>
        </w:rPr>
        <w:t>We are making this proxy statement available to our stockholders on or about April 23, 2025 in connection with the solicitation of proxies by our board of directors for the Annual Meeting, which will be held on Monday, June 2, 2025 at</w:t>
      </w:r>
    </w:p>
    <w:p>
      <w:pPr>
        <w:spacing w:after="0" w:line="1" w:lineRule="exact"/>
        <w:rPr>
          <w:sz w:val="20"/>
          <w:szCs w:val="20"/>
          <w:color w:val="auto"/>
        </w:rPr>
      </w:pPr>
    </w:p>
    <w:p>
      <w:pPr>
        <w:ind w:left="760" w:right="340"/>
        <w:spacing w:after="0"/>
        <w:rPr>
          <w:sz w:val="20"/>
          <w:szCs w:val="20"/>
          <w:color w:val="auto"/>
        </w:rPr>
      </w:pPr>
      <w:r>
        <w:rPr>
          <w:rFonts w:ascii="Arial" w:cs="Arial" w:eastAsia="Arial" w:hAnsi="Arial"/>
          <w:sz w:val="17"/>
          <w:szCs w:val="17"/>
          <w:color w:val="auto"/>
        </w:rPr>
        <w:t>9:00 a.m. (Eastern Time) via webcast through the provided link. As a stockholder of Virtu, you are invited to attend the Virtual Annual Meeting and are entitled and encouraged to vote on the proposals described in this proxy</w:t>
      </w:r>
    </w:p>
    <w:p>
      <w:pPr>
        <w:spacing w:after="0" w:line="1" w:lineRule="exact"/>
        <w:rPr>
          <w:sz w:val="20"/>
          <w:szCs w:val="20"/>
          <w:color w:val="auto"/>
        </w:rPr>
      </w:pPr>
    </w:p>
    <w:p>
      <w:pPr>
        <w:ind w:left="760" w:right="360"/>
        <w:spacing w:after="0" w:line="250" w:lineRule="auto"/>
        <w:rPr>
          <w:sz w:val="20"/>
          <w:szCs w:val="20"/>
          <w:color w:val="auto"/>
        </w:rPr>
      </w:pPr>
      <w:r>
        <w:rPr>
          <w:rFonts w:ascii="Arial" w:cs="Arial" w:eastAsia="Arial" w:hAnsi="Arial"/>
          <w:sz w:val="18"/>
          <w:szCs w:val="18"/>
          <w:color w:val="auto"/>
        </w:rPr>
        <w:t>statement. Below are answers to common questions stockholders may have about the Annual Meeting. Our fiscal year ends on December 31.</w:t>
      </w:r>
    </w:p>
    <w:p>
      <w:pPr>
        <w:spacing w:after="0" w:line="50" w:lineRule="exact"/>
        <w:rPr>
          <w:sz w:val="20"/>
          <w:szCs w:val="20"/>
          <w:color w:val="auto"/>
        </w:rPr>
      </w:pPr>
    </w:p>
    <w:p>
      <w:pPr>
        <w:ind w:left="760" w:right="100"/>
        <w:spacing w:after="0" w:line="275" w:lineRule="auto"/>
        <w:rPr>
          <w:sz w:val="20"/>
          <w:szCs w:val="20"/>
          <w:color w:val="auto"/>
        </w:rPr>
      </w:pPr>
      <w:r>
        <w:rPr>
          <w:rFonts w:ascii="Arial" w:cs="Arial" w:eastAsia="Arial" w:hAnsi="Arial"/>
          <w:sz w:val="17"/>
          <w:szCs w:val="17"/>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30" w:lineRule="exact"/>
        <w:rPr>
          <w:sz w:val="20"/>
          <w:szCs w:val="20"/>
          <w:color w:val="auto"/>
        </w:rPr>
      </w:pPr>
    </w:p>
    <w:p>
      <w:pPr>
        <w:ind w:left="760" w:right="320"/>
        <w:spacing w:after="0" w:line="259" w:lineRule="auto"/>
        <w:rPr>
          <w:sz w:val="20"/>
          <w:szCs w:val="20"/>
          <w:color w:val="auto"/>
        </w:rPr>
      </w:pPr>
      <w:r>
        <w:rPr>
          <w:rFonts w:ascii="Arial" w:cs="Arial" w:eastAsia="Arial" w:hAnsi="Arial"/>
          <w:sz w:val="17"/>
          <w:szCs w:val="17"/>
          <w:color w:val="auto"/>
        </w:rPr>
        <w:t>The Founder Member, an affiliate of Mr. Vincent Viola, our founder and Chairman Emeritus, and other members of the Viola family, holds all of our issued and outstanding Class D common stock and controls approximately 87% of</w:t>
      </w:r>
    </w:p>
    <w:p>
      <w:pPr>
        <w:spacing w:after="0" w:line="1" w:lineRule="exact"/>
        <w:rPr>
          <w:sz w:val="20"/>
          <w:szCs w:val="20"/>
          <w:color w:val="auto"/>
        </w:rPr>
      </w:pPr>
    </w:p>
    <w:p>
      <w:pPr>
        <w:ind w:left="760" w:right="120"/>
        <w:spacing w:after="0"/>
        <w:rPr>
          <w:sz w:val="20"/>
          <w:szCs w:val="20"/>
          <w:color w:val="auto"/>
        </w:rPr>
      </w:pPr>
      <w:r>
        <w:rPr>
          <w:rFonts w:ascii="Arial" w:cs="Arial" w:eastAsia="Arial" w:hAnsi="Arial"/>
          <w:sz w:val="17"/>
          <w:szCs w:val="17"/>
          <w:color w:val="auto"/>
        </w:rPr>
        <w:t>the combined voting power of our outstanding common stock. As a result, it is able to control any action requiring the general approval of our stockholders, including the election of our board of directors, the adoption of amendments to</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certificate of incorporation and bylaws and the approval of any merger or sale of substantially all of our assets.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information is included in this proxy statement?</w:t>
      </w:r>
    </w:p>
    <w:p>
      <w:pPr>
        <w:spacing w:after="0" w:line="102" w:lineRule="exact"/>
        <w:rPr>
          <w:sz w:val="20"/>
          <w:szCs w:val="20"/>
          <w:color w:val="auto"/>
        </w:rPr>
      </w:pPr>
    </w:p>
    <w:p>
      <w:pPr>
        <w:ind w:left="760" w:right="300"/>
        <w:spacing w:after="0" w:line="253" w:lineRule="auto"/>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our board of directors and board committees, the compensation of current directors and certain executive officers for the year ended December 31, 2024, and other information.</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are the Proxy Materials?</w:t>
      </w:r>
    </w:p>
    <w:p>
      <w:pPr>
        <w:spacing w:after="0" w:line="102" w:lineRule="exact"/>
        <w:rPr>
          <w:sz w:val="20"/>
          <w:szCs w:val="20"/>
          <w:color w:val="auto"/>
        </w:rPr>
      </w:pPr>
    </w:p>
    <w:p>
      <w:pPr>
        <w:ind w:left="760" w:right="480"/>
        <w:spacing w:after="0" w:line="271" w:lineRule="auto"/>
        <w:rPr>
          <w:sz w:val="20"/>
          <w:szCs w:val="20"/>
          <w:color w:val="auto"/>
        </w:rPr>
      </w:pPr>
      <w:r>
        <w:rPr>
          <w:rFonts w:ascii="Arial" w:cs="Arial" w:eastAsia="Arial" w:hAnsi="Arial"/>
          <w:sz w:val="18"/>
          <w:szCs w:val="18"/>
          <w:color w:val="auto"/>
        </w:rPr>
        <w:t>The “Proxy Materials” are this proxy statement and our annual report to stockholders, which includes the Annual Report on Form 10-K for the fiscal year ended December 31, 2024.</w:t>
      </w:r>
    </w:p>
    <w:p>
      <w:pPr>
        <w:spacing w:after="0" w:line="48" w:lineRule="exact"/>
        <w:rPr>
          <w:sz w:val="20"/>
          <w:szCs w:val="20"/>
          <w:color w:val="auto"/>
        </w:rPr>
      </w:pPr>
    </w:p>
    <w:p>
      <w:pPr>
        <w:ind w:left="760" w:right="440"/>
        <w:spacing w:after="0" w:line="263" w:lineRule="auto"/>
        <w:rPr>
          <w:sz w:val="20"/>
          <w:szCs w:val="20"/>
          <w:color w:val="auto"/>
        </w:rPr>
      </w:pPr>
      <w:r>
        <w:rPr>
          <w:rFonts w:ascii="Arial" w:cs="Arial" w:eastAsia="Arial" w:hAnsi="Arial"/>
          <w:sz w:val="18"/>
          <w:szCs w:val="18"/>
          <w:b w:val="1"/>
          <w:bCs w:val="1"/>
          <w:i w:val="1"/>
          <w:iCs w:val="1"/>
          <w:color w:val="00C08A"/>
        </w:rPr>
        <w:t>Why did I receive a one-page notice in the mail regarding the Internet availability of the Proxy Materials instead of a full set of the Proxy Materials?</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rules adopted by the SEC, we have elected to provide access to our Proxy Materials over the Internet.</w:t>
      </w:r>
    </w:p>
    <w:p>
      <w:pPr>
        <w:spacing w:after="0" w:line="14" w:lineRule="exact"/>
        <w:rPr>
          <w:sz w:val="20"/>
          <w:szCs w:val="20"/>
          <w:color w:val="auto"/>
        </w:rPr>
      </w:pPr>
    </w:p>
    <w:p>
      <w:pPr>
        <w:ind w:left="760" w:right="280"/>
        <w:spacing w:after="0"/>
        <w:rPr>
          <w:sz w:val="20"/>
          <w:szCs w:val="20"/>
          <w:color w:val="auto"/>
        </w:rPr>
      </w:pPr>
      <w:r>
        <w:rPr>
          <w:rFonts w:ascii="Arial" w:cs="Arial" w:eastAsia="Arial" w:hAnsi="Arial"/>
          <w:sz w:val="17"/>
          <w:szCs w:val="17"/>
          <w:color w:val="auto"/>
        </w:rPr>
        <w:t>Accordingly, we are sending a Notice of Internet Availability of Proxy Materials to our stockholders. All stockholders will have the ability to access the Proxy Materials on the website referred to in the Notice of Internet Availability of</w:t>
      </w:r>
    </w:p>
    <w:p>
      <w:pPr>
        <w:ind w:left="760"/>
        <w:spacing w:after="0" w:line="235" w:lineRule="auto"/>
        <w:rPr>
          <w:sz w:val="20"/>
          <w:szCs w:val="20"/>
          <w:color w:val="auto"/>
        </w:rPr>
      </w:pPr>
      <w:r>
        <w:rPr>
          <w:rFonts w:ascii="Arial" w:cs="Arial" w:eastAsia="Arial" w:hAnsi="Arial"/>
          <w:sz w:val="18"/>
          <w:szCs w:val="18"/>
          <w:color w:val="auto"/>
        </w:rPr>
        <w:t>Proxy Materials or request to receive an electronic copy or printed set of the Proxy Materials. Instructions on how to</w:t>
      </w:r>
    </w:p>
    <w:p>
      <w:pPr>
        <w:ind w:left="760" w:right="140"/>
        <w:spacing w:after="0"/>
        <w:rPr>
          <w:sz w:val="20"/>
          <w:szCs w:val="20"/>
          <w:color w:val="auto"/>
        </w:rPr>
      </w:pPr>
      <w:r>
        <w:rPr>
          <w:rFonts w:ascii="Arial" w:cs="Arial" w:eastAsia="Arial" w:hAnsi="Arial"/>
          <w:sz w:val="17"/>
          <w:szCs w:val="17"/>
          <w:color w:val="auto"/>
        </w:rPr>
        <w:t>access the Proxy Materials over the Internet or to request an electronic copy or printed copy may be found in the Notice of Internet Availability of Proxy Materials. In addition, stockholders may request to receive the Proxy Materials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printed form by mail or electronically by email on an ongoing basis.</w:t>
      </w:r>
    </w:p>
    <w:p>
      <w:pPr>
        <w:spacing w:after="0" w:line="101" w:lineRule="exact"/>
        <w:rPr>
          <w:sz w:val="20"/>
          <w:szCs w:val="20"/>
          <w:color w:val="auto"/>
        </w:rPr>
      </w:pPr>
    </w:p>
    <w:p>
      <w:pPr>
        <w:ind w:left="760" w:right="260"/>
        <w:spacing w:after="0" w:line="278" w:lineRule="auto"/>
        <w:rPr>
          <w:sz w:val="20"/>
          <w:szCs w:val="20"/>
          <w:color w:val="auto"/>
        </w:rPr>
      </w:pPr>
      <w:r>
        <w:rPr>
          <w:rFonts w:ascii="Arial" w:cs="Arial" w:eastAsia="Arial" w:hAnsi="Arial"/>
          <w:sz w:val="18"/>
          <w:szCs w:val="18"/>
          <w:b w:val="1"/>
          <w:bCs w:val="1"/>
          <w:i w:val="1"/>
          <w:iCs w:val="1"/>
          <w:color w:val="00C08A"/>
        </w:rPr>
        <w:t>What items will be voted on at the Annual Meeting and how does the board of directors recommend that I vote?</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five proposals to be voted on at the Annual Meeting:</w:t>
      </w:r>
    </w:p>
    <w:p>
      <w:pPr>
        <w:spacing w:after="0" w:line="117" w:lineRule="exact"/>
        <w:rPr>
          <w:sz w:val="20"/>
          <w:szCs w:val="20"/>
          <w:color w:val="auto"/>
        </w:rPr>
      </w:pPr>
    </w:p>
    <w:p>
      <w:pPr>
        <w:ind w:left="1340" w:right="60" w:hanging="218"/>
        <w:spacing w:after="0" w:line="268"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elect four directors to our board of directors, each to serve as a Class III director for a term of three years expiring at the annual meeting of stockholders to be held in 2027 and until such director’s successor has been duly elected and qualified;</w:t>
      </w:r>
    </w:p>
    <w:p>
      <w:pPr>
        <w:spacing w:after="0" w:line="49" w:lineRule="exact"/>
        <w:rPr>
          <w:rFonts w:ascii="Arial" w:cs="Arial" w:eastAsia="Arial" w:hAnsi="Arial"/>
          <w:sz w:val="18"/>
          <w:szCs w:val="18"/>
          <w:color w:val="002453"/>
        </w:rPr>
      </w:pPr>
    </w:p>
    <w:p>
      <w:pPr>
        <w:ind w:left="1340" w:right="620" w:hanging="218"/>
        <w:spacing w:after="0" w:line="287"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31" w:lineRule="exact"/>
        <w:rPr>
          <w:rFonts w:ascii="Arial" w:cs="Arial" w:eastAsia="Arial" w:hAnsi="Arial"/>
          <w:sz w:val="18"/>
          <w:szCs w:val="18"/>
          <w:color w:val="002453"/>
        </w:rPr>
      </w:pPr>
    </w:p>
    <w:p>
      <w:pPr>
        <w:ind w:left="1340" w:right="420" w:hanging="218"/>
        <w:spacing w:after="0" w:line="287"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approve, on an advisory basis, the frequency (every one, two or three years) of future advisory votes to approve the compensation of our named executive officers;</w:t>
      </w:r>
    </w:p>
    <w:p>
      <w:pPr>
        <w:spacing w:after="0" w:line="44" w:lineRule="exact"/>
        <w:rPr>
          <w:rFonts w:ascii="Arial" w:cs="Arial" w:eastAsia="Arial" w:hAnsi="Arial"/>
          <w:sz w:val="18"/>
          <w:szCs w:val="18"/>
          <w:color w:val="002453"/>
        </w:rPr>
      </w:pPr>
    </w:p>
    <w:p>
      <w:pPr>
        <w:ind w:left="1340" w:right="340" w:hanging="218"/>
        <w:spacing w:after="0" w:line="287"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ratify the appointment of PricewaterhouseCoopers LLP as our independent registered public accounting firm for the fiscal year ending December 31, 2025; and</w:t>
      </w:r>
    </w:p>
    <w:p>
      <w:pPr>
        <w:spacing w:after="0" w:line="31" w:lineRule="exact"/>
        <w:rPr>
          <w:rFonts w:ascii="Arial" w:cs="Arial" w:eastAsia="Arial" w:hAnsi="Arial"/>
          <w:sz w:val="18"/>
          <w:szCs w:val="18"/>
          <w:color w:val="002453"/>
        </w:rPr>
      </w:pPr>
    </w:p>
    <w:p>
      <w:pPr>
        <w:ind w:left="1340" w:right="200" w:hanging="218"/>
        <w:spacing w:after="0" w:line="268"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approve the Second Amended Plan to increase the number of shares authorized for issuance thereunder, extend the expiration date thereof and remove certain provisions related to Section 162(m) of the Code that are no longer applicable.</w:t>
      </w:r>
    </w:p>
    <w:p>
      <w:pPr>
        <w:spacing w:after="0" w:line="26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recommends that you vote FOR each of the five proposals.</w:t>
      </w:r>
    </w:p>
    <w:p>
      <w:pPr>
        <w:spacing w:after="0" w:line="117"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Our amended and restated bylaws (our “</w:t>
      </w:r>
      <w:r>
        <w:rPr>
          <w:rFonts w:ascii="Arial" w:cs="Arial" w:eastAsia="Arial" w:hAnsi="Arial"/>
          <w:sz w:val="18"/>
          <w:szCs w:val="18"/>
          <w:b w:val="1"/>
          <w:bCs w:val="1"/>
          <w:color w:val="auto"/>
        </w:rPr>
        <w:t>bylaws</w:t>
      </w:r>
      <w:r>
        <w:rPr>
          <w:rFonts w:ascii="Arial" w:cs="Arial" w:eastAsia="Arial" w:hAnsi="Arial"/>
          <w:sz w:val="18"/>
          <w:szCs w:val="18"/>
          <w:color w:val="auto"/>
        </w:rPr>
        <w:t>”)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 come before the Annual Meeting. If any other matter comes before the Annual Meeting, the proxy holders appointed by our board of directors will have discretion to vote on those matters.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 may vote at the meeting?</w:t>
      </w:r>
    </w:p>
    <w:p>
      <w:pPr>
        <w:spacing w:after="0" w:line="115"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Holders of Class A common stock, Class C common stock and Class D common stock, together as a single class, as of the close of business on April 11, 2025, the Record Date, may vote at the Annual Meeting.</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many votes do I have?</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the Record Date, there were:</w:t>
      </w:r>
    </w:p>
    <w:p>
      <w:pPr>
        <w:spacing w:after="0" w:line="117" w:lineRule="exact"/>
        <w:rPr>
          <w:sz w:val="20"/>
          <w:szCs w:val="20"/>
          <w:color w:val="auto"/>
        </w:rPr>
      </w:pPr>
    </w:p>
    <w:p>
      <w:pPr>
        <w:ind w:left="1340" w:hanging="218"/>
        <w:spacing w:after="0"/>
        <w:tabs>
          <w:tab w:leader="none" w:pos="1340" w:val="left"/>
        </w:tabs>
        <w:numPr>
          <w:ilvl w:val="0"/>
          <w:numId w:val="53"/>
        </w:numPr>
        <w:rPr>
          <w:rFonts w:ascii="Arial" w:cs="Arial" w:eastAsia="Arial" w:hAnsi="Arial"/>
          <w:sz w:val="18"/>
          <w:szCs w:val="18"/>
          <w:color w:val="002453"/>
        </w:rPr>
      </w:pPr>
      <w:r>
        <w:rPr>
          <w:rFonts w:ascii="Arial" w:cs="Arial" w:eastAsia="Arial" w:hAnsi="Arial"/>
          <w:sz w:val="18"/>
          <w:szCs w:val="18"/>
          <w:color w:val="auto"/>
        </w:rPr>
        <w:t>86,142,860 shares of Class A common stock outstanding;</w:t>
      </w:r>
    </w:p>
    <w:p>
      <w:pPr>
        <w:spacing w:after="0" w:line="76" w:lineRule="exact"/>
        <w:rPr>
          <w:rFonts w:ascii="Arial" w:cs="Arial" w:eastAsia="Arial" w:hAnsi="Arial"/>
          <w:sz w:val="18"/>
          <w:szCs w:val="18"/>
          <w:color w:val="002453"/>
        </w:rPr>
      </w:pPr>
    </w:p>
    <w:p>
      <w:pPr>
        <w:ind w:left="1340" w:hanging="218"/>
        <w:spacing w:after="0"/>
        <w:tabs>
          <w:tab w:leader="none" w:pos="1340" w:val="left"/>
        </w:tabs>
        <w:numPr>
          <w:ilvl w:val="0"/>
          <w:numId w:val="53"/>
        </w:numPr>
        <w:rPr>
          <w:rFonts w:ascii="Arial" w:cs="Arial" w:eastAsia="Arial" w:hAnsi="Arial"/>
          <w:sz w:val="18"/>
          <w:szCs w:val="18"/>
          <w:color w:val="002453"/>
        </w:rPr>
      </w:pPr>
      <w:r>
        <w:rPr>
          <w:rFonts w:ascii="Arial" w:cs="Arial" w:eastAsia="Arial" w:hAnsi="Arial"/>
          <w:sz w:val="18"/>
          <w:szCs w:val="18"/>
          <w:color w:val="auto"/>
        </w:rPr>
        <w:t>8,194,847 shares of Class C common stock outstanding; and</w:t>
      </w:r>
    </w:p>
    <w:p>
      <w:pPr>
        <w:spacing w:after="0" w:line="76" w:lineRule="exact"/>
        <w:rPr>
          <w:rFonts w:ascii="Arial" w:cs="Arial" w:eastAsia="Arial" w:hAnsi="Arial"/>
          <w:sz w:val="18"/>
          <w:szCs w:val="18"/>
          <w:color w:val="002453"/>
        </w:rPr>
      </w:pPr>
    </w:p>
    <w:p>
      <w:pPr>
        <w:ind w:left="1340" w:hanging="218"/>
        <w:spacing w:after="0"/>
        <w:tabs>
          <w:tab w:leader="none" w:pos="1340" w:val="left"/>
        </w:tabs>
        <w:numPr>
          <w:ilvl w:val="0"/>
          <w:numId w:val="53"/>
        </w:numPr>
        <w:rPr>
          <w:rFonts w:ascii="Arial" w:cs="Arial" w:eastAsia="Arial" w:hAnsi="Arial"/>
          <w:sz w:val="18"/>
          <w:szCs w:val="18"/>
          <w:color w:val="002453"/>
        </w:rPr>
      </w:pPr>
      <w:r>
        <w:rPr>
          <w:rFonts w:ascii="Arial" w:cs="Arial" w:eastAsia="Arial" w:hAnsi="Arial"/>
          <w:sz w:val="18"/>
          <w:szCs w:val="18"/>
          <w:color w:val="auto"/>
        </w:rPr>
        <w:t>60,091,740 shares of Class D common stock outstanding.</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shares of Class B common stock outstanding.</w:t>
      </w:r>
    </w:p>
    <w:p>
      <w:pPr>
        <w:spacing w:after="0" w:line="117"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vote is required for each proposal?</w:t>
      </w:r>
    </w:p>
    <w:p>
      <w:pPr>
        <w:spacing w:after="0" w:line="115"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We do not have cumulative voting.</w:t>
      </w:r>
    </w:p>
    <w:p>
      <w:pPr>
        <w:spacing w:after="0" w:line="61"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approval, on an advisory basis, of the compensation of our named executive officers, the ratification of the appointment of the Company’s independent registered public accounting firm for the fiscal year ending December 31, 2025, and any other proposals that may come before the Annual Meeting will be determined by the affirmative vote of a majority in voting power of shares of stock present or represented by proxy and entitled to vote thereon.</w:t>
      </w:r>
    </w:p>
    <w:p>
      <w:pPr>
        <w:spacing w:after="0" w:line="76" w:lineRule="exact"/>
        <w:rPr>
          <w:sz w:val="20"/>
          <w:szCs w:val="20"/>
          <w:color w:val="auto"/>
        </w:rPr>
      </w:pPr>
    </w:p>
    <w:p>
      <w:pPr>
        <w:jc w:val="both"/>
        <w:ind w:left="760" w:right="220"/>
        <w:spacing w:after="0" w:line="275" w:lineRule="auto"/>
        <w:rPr>
          <w:sz w:val="20"/>
          <w:szCs w:val="20"/>
          <w:color w:val="auto"/>
        </w:rPr>
      </w:pPr>
      <w:r>
        <w:rPr>
          <w:rFonts w:ascii="Arial" w:cs="Arial" w:eastAsia="Arial" w:hAnsi="Arial"/>
          <w:sz w:val="17"/>
          <w:szCs w:val="17"/>
          <w:color w:val="auto"/>
        </w:rPr>
        <w:t>The Founder Member controls approximately 87% of the combined voting power of our outstanding common stock and, as a result, controls any action requiring the general approval of our stockholders, including the election of our board of directors. The Founder Member has informed us that it intends to vote “FOR” the four nominated directors.</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are abstentions and broker non-votes counted?</w:t>
      </w:r>
    </w:p>
    <w:p>
      <w:pPr>
        <w:spacing w:after="0" w:line="115" w:lineRule="exact"/>
        <w:rPr>
          <w:sz w:val="20"/>
          <w:szCs w:val="20"/>
          <w:color w:val="auto"/>
        </w:rPr>
      </w:pPr>
    </w:p>
    <w:p>
      <w:pPr>
        <w:ind w:left="760" w:right="160"/>
        <w:spacing w:after="0" w:line="246" w:lineRule="auto"/>
        <w:rPr>
          <w:sz w:val="20"/>
          <w:szCs w:val="20"/>
          <w:color w:val="auto"/>
        </w:rPr>
      </w:pPr>
      <w:r>
        <w:rPr>
          <w:rFonts w:ascii="Arial" w:cs="Arial" w:eastAsia="Arial" w:hAnsi="Arial"/>
          <w:sz w:val="18"/>
          <w:szCs w:val="18"/>
          <w:color w:val="auto"/>
        </w:rPr>
        <w:t>For the purposes of Proposal 1, abstentions (shares present at the meeting or by proxy that are voted “abstain”) and broker non-votes (explained below) are counted for the purpose of establishing the presence of a quorum but have no effect. For the purposes of Proposal 2 and 3, broker non-votes have no effect, and abstentions have the same effect as a vote “against” the proposal. For the purposes of Proposal 4, abstentions have the same effect as a vote “against” the proposal, and broker non-votes are not expected as the proposal is a “routine” proposal. For the purposes of Proposal 5, broker non-votes have no effect, and abstentions have the same effect as a vote “against” the proposal.</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constitutes a “quorum”?</w:t>
      </w:r>
    </w:p>
    <w:p>
      <w:pPr>
        <w:spacing w:after="0" w:line="115" w:lineRule="exact"/>
        <w:rPr>
          <w:sz w:val="20"/>
          <w:szCs w:val="20"/>
          <w:color w:val="auto"/>
        </w:rPr>
      </w:pPr>
    </w:p>
    <w:p>
      <w:pPr>
        <w:ind w:left="760" w:right="200"/>
        <w:spacing w:after="0" w:line="261" w:lineRule="auto"/>
        <w:rPr>
          <w:sz w:val="20"/>
          <w:szCs w:val="20"/>
          <w:color w:val="auto"/>
        </w:rPr>
      </w:pPr>
      <w:r>
        <w:rPr>
          <w:rFonts w:ascii="Arial" w:cs="Arial" w:eastAsia="Arial" w:hAnsi="Arial"/>
          <w:sz w:val="18"/>
          <w:szCs w:val="18"/>
          <w:color w:val="auto"/>
        </w:rPr>
        <w:t>The holders of a majority of the voting power of the combined shares of Class A common stock, Class B common stock, Class C common stock and Class D common stock issued, outstanding and entitled to vote, either present or represented by proxy, constitute a quorum.</w:t>
      </w:r>
    </w:p>
    <w:p>
      <w:pPr>
        <w:spacing w:after="0" w:line="56" w:lineRule="exact"/>
        <w:rPr>
          <w:sz w:val="20"/>
          <w:szCs w:val="20"/>
          <w:color w:val="auto"/>
        </w:rPr>
      </w:pPr>
    </w:p>
    <w:p>
      <w:pPr>
        <w:ind w:left="760" w:right="560"/>
        <w:spacing w:after="0" w:line="278" w:lineRule="auto"/>
        <w:rPr>
          <w:sz w:val="20"/>
          <w:szCs w:val="20"/>
          <w:color w:val="auto"/>
        </w:rPr>
      </w:pPr>
      <w:r>
        <w:rPr>
          <w:rFonts w:ascii="Arial" w:cs="Arial" w:eastAsia="Arial" w:hAnsi="Arial"/>
          <w:sz w:val="18"/>
          <w:szCs w:val="18"/>
          <w:b w:val="1"/>
          <w:bCs w:val="1"/>
          <w:i w:val="1"/>
          <w:iCs w:val="1"/>
          <w:color w:val="00C08A"/>
        </w:rPr>
        <w:t>What is the difference between a stockholder of record and a beneficial owner of shares held in street name?</w:t>
      </w:r>
    </w:p>
    <w:p>
      <w:pPr>
        <w:spacing w:after="0" w:line="31" w:lineRule="exact"/>
        <w:rPr>
          <w:sz w:val="20"/>
          <w:szCs w:val="20"/>
          <w:color w:val="auto"/>
        </w:rPr>
      </w:pPr>
    </w:p>
    <w:p>
      <w:pPr>
        <w:ind w:left="1340" w:right="400" w:hanging="218"/>
        <w:spacing w:after="0" w:line="287" w:lineRule="auto"/>
        <w:tabs>
          <w:tab w:leader="none" w:pos="1340" w:val="left"/>
        </w:tabs>
        <w:numPr>
          <w:ilvl w:val="0"/>
          <w:numId w:val="54"/>
        </w:numPr>
        <w:rPr>
          <w:rFonts w:ascii="Arial" w:cs="Arial" w:eastAsia="Arial" w:hAnsi="Arial"/>
          <w:sz w:val="18"/>
          <w:szCs w:val="18"/>
          <w:color w:val="002453"/>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our transfer agent, Equiniti</w:t>
      </w:r>
      <w:r>
        <w:rPr>
          <w:rFonts w:ascii="Arial" w:cs="Arial" w:eastAsia="Arial" w:hAnsi="Arial"/>
          <w:sz w:val="18"/>
          <w:szCs w:val="18"/>
          <w:i w:val="1"/>
          <w:iCs w:val="1"/>
          <w:color w:val="auto"/>
        </w:rPr>
        <w:t xml:space="preserve"> </w:t>
      </w:r>
      <w:r>
        <w:rPr>
          <w:rFonts w:ascii="Arial" w:cs="Arial" w:eastAsia="Arial" w:hAnsi="Arial"/>
          <w:sz w:val="18"/>
          <w:szCs w:val="18"/>
          <w:color w:val="auto"/>
        </w:rPr>
        <w:t>Trust Company, LLC, you are a stockholder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177800</wp:posOffset>
            </wp:positionV>
            <wp:extent cx="754380" cy="2400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1340" w:right="220" w:hanging="218"/>
        <w:spacing w:after="0" w:line="259" w:lineRule="auto"/>
        <w:tabs>
          <w:tab w:leader="none" w:pos="1340" w:val="left"/>
        </w:tabs>
        <w:numPr>
          <w:ilvl w:val="0"/>
          <w:numId w:val="55"/>
        </w:numPr>
        <w:rPr>
          <w:rFonts w:ascii="Arial" w:cs="Arial" w:eastAsia="Arial" w:hAnsi="Arial"/>
          <w:sz w:val="18"/>
          <w:szCs w:val="18"/>
          <w:color w:val="002453"/>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in an account at a brokerage firm,</w:t>
      </w:r>
      <w:r>
        <w:rPr>
          <w:rFonts w:ascii="Arial" w:cs="Arial" w:eastAsia="Arial" w:hAnsi="Arial"/>
          <w:sz w:val="18"/>
          <w:szCs w:val="18"/>
          <w:i w:val="1"/>
          <w:iCs w:val="1"/>
          <w:color w:val="auto"/>
        </w:rPr>
        <w:t xml:space="preserve"> </w:t>
      </w:r>
      <w:r>
        <w:rPr>
          <w:rFonts w:ascii="Arial" w:cs="Arial" w:eastAsia="Arial" w:hAnsi="Arial"/>
          <w:sz w:val="18"/>
          <w:szCs w:val="18"/>
          <w:color w:val="auto"/>
        </w:rPr>
        <w:t>bank, broker dealer or other similar organization, then you are a beneficial owner of 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do I vote?</w:t>
      </w:r>
    </w:p>
    <w:p>
      <w:pPr>
        <w:spacing w:after="0" w:line="115" w:lineRule="exact"/>
        <w:rPr>
          <w:sz w:val="20"/>
          <w:szCs w:val="20"/>
          <w:color w:val="auto"/>
        </w:rPr>
      </w:pPr>
    </w:p>
    <w:p>
      <w:pPr>
        <w:ind w:left="1340" w:right="100" w:hanging="218"/>
        <w:spacing w:after="0" w:line="257" w:lineRule="auto"/>
        <w:tabs>
          <w:tab w:leader="none" w:pos="1340" w:val="left"/>
        </w:tabs>
        <w:numPr>
          <w:ilvl w:val="0"/>
          <w:numId w:val="56"/>
        </w:numPr>
        <w:rPr>
          <w:rFonts w:ascii="Arial" w:cs="Arial" w:eastAsia="Arial" w:hAnsi="Arial"/>
          <w:sz w:val="18"/>
          <w:szCs w:val="18"/>
          <w:color w:val="002453"/>
        </w:rPr>
      </w:pPr>
      <w:r>
        <w:rPr>
          <w:rFonts w:ascii="Arial" w:cs="Arial" w:eastAsia="Arial" w:hAnsi="Arial"/>
          <w:sz w:val="18"/>
          <w:szCs w:val="18"/>
          <w:i w:val="1"/>
          <w:iCs w:val="1"/>
          <w:color w:val="auto"/>
        </w:rPr>
        <w:t>Vote by Internet</w:t>
      </w:r>
      <w:r>
        <w:rPr>
          <w:rFonts w:ascii="Arial" w:cs="Arial" w:eastAsia="Arial" w:hAnsi="Arial"/>
          <w:sz w:val="18"/>
          <w:szCs w:val="18"/>
          <w:color w:val="auto"/>
        </w:rPr>
        <w:t>. Visit www.proxyvote.com to vote via the Internet. Stockholders of record may submit proxies</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Internet by following the instructions on the Notice of 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60" w:lineRule="exact"/>
        <w:rPr>
          <w:rFonts w:ascii="Arial" w:cs="Arial" w:eastAsia="Arial" w:hAnsi="Arial"/>
          <w:sz w:val="18"/>
          <w:szCs w:val="18"/>
          <w:color w:val="002453"/>
        </w:rPr>
      </w:pPr>
    </w:p>
    <w:p>
      <w:pPr>
        <w:ind w:left="1340" w:right="80" w:hanging="218"/>
        <w:spacing w:after="0" w:line="256" w:lineRule="auto"/>
        <w:tabs>
          <w:tab w:leader="none" w:pos="1340" w:val="left"/>
        </w:tabs>
        <w:numPr>
          <w:ilvl w:val="0"/>
          <w:numId w:val="56"/>
        </w:numPr>
        <w:rPr>
          <w:rFonts w:ascii="Arial" w:cs="Arial" w:eastAsia="Arial" w:hAnsi="Arial"/>
          <w:sz w:val="18"/>
          <w:szCs w:val="18"/>
          <w:color w:val="002453"/>
        </w:rPr>
      </w:pPr>
      <w:r>
        <w:rPr>
          <w:rFonts w:ascii="Arial" w:cs="Arial" w:eastAsia="Arial" w:hAnsi="Arial"/>
          <w:sz w:val="18"/>
          <w:szCs w:val="18"/>
          <w:i w:val="1"/>
          <w:iCs w:val="1"/>
          <w:color w:val="auto"/>
        </w:rPr>
        <w:t>Vote by Telephone</w:t>
      </w:r>
      <w:r>
        <w:rPr>
          <w:rFonts w:ascii="Arial" w:cs="Arial" w:eastAsia="Arial" w:hAnsi="Arial"/>
          <w:sz w:val="18"/>
          <w:szCs w:val="18"/>
          <w:color w:val="auto"/>
        </w:rPr>
        <w:t>. Call toll free 1 800 690 6903 in the United States or from foreign countries from any touch</w:t>
      </w:r>
      <w:r>
        <w:rPr>
          <w:rFonts w:ascii="Arial" w:cs="Arial" w:eastAsia="Arial" w:hAnsi="Arial"/>
          <w:sz w:val="18"/>
          <w:szCs w:val="18"/>
          <w:i w:val="1"/>
          <w:iCs w:val="1"/>
          <w:color w:val="auto"/>
        </w:rPr>
        <w:t xml:space="preserve"> </w:t>
      </w:r>
      <w:r>
        <w:rPr>
          <w:rFonts w:ascii="Arial" w:cs="Arial" w:eastAsia="Arial" w:hAnsi="Arial"/>
          <w:sz w:val="18"/>
          <w:szCs w:val="18"/>
          <w:color w:val="auto"/>
        </w:rPr>
        <w:t>tone telephone and follow the instructions. Stockholders of record may submit proxies using any touch 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 tone telephone from within the United States by calling the number specified on the voting instruction forms provided by their brokers, trustees, banks or other nominees.</w:t>
      </w:r>
    </w:p>
    <w:p>
      <w:pPr>
        <w:spacing w:after="0" w:line="74" w:lineRule="exact"/>
        <w:rPr>
          <w:rFonts w:ascii="Arial" w:cs="Arial" w:eastAsia="Arial" w:hAnsi="Arial"/>
          <w:sz w:val="18"/>
          <w:szCs w:val="18"/>
          <w:color w:val="002453"/>
        </w:rPr>
      </w:pPr>
    </w:p>
    <w:p>
      <w:pPr>
        <w:ind w:left="1340" w:right="80" w:hanging="218"/>
        <w:spacing w:after="0" w:line="254" w:lineRule="auto"/>
        <w:tabs>
          <w:tab w:leader="none" w:pos="1340" w:val="left"/>
        </w:tabs>
        <w:numPr>
          <w:ilvl w:val="0"/>
          <w:numId w:val="56"/>
        </w:numPr>
        <w:rPr>
          <w:rFonts w:ascii="Arial" w:cs="Arial" w:eastAsia="Arial" w:hAnsi="Arial"/>
          <w:sz w:val="18"/>
          <w:szCs w:val="18"/>
          <w:color w:val="002453"/>
        </w:rPr>
      </w:pPr>
      <w:r>
        <w:rPr>
          <w:rFonts w:ascii="Arial" w:cs="Arial" w:eastAsia="Arial" w:hAnsi="Arial"/>
          <w:sz w:val="18"/>
          <w:szCs w:val="18"/>
          <w:i w:val="1"/>
          <w:iCs w:val="1"/>
          <w:color w:val="auto"/>
        </w:rPr>
        <w:t>Vote by Mail</w:t>
      </w:r>
      <w:r>
        <w:rPr>
          <w:rFonts w:ascii="Arial" w:cs="Arial" w:eastAsia="Arial" w:hAnsi="Arial"/>
          <w:sz w:val="18"/>
          <w:szCs w:val="18"/>
          <w:color w:val="auto"/>
        </w:rPr>
        <w:t>. Stockholders of record may submit proxies by mail by requesting printed proxy cards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signing and dating the printed proxy cards 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can I vote my shares in person and participate at the Annual Meeting?</w:t>
      </w:r>
    </w:p>
    <w:p>
      <w:pPr>
        <w:spacing w:after="0" w:line="115"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The Annual Meeting will be held in a virtual meeting format only. Stockholders may participate in the annual meeting by visiting the following website: www.virtualshareholdermeeting.com/VIRT2025.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Can I change my vote after submitting a proxy?</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Stockholders of record may revoke their proxy at any time before it is exercised at the Annual Meeting by</w:t>
      </w:r>
    </w:p>
    <w:p>
      <w:pPr>
        <w:spacing w:after="0" w:line="27" w:lineRule="exact"/>
        <w:rPr>
          <w:sz w:val="20"/>
          <w:szCs w:val="20"/>
          <w:color w:val="auto"/>
        </w:rPr>
      </w:pPr>
    </w:p>
    <w:p>
      <w:pPr>
        <w:ind w:left="760" w:right="80" w:firstLine="2"/>
        <w:spacing w:after="0" w:line="241" w:lineRule="auto"/>
        <w:tabs>
          <w:tab w:leader="none" w:pos="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delivering written notice, bearing a date later than the proxy, stating that the proxy is revoked to Virtu Financial, Inc., 1633 Broadway, New York, New York 10019, Attn: Secretary, (ii) submitting a later dated proxy relating to the same shares by mail, telephone or the Internet prior to the vote at the Annual Meeting or (iii) attending the Annual Meeting and voting electronically during the Annual Meeting. If you are a beneficial stockholder, you may revoke your proxy or change your vote only by following the separate instructions provided by your broker, trust, bank or other nominee.</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If I hold shares in street name through a broker, can the broker vote my shares for me?</w:t>
      </w:r>
    </w:p>
    <w:p>
      <w:pPr>
        <w:spacing w:after="0" w:line="115" w:lineRule="exact"/>
        <w:rPr>
          <w:sz w:val="20"/>
          <w:szCs w:val="20"/>
          <w:color w:val="auto"/>
        </w:rPr>
      </w:pPr>
    </w:p>
    <w:p>
      <w:pPr>
        <w:ind w:left="760" w:right="160"/>
        <w:spacing w:after="0" w:line="271" w:lineRule="auto"/>
        <w:rPr>
          <w:sz w:val="20"/>
          <w:szCs w:val="20"/>
          <w:color w:val="auto"/>
        </w:rPr>
      </w:pPr>
      <w:r>
        <w:rPr>
          <w:rFonts w:ascii="Arial" w:cs="Arial" w:eastAsia="Arial" w:hAnsi="Arial"/>
          <w:sz w:val="17"/>
          <w:szCs w:val="17"/>
          <w:color w:val="auto"/>
        </w:rPr>
        <w:t>If you hold your shares in street name and you do not vote, the broker or other organization holding your shares can vote on certain “routine” proposals but cannot vote on other proposals. Proposals 1, 2, 3 and 5 are not considered “routine” proposals. Proposal 4 is a “routine” proposal. If you hold shares in street name and do not vote on proposal 1, 2 or 4, your shares will not be voted in respect of those proposals and will be counted as “broker non-votes.”</w:t>
      </w:r>
    </w:p>
    <w:p>
      <w:pPr>
        <w:spacing w:after="0" w:line="24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GENERAL INFORMATION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 is paying for this proxy solicitation?</w:t>
      </w:r>
    </w:p>
    <w:p>
      <w:pPr>
        <w:spacing w:after="0" w:line="115"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We are paying the costs of the solicitation of proxies, which we anticipate will be approximately $10,000.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do I need to do if I want to attend the meeting?</w:t>
      </w:r>
    </w:p>
    <w:p>
      <w:pPr>
        <w:spacing w:after="0" w:line="115" w:lineRule="exact"/>
        <w:rPr>
          <w:sz w:val="20"/>
          <w:szCs w:val="20"/>
          <w:color w:val="auto"/>
        </w:rPr>
      </w:pPr>
    </w:p>
    <w:p>
      <w:pPr>
        <w:ind w:left="760" w:right="240"/>
        <w:spacing w:after="0" w:line="252" w:lineRule="auto"/>
        <w:rPr>
          <w:sz w:val="20"/>
          <w:szCs w:val="20"/>
          <w:color w:val="auto"/>
        </w:rPr>
      </w:pPr>
      <w:r>
        <w:rPr>
          <w:rFonts w:ascii="Arial" w:cs="Arial" w:eastAsia="Arial" w:hAnsi="Arial"/>
          <w:sz w:val="18"/>
          <w:szCs w:val="18"/>
          <w:color w:val="auto"/>
        </w:rPr>
        <w:t>To attend and vote at the virtual Annual Meeting, you will need your 16-digit control number, included in your Notice of Internet Availability, on your proxy card or on the instructions that accompany your proxy materials. You may electronically attend the Annual Meeting, vote and submit a question during the Annual Meeting by visiting www.virtualshareholdermeeting.com/VIRT2025 and using your 16-digit control number to enter the meeting.</w:t>
      </w:r>
    </w:p>
    <w:p>
      <w:pPr>
        <w:spacing w:after="0" w:line="62" w:lineRule="exact"/>
        <w:rPr>
          <w:sz w:val="20"/>
          <w:szCs w:val="20"/>
          <w:color w:val="auto"/>
        </w:rPr>
      </w:pPr>
    </w:p>
    <w:p>
      <w:pPr>
        <w:ind w:left="760" w:right="440"/>
        <w:spacing w:after="0" w:line="271"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login page.</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Where can I find voting results?</w:t>
      </w:r>
    </w:p>
    <w:p>
      <w:pPr>
        <w:spacing w:after="0" w:line="115"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Final voting results from the Annual Meeting will be filed with the SEC on a Current Report on Form 8-K on or before the fourth business day after the Annual Meeting concludes.</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I share an address with another stockholder. Why did we receive only one set of Proxy Materials?</w:t>
      </w:r>
    </w:p>
    <w:p>
      <w:pPr>
        <w:spacing w:after="0" w:line="115"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2024, and/or our Notice of Internet Availability of Proxy Materials, as requested, to a stockholder at a shared address to which a single copy of these documents was delivered, or to deliver a single copy in lieu of multiple copies to a single household if preferred. To make such a request, please follow the instructions on our Notice of Internet Availability of Proxy Materials.</w:t>
      </w:r>
    </w:p>
    <w:p>
      <w:pPr>
        <w:spacing w:after="0" w:line="83"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If your shares are held by a brokerage firm or bank and you prefer to receive separate copies of our proxy statement, our annual report including our Form 10-K for the fiscal year ended December 31, 2024,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may request to opt in to or opt out of “householding” either now or in the future, by contacting our Investor Relations department at our executive office by calling (212) 418-0100.</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May I ask questions at the Annual Meeting?</w:t>
      </w:r>
    </w:p>
    <w:p>
      <w:pPr>
        <w:spacing w:after="0" w:line="115"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Yes. Stockholders will have the same opportunity to participate at the virtual Annual Meeting as they would at an annual meeting of the Company held in person. Stockholders may submit questions live during the meeting by accessing the meeting at www.virtualshareholdermeeting.com/VIRT2025, typing a question into the “Ask a Question” field, and clicking “Submit.” Only questions submitted by stockholders on subjects pertinent to meeting matters will be answered during the meeting, subject to time constraints. Additional information regarding the ability of stockholders to ask questions during the Annual Meeting, related rules of conduct, and other materials for the Annual Meeting will be available during the Annual Meeting at www.virtualshareholdermeeting.com/VIRT2025.</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May guests attend the Annual Meeting?</w:t>
      </w:r>
    </w:p>
    <w:p>
      <w:pPr>
        <w:spacing w:after="0" w:line="115" w:lineRule="exact"/>
        <w:rPr>
          <w:sz w:val="20"/>
          <w:szCs w:val="20"/>
          <w:color w:val="auto"/>
        </w:rPr>
      </w:pPr>
    </w:p>
    <w:p>
      <w:pPr>
        <w:ind w:left="760" w:right="400"/>
        <w:spacing w:after="0" w:line="261" w:lineRule="auto"/>
        <w:rPr>
          <w:sz w:val="20"/>
          <w:szCs w:val="20"/>
          <w:color w:val="auto"/>
        </w:rPr>
      </w:pPr>
      <w:r>
        <w:rPr>
          <w:rFonts w:ascii="Arial" w:cs="Arial" w:eastAsia="Arial" w:hAnsi="Arial"/>
          <w:sz w:val="18"/>
          <w:szCs w:val="18"/>
          <w:color w:val="auto"/>
        </w:rPr>
        <w:t>Yes. A webcast of the Annual Meeting will also be available to the general public at the following link: www.virtualshareholdermeeting.com/VIRT2025. Select “Other Stockholders/Guests” to enter the meeting. Please note that guests will not have the ability to ask questions or vote during the meeting.</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Whom should I contact if I have additional questions?</w:t>
      </w:r>
    </w:p>
    <w:p>
      <w:pPr>
        <w:spacing w:after="0" w:line="115" w:lineRule="exact"/>
        <w:rPr>
          <w:sz w:val="20"/>
          <w:szCs w:val="20"/>
          <w:color w:val="auto"/>
        </w:rPr>
      </w:pPr>
    </w:p>
    <w:p>
      <w:pPr>
        <w:ind w:left="760" w:right="60"/>
        <w:spacing w:after="0" w:line="261" w:lineRule="auto"/>
        <w:rPr>
          <w:sz w:val="20"/>
          <w:szCs w:val="20"/>
          <w:color w:val="auto"/>
        </w:rPr>
      </w:pPr>
      <w:r>
        <w:rPr>
          <w:rFonts w:ascii="Arial" w:cs="Arial" w:eastAsia="Arial" w:hAnsi="Arial"/>
          <w:sz w:val="18"/>
          <w:szCs w:val="18"/>
          <w:color w:val="auto"/>
        </w:rPr>
        <w:t>You can contact our Investor Relations department at our executive office at (212) 418-0100. Stockholders who hold their shares in street name should contact the organization that holds their shares for additional information on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183515</wp:posOffset>
            </wp:positionV>
            <wp:extent cx="754380" cy="2400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2024, including financial statements and schedules and amendments thereto filed with the SEC, are also available without charge to stockholders upon written request addressed to:</w:t>
      </w:r>
    </w:p>
    <w:p>
      <w:pPr>
        <w:spacing w:after="0" w:line="6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Attn: Investor Relations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New York, New York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ANNEX A</w:t>
      </w:r>
    </w:p>
    <w:p>
      <w:pPr>
        <w:spacing w:after="0" w:line="14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Virtu Financial, Inc. Second Amended and Restated 2015 Management Incentive Plan</w:t>
      </w:r>
    </w:p>
    <w:p>
      <w:pPr>
        <w:spacing w:after="0" w:line="117" w:lineRule="exact"/>
        <w:rPr>
          <w:sz w:val="20"/>
          <w:szCs w:val="20"/>
          <w:color w:val="auto"/>
        </w:rPr>
      </w:pPr>
    </w:p>
    <w:p>
      <w:pPr>
        <w:ind w:left="760" w:right="140" w:firstLine="2"/>
        <w:spacing w:after="0" w:line="248" w:lineRule="auto"/>
        <w:tabs>
          <w:tab w:leader="none" w:pos="1053"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Purpose and History. </w:t>
      </w:r>
      <w:r>
        <w:rPr>
          <w:rFonts w:ascii="Arial" w:cs="Arial" w:eastAsia="Arial" w:hAnsi="Arial"/>
          <w:sz w:val="18"/>
          <w:szCs w:val="18"/>
          <w:color w:val="auto"/>
        </w:rPr>
        <w:t>The Virtu Financial, Inc. Second Amended and Restated 2015 Management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intended to help Virtu Financial, Inc., a Delaware corporation (including any successor thereto,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Affiliates (i) attract and retain key personnel by providing them the opportunity to acquire an equity interest in the Company or other incentive compensation measured by reference to the value of Common Stock and (ii) align the interests of key personnel with those of the Company’s shareholders. The Virtu Financial, Inc. 2015 Management Incentive Plan was originally adopted by the Board on April 3, 2015.</w:t>
      </w:r>
    </w:p>
    <w:p>
      <w:pPr>
        <w:spacing w:after="0" w:line="66" w:lineRule="exact"/>
        <w:rPr>
          <w:rFonts w:ascii="Arial" w:cs="Arial" w:eastAsia="Arial" w:hAnsi="Arial"/>
          <w:sz w:val="18"/>
          <w:szCs w:val="18"/>
          <w:color w:val="auto"/>
        </w:rPr>
      </w:pPr>
    </w:p>
    <w:p>
      <w:pPr>
        <w:ind w:left="760" w:right="140" w:firstLine="2"/>
        <w:spacing w:after="0" w:line="252" w:lineRule="auto"/>
        <w:tabs>
          <w:tab w:leader="none" w:pos="1053"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Duration. </w:t>
      </w:r>
      <w:r>
        <w:rPr>
          <w:rFonts w:ascii="Arial" w:cs="Arial" w:eastAsia="Arial" w:hAnsi="Arial"/>
          <w:sz w:val="18"/>
          <w:szCs w:val="18"/>
          <w:color w:val="auto"/>
        </w:rPr>
        <w:t>The Plan shall be effective as of June 2, 2025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of the Plan, on and after which date no Awards may be granted, shall be the tenth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expiration shall not affect Awards then outstanding, and the terms and conditions of the Plan shall continue to apply to such Awards.</w:t>
      </w:r>
    </w:p>
    <w:p>
      <w:pPr>
        <w:spacing w:after="0" w:line="75" w:lineRule="exact"/>
        <w:rPr>
          <w:rFonts w:ascii="Arial" w:cs="Arial" w:eastAsia="Arial" w:hAnsi="Arial"/>
          <w:sz w:val="18"/>
          <w:szCs w:val="18"/>
          <w:color w:val="auto"/>
        </w:rPr>
      </w:pPr>
    </w:p>
    <w:p>
      <w:pPr>
        <w:ind w:left="1060" w:hanging="298"/>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following definitions shall apply throughout the Plan.</w:t>
      </w:r>
    </w:p>
    <w:p>
      <w:pPr>
        <w:spacing w:after="0" w:line="117" w:lineRule="exact"/>
        <w:rPr>
          <w:rFonts w:ascii="Arial" w:cs="Arial" w:eastAsia="Arial" w:hAnsi="Arial"/>
          <w:sz w:val="18"/>
          <w:szCs w:val="18"/>
          <w:color w:val="auto"/>
        </w:rPr>
      </w:pPr>
    </w:p>
    <w:p>
      <w:pPr>
        <w:ind w:left="760" w:right="180" w:firstLine="434"/>
        <w:spacing w:after="0" w:line="259" w:lineRule="auto"/>
        <w:tabs>
          <w:tab w:leader="none" w:pos="1485"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(i) any person or entity that directly or indirectly controls, is controlled by or is under common control with the Company and/or (ii) to the extent provided by the Committee, any person or entity in which</w:t>
      </w:r>
    </w:p>
    <w:p>
      <w:pPr>
        <w:spacing w:after="0" w:line="1" w:lineRule="exact"/>
        <w:rPr>
          <w:rFonts w:ascii="Arial" w:cs="Arial" w:eastAsia="Arial" w:hAnsi="Arial"/>
          <w:sz w:val="17"/>
          <w:szCs w:val="17"/>
          <w:color w:val="auto"/>
        </w:rPr>
      </w:pPr>
    </w:p>
    <w:p>
      <w:pPr>
        <w:ind w:left="760" w:right="100"/>
        <w:spacing w:after="0" w:line="245" w:lineRule="auto"/>
        <w:rPr>
          <w:rFonts w:ascii="Arial" w:cs="Arial" w:eastAsia="Arial" w:hAnsi="Arial"/>
          <w:sz w:val="17"/>
          <w:szCs w:val="17"/>
          <w:color w:val="auto"/>
        </w:rPr>
      </w:pPr>
      <w:r>
        <w:rPr>
          <w:rFonts w:ascii="Arial" w:cs="Arial" w:eastAsia="Arial" w:hAnsi="Arial"/>
          <w:sz w:val="18"/>
          <w:szCs w:val="18"/>
          <w:color w:val="auto"/>
        </w:rPr>
        <w:t>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81" w:lineRule="exact"/>
        <w:rPr>
          <w:rFonts w:ascii="Arial" w:cs="Arial" w:eastAsia="Arial" w:hAnsi="Arial"/>
          <w:sz w:val="17"/>
          <w:szCs w:val="17"/>
          <w:color w:val="auto"/>
        </w:rPr>
      </w:pPr>
    </w:p>
    <w:p>
      <w:pPr>
        <w:ind w:left="760" w:right="360" w:firstLine="434"/>
        <w:spacing w:after="0" w:line="253" w:lineRule="auto"/>
        <w:tabs>
          <w:tab w:leader="none" w:pos="148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Other Stock-Based Award and/or Performance Compensation Award granted under the Plan.</w:t>
      </w:r>
    </w:p>
    <w:p>
      <w:pPr>
        <w:spacing w:after="0" w:line="74" w:lineRule="exact"/>
        <w:rPr>
          <w:rFonts w:ascii="Arial" w:cs="Arial" w:eastAsia="Arial" w:hAnsi="Arial"/>
          <w:sz w:val="18"/>
          <w:szCs w:val="18"/>
          <w:color w:val="auto"/>
        </w:rPr>
      </w:pPr>
    </w:p>
    <w:p>
      <w:pPr>
        <w:ind w:left="760" w:right="680" w:firstLine="434"/>
        <w:spacing w:after="0" w:line="271" w:lineRule="auto"/>
        <w:tabs>
          <w:tab w:leader="none" w:pos="14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has the meaning set forth in Rule 13d-3 promulgated under Section 13 of the Exchange Act.</w:t>
      </w:r>
    </w:p>
    <w:p>
      <w:pPr>
        <w:spacing w:after="0" w:line="45" w:lineRule="exact"/>
        <w:rPr>
          <w:rFonts w:ascii="Arial" w:cs="Arial" w:eastAsia="Arial" w:hAnsi="Arial"/>
          <w:sz w:val="18"/>
          <w:szCs w:val="18"/>
          <w:color w:val="auto"/>
        </w:rPr>
      </w:pPr>
    </w:p>
    <w:p>
      <w:pPr>
        <w:ind w:left="1480" w:hanging="28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760" w:right="60" w:firstLine="434"/>
        <w:spacing w:after="0" w:line="257" w:lineRule="auto"/>
        <w:tabs>
          <w:tab w:leader="none" w:pos="1485"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in the case of a particular Award, unless the applicable Award agreement states otherwise, the Company or an Affiliate having “cause” to terminate the Participant’s employment or service, (i) as such term is defined in any employment, consulting, change-in-control, severance or any other agreement between the Participant and the Company or an Affiliate in effect at the time of such termination or (ii) in the absence of any such employment, consulting, change-in-control, severance or other agreement (or the absence of any definition of “cause” or term of similar import therein), due to the Participant’s (A) willful misconduct or gross neglect of his duties;</w:t>
      </w:r>
    </w:p>
    <w:p>
      <w:pPr>
        <w:spacing w:after="0" w:line="4" w:lineRule="exact"/>
        <w:rPr>
          <w:rFonts w:ascii="Arial" w:cs="Arial" w:eastAsia="Arial" w:hAnsi="Arial"/>
          <w:sz w:val="17"/>
          <w:szCs w:val="17"/>
          <w:color w:val="auto"/>
        </w:rPr>
      </w:pPr>
    </w:p>
    <w:p>
      <w:pPr>
        <w:ind w:left="760" w:right="100"/>
        <w:spacing w:after="0" w:line="254" w:lineRule="auto"/>
        <w:rPr>
          <w:rFonts w:ascii="Arial" w:cs="Arial" w:eastAsia="Arial" w:hAnsi="Arial"/>
          <w:sz w:val="17"/>
          <w:szCs w:val="17"/>
          <w:color w:val="auto"/>
        </w:rPr>
      </w:pPr>
      <w:r>
        <w:rPr>
          <w:rFonts w:ascii="Arial" w:cs="Arial" w:eastAsia="Arial" w:hAnsi="Arial"/>
          <w:sz w:val="17"/>
          <w:szCs w:val="17"/>
          <w:color w:val="auto"/>
        </w:rPr>
        <w:t>(B) having engaged in conduct harmful (whether financially, reputationally or otherwise) to the Company or an Affiliate; (C) failure or refusal to perform his duties; (D) conviction of, or guilty or no contest plea to, a felony or any crime involving dishonesty or moral turpitude; (E) willful violation of the written policies of the Company or an Affiliate;</w:t>
      </w:r>
    </w:p>
    <w:p>
      <w:pPr>
        <w:ind w:left="760" w:right="360"/>
        <w:spacing w:after="0" w:line="250" w:lineRule="auto"/>
        <w:rPr>
          <w:rFonts w:ascii="Arial" w:cs="Arial" w:eastAsia="Arial" w:hAnsi="Arial"/>
          <w:sz w:val="17"/>
          <w:szCs w:val="17"/>
          <w:color w:val="auto"/>
        </w:rPr>
      </w:pPr>
      <w:r>
        <w:rPr>
          <w:rFonts w:ascii="Arial" w:cs="Arial" w:eastAsia="Arial" w:hAnsi="Arial"/>
          <w:sz w:val="18"/>
          <w:szCs w:val="18"/>
          <w:color w:val="auto"/>
        </w:rPr>
        <w:t>(F) misappropriation or misuse of Company or Affiliate funds or property or other act of personal dishonesty in connection with his employment; or (G) willful breach of fiduciary duty. The determination of whether Cause exists shall be made by the Committee in its sole discretion.</w:t>
      </w:r>
    </w:p>
    <w:p>
      <w:pPr>
        <w:spacing w:after="0" w:line="64" w:lineRule="exact"/>
        <w:rPr>
          <w:rFonts w:ascii="Arial" w:cs="Arial" w:eastAsia="Arial" w:hAnsi="Arial"/>
          <w:sz w:val="17"/>
          <w:szCs w:val="17"/>
          <w:color w:val="auto"/>
        </w:rPr>
      </w:pPr>
    </w:p>
    <w:p>
      <w:pPr>
        <w:ind w:left="760" w:right="100" w:firstLine="434"/>
        <w:spacing w:after="0" w:line="261" w:lineRule="auto"/>
        <w:tabs>
          <w:tab w:leader="none" w:pos="143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in the case of a particular Award, unless the applicable Award agreement (or any employment, consulting, change-in-control, severance or other agreement between the Participant and the Company or an Affiliate) states otherwise, be deemed to occur upon any of the following events:</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  the acquisition by any Person of Beneficial Ownership of 30% or more (on a fully diluted basis) of</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either (A) the then outstanding shares of Common Stock, including Common Stock issuable upon the exercise of</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options or warrants, the conversion of convertible stock or debt, and the exercise of any similar right to acquire</w:t>
      </w:r>
    </w:p>
    <w:p>
      <w:pPr>
        <w:ind w:left="980"/>
        <w:spacing w:after="0" w:line="234" w:lineRule="auto"/>
        <w:rPr>
          <w:sz w:val="20"/>
          <w:szCs w:val="20"/>
          <w:color w:val="auto"/>
        </w:rPr>
      </w:pPr>
      <w:r>
        <w:rPr>
          <w:rFonts w:ascii="Arial" w:cs="Arial" w:eastAsia="Arial" w:hAnsi="Arial"/>
          <w:sz w:val="18"/>
          <w:szCs w:val="18"/>
          <w:color w:val="auto"/>
        </w:rPr>
        <w:t>such Common Stock (including, but not limited, to the exercise of any rights to exchange non-voting common</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units of Virtu Financial LLC and paired shares of Class C common stock or Class D common stock for</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 of Class A Common Stock or Class B common stock, and any rights to exchange or convert Class B</w:t>
      </w:r>
    </w:p>
    <w:p>
      <w:pPr>
        <w:ind w:left="980"/>
        <w:spacing w:after="0" w:line="234" w:lineRule="auto"/>
        <w:rPr>
          <w:sz w:val="20"/>
          <w:szCs w:val="20"/>
          <w:color w:val="auto"/>
        </w:rPr>
      </w:pPr>
      <w:r>
        <w:rPr>
          <w:rFonts w:ascii="Arial" w:cs="Arial" w:eastAsia="Arial" w:hAnsi="Arial"/>
          <w:sz w:val="18"/>
          <w:szCs w:val="18"/>
          <w:color w:val="auto"/>
        </w:rPr>
        <w:t>common stock for Class A Common Stock); or (B) the combined voting power of the then outstanding voting</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securities of the Company entitled to vote in the election of directors (the “</w:t>
      </w:r>
      <w:r>
        <w:rPr>
          <w:rFonts w:ascii="Arial" w:cs="Arial" w:eastAsia="Arial" w:hAnsi="Arial"/>
          <w:sz w:val="18"/>
          <w:szCs w:val="18"/>
          <w:b w:val="1"/>
          <w:bCs w:val="1"/>
          <w:i w:val="1"/>
          <w:iCs w:val="1"/>
          <w:color w:val="auto"/>
        </w:rPr>
        <w:t>Outstanding Company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212090</wp:posOffset>
            </wp:positionV>
            <wp:extent cx="754380" cy="2400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780"/>
        <w:spacing w:after="0" w:line="261" w:lineRule="auto"/>
        <w:rPr>
          <w:sz w:val="20"/>
          <w:szCs w:val="20"/>
          <w:color w:val="auto"/>
        </w:rPr>
      </w:pP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but excluding any acquisition by the Company or any of its Affiliates, or by Vincent Viola,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Transferees or any of their respective Affiliates or by any employee benefit plan sponsored or maintained by the Company or any of its Affiliates;</w:t>
      </w:r>
    </w:p>
    <w:p>
      <w:pPr>
        <w:spacing w:after="0" w:line="54" w:lineRule="exact"/>
        <w:rPr>
          <w:sz w:val="20"/>
          <w:szCs w:val="20"/>
          <w:color w:val="auto"/>
        </w:rPr>
      </w:pPr>
    </w:p>
    <w:p>
      <w:pPr>
        <w:ind w:left="980" w:right="120" w:firstLine="430"/>
        <w:spacing w:after="0" w:line="263" w:lineRule="auto"/>
        <w:tabs>
          <w:tab w:leader="none" w:pos="1684" w:val="left"/>
        </w:tabs>
        <w:numPr>
          <w:ilvl w:val="2"/>
          <w:numId w:val="59"/>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members of the Board during any consecutive 12-month period (the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xml:space="preserve">”) cease to constitute a majority of the Board. Any person becoming a director through election or nomination for election approved by a valid vote of at least two-thirds of the Incumbent Directors shall be deemed an Incumbent Director;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to be an Incumbent Director;</w:t>
      </w:r>
    </w:p>
    <w:p>
      <w:pPr>
        <w:spacing w:after="0" w:line="53" w:lineRule="exact"/>
        <w:rPr>
          <w:rFonts w:ascii="Arial" w:cs="Arial" w:eastAsia="Arial" w:hAnsi="Arial"/>
          <w:sz w:val="17"/>
          <w:szCs w:val="17"/>
          <w:color w:val="auto"/>
        </w:rPr>
      </w:pPr>
    </w:p>
    <w:p>
      <w:pPr>
        <w:ind w:left="980" w:right="280" w:firstLine="430"/>
        <w:spacing w:after="0" w:line="287" w:lineRule="auto"/>
        <w:tabs>
          <w:tab w:leader="none" w:pos="172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plan of complete dissolution or liquidation of the Company; or</w:t>
      </w:r>
    </w:p>
    <w:p>
      <w:pPr>
        <w:spacing w:after="0" w:line="44" w:lineRule="exact"/>
        <w:rPr>
          <w:rFonts w:ascii="Arial" w:cs="Arial" w:eastAsia="Arial" w:hAnsi="Arial"/>
          <w:sz w:val="18"/>
          <w:szCs w:val="18"/>
          <w:color w:val="auto"/>
        </w:rPr>
      </w:pPr>
    </w:p>
    <w:p>
      <w:pPr>
        <w:ind w:left="980" w:right="180" w:firstLine="430"/>
        <w:spacing w:after="0" w:line="266" w:lineRule="auto"/>
        <w:tabs>
          <w:tab w:leader="none" w:pos="1720" w:val="left"/>
        </w:tabs>
        <w:numPr>
          <w:ilvl w:val="2"/>
          <w:numId w:val="59"/>
        </w:numPr>
        <w:rPr>
          <w:rFonts w:ascii="Arial" w:cs="Arial" w:eastAsia="Arial" w:hAnsi="Arial"/>
          <w:sz w:val="17"/>
          <w:szCs w:val="17"/>
          <w:color w:val="auto"/>
        </w:rPr>
      </w:pPr>
      <w:r>
        <w:rPr>
          <w:rFonts w:ascii="Arial" w:cs="Arial" w:eastAsia="Arial" w:hAnsi="Arial"/>
          <w:sz w:val="17"/>
          <w:szCs w:val="17"/>
          <w:color w:val="auto"/>
        </w:rPr>
        <w:t>the consummation of a reorganization, recapitalization, merger, consolidation, statutory share exchange or similar form of corporate transaction involving the Company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or sale, transfer or other disposition of all or substantially all of the business or assets of the Company to an entity that is not an Affiliate of the Company (a “</w:t>
      </w:r>
      <w:r>
        <w:rPr>
          <w:rFonts w:ascii="Arial" w:cs="Arial" w:eastAsia="Arial" w:hAnsi="Arial"/>
          <w:sz w:val="17"/>
          <w:szCs w:val="17"/>
          <w:b w:val="1"/>
          <w:bCs w:val="1"/>
          <w:i w:val="1"/>
          <w:iCs w:val="1"/>
          <w:color w:val="auto"/>
        </w:rPr>
        <w:t>Sale</w:t>
      </w:r>
      <w:r>
        <w:rPr>
          <w:rFonts w:ascii="Arial" w:cs="Arial" w:eastAsia="Arial" w:hAnsi="Arial"/>
          <w:sz w:val="17"/>
          <w:szCs w:val="17"/>
          <w:color w:val="auto"/>
        </w:rPr>
        <w:t>”),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Arial" w:cs="Arial" w:eastAsia="Arial" w:hAnsi="Arial"/>
          <w:sz w:val="17"/>
          <w:szCs w:val="17"/>
          <w:b w:val="1"/>
          <w:bCs w:val="1"/>
          <w:i w:val="1"/>
          <w:iCs w:val="1"/>
          <w:color w:val="auto"/>
        </w:rPr>
        <w:t>Surviving Company</w:t>
      </w:r>
      <w:r>
        <w:rPr>
          <w:rFonts w:ascii="Arial" w:cs="Arial" w:eastAsia="Arial" w:hAnsi="Arial"/>
          <w:sz w:val="17"/>
          <w:szCs w:val="17"/>
          <w:color w:val="auto"/>
        </w:rPr>
        <w:t>”), or the ultimate parent entity that has Beneficial Ownership of sufficient voting power to elect a majority of the board of directors (or analogous governing body) of the Surviving Company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represented by the Outstanding Company Voting Securities that were outstanding immediately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w:t>
      </w:r>
    </w:p>
    <w:p>
      <w:pPr>
        <w:spacing w:after="0" w:line="9" w:lineRule="exact"/>
        <w:rPr>
          <w:rFonts w:ascii="Arial" w:cs="Arial" w:eastAsia="Arial" w:hAnsi="Arial"/>
          <w:sz w:val="17"/>
          <w:szCs w:val="17"/>
          <w:color w:val="auto"/>
        </w:rPr>
      </w:pPr>
    </w:p>
    <w:p>
      <w:pPr>
        <w:ind w:left="980" w:right="100" w:hanging="2"/>
        <w:spacing w:after="0" w:line="252" w:lineRule="auto"/>
        <w:tabs>
          <w:tab w:leader="none" w:pos="1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Person (other than any employee benefit plan sponsored or maintained by the Surviving Company or the Parent Company), is or becomes the beneficial owner, directly or indirectly, of 30%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79" w:lineRule="exact"/>
        <w:rPr>
          <w:rFonts w:ascii="Arial" w:cs="Arial" w:eastAsia="Arial" w:hAnsi="Arial"/>
          <w:sz w:val="18"/>
          <w:szCs w:val="18"/>
          <w:color w:val="auto"/>
        </w:rPr>
      </w:pPr>
    </w:p>
    <w:p>
      <w:pPr>
        <w:ind w:left="760" w:right="180" w:firstLine="434"/>
        <w:spacing w:after="0" w:line="268" w:lineRule="auto"/>
        <w:tabs>
          <w:tab w:leader="none" w:pos="148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of the Company, par value $0.00001 per share (and any stock or other securities into which such common shares may be converted or into which it may be exchanged).</w:t>
      </w:r>
    </w:p>
    <w:p>
      <w:pPr>
        <w:spacing w:after="0" w:line="62" w:lineRule="exact"/>
        <w:rPr>
          <w:rFonts w:ascii="Arial" w:cs="Arial" w:eastAsia="Arial" w:hAnsi="Arial"/>
          <w:sz w:val="18"/>
          <w:szCs w:val="18"/>
          <w:color w:val="auto"/>
        </w:rPr>
      </w:pPr>
    </w:p>
    <w:p>
      <w:pPr>
        <w:ind w:left="1480" w:hanging="28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“Class B Common Stock” means the Class B common stock of the Company, par value $0.00001 per</w:t>
      </w:r>
    </w:p>
    <w:p>
      <w:pPr>
        <w:spacing w:after="0" w:line="2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share.</w:t>
      </w:r>
    </w:p>
    <w:p>
      <w:pPr>
        <w:spacing w:after="0" w:line="99" w:lineRule="exact"/>
        <w:rPr>
          <w:rFonts w:ascii="Arial" w:cs="Arial" w:eastAsia="Arial" w:hAnsi="Arial"/>
          <w:sz w:val="18"/>
          <w:szCs w:val="18"/>
          <w:color w:val="auto"/>
        </w:rPr>
      </w:pPr>
    </w:p>
    <w:p>
      <w:pPr>
        <w:ind w:left="1420" w:hanging="226"/>
        <w:spacing w:after="0"/>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“Class C Common Stock” means the Class C common stock of the Company, par value $0.00001 per share.</w:t>
      </w:r>
    </w:p>
    <w:p>
      <w:pPr>
        <w:spacing w:after="0" w:line="128" w:lineRule="exact"/>
        <w:rPr>
          <w:rFonts w:ascii="Arial" w:cs="Arial" w:eastAsia="Arial" w:hAnsi="Arial"/>
          <w:sz w:val="17"/>
          <w:szCs w:val="17"/>
          <w:color w:val="auto"/>
        </w:rPr>
      </w:pPr>
    </w:p>
    <w:p>
      <w:pPr>
        <w:ind w:left="1420" w:hanging="226"/>
        <w:spacing w:after="0"/>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“Class D Common Stock” means the Class D common stock of the Company, par value $0.00001 per share.</w:t>
      </w:r>
    </w:p>
    <w:p>
      <w:pPr>
        <w:spacing w:after="0" w:line="128" w:lineRule="exact"/>
        <w:rPr>
          <w:rFonts w:ascii="Arial" w:cs="Arial" w:eastAsia="Arial" w:hAnsi="Arial"/>
          <w:sz w:val="17"/>
          <w:szCs w:val="17"/>
          <w:color w:val="auto"/>
        </w:rPr>
      </w:pPr>
    </w:p>
    <w:p>
      <w:pPr>
        <w:ind w:left="760" w:right="320" w:firstLine="434"/>
        <w:spacing w:after="0" w:line="268" w:lineRule="auto"/>
        <w:tabs>
          <w:tab w:leader="none" w:pos="147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“Code”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62" w:lineRule="exact"/>
        <w:rPr>
          <w:rFonts w:ascii="Arial" w:cs="Arial" w:eastAsia="Arial" w:hAnsi="Arial"/>
          <w:sz w:val="18"/>
          <w:szCs w:val="18"/>
          <w:color w:val="auto"/>
        </w:rPr>
      </w:pPr>
    </w:p>
    <w:p>
      <w:pPr>
        <w:ind w:left="760" w:right="540" w:firstLine="434"/>
        <w:spacing w:after="0" w:line="268" w:lineRule="auto"/>
        <w:tabs>
          <w:tab w:leader="none" w:pos="14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subcommittee thereof if required to comply with Rule 16b-3 promulgated under the Exchange Act in respect of Awards or, if no such Compensation Committee or subcommittee thereof exists, the Board.</w:t>
      </w:r>
    </w:p>
    <w:p>
      <w:pPr>
        <w:spacing w:after="0" w:line="62" w:lineRule="exact"/>
        <w:rPr>
          <w:rFonts w:ascii="Arial" w:cs="Arial" w:eastAsia="Arial" w:hAnsi="Arial"/>
          <w:sz w:val="18"/>
          <w:szCs w:val="18"/>
          <w:color w:val="auto"/>
        </w:rPr>
      </w:pPr>
    </w:p>
    <w:p>
      <w:pPr>
        <w:ind w:left="1540" w:hanging="346"/>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“Common Stock” means collectively or individually the Class A Common Stock.</w:t>
      </w:r>
    </w:p>
    <w:p>
      <w:pPr>
        <w:spacing w:after="0" w:line="34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260" w:firstLine="434"/>
        <w:spacing w:after="0" w:line="291" w:lineRule="auto"/>
        <w:tabs>
          <w:tab w:leader="none" w:pos="14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“Disability”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44" w:lineRule="exact"/>
        <w:rPr>
          <w:rFonts w:ascii="Arial" w:cs="Arial" w:eastAsia="Arial" w:hAnsi="Arial"/>
          <w:sz w:val="17"/>
          <w:szCs w:val="17"/>
          <w:color w:val="auto"/>
        </w:rPr>
      </w:pPr>
    </w:p>
    <w:p>
      <w:pPr>
        <w:ind w:left="760" w:right="120" w:firstLine="434"/>
        <w:spacing w:after="0" w:line="256" w:lineRule="auto"/>
        <w:tabs>
          <w:tab w:leader="none" w:pos="14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“Eligible Person” means any (i) individual employed by the Company or an Affiliate; provided, however, that no such employee covered by a collective bargaining agreement shall be an Eligible Person; (ii) director or officer of the Company or an Affiliate; (iii) consultant or advisor to the Company or an Affiliate who may be offered securities registrable on Form S-8 under the Securities Act; or (iv) prospective employee, director, officer, consultant or advisor who has accepted an offer of employment or consultancy from the Company or its Affiliates (and would satisfy the provisions of clauses (i) through (iii) above once he begins employment with or providing services to the Company or its Affiliates.</w:t>
      </w:r>
    </w:p>
    <w:p>
      <w:pPr>
        <w:spacing w:after="0" w:line="74" w:lineRule="exact"/>
        <w:rPr>
          <w:rFonts w:ascii="Arial" w:cs="Arial" w:eastAsia="Arial" w:hAnsi="Arial"/>
          <w:sz w:val="18"/>
          <w:szCs w:val="18"/>
          <w:color w:val="auto"/>
        </w:rPr>
      </w:pPr>
    </w:p>
    <w:p>
      <w:pPr>
        <w:ind w:left="760" w:right="120" w:firstLine="434"/>
        <w:spacing w:after="0" w:line="291" w:lineRule="auto"/>
        <w:tabs>
          <w:tab w:leader="none" w:pos="14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“Exchange Act”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44" w:lineRule="exact"/>
        <w:rPr>
          <w:rFonts w:ascii="Arial" w:cs="Arial" w:eastAsia="Arial" w:hAnsi="Arial"/>
          <w:sz w:val="17"/>
          <w:szCs w:val="17"/>
          <w:color w:val="auto"/>
        </w:rPr>
      </w:pPr>
    </w:p>
    <w:p>
      <w:pPr>
        <w:ind w:left="760" w:right="180" w:firstLine="434"/>
        <w:spacing w:after="0" w:line="259" w:lineRule="auto"/>
        <w:tabs>
          <w:tab w:leader="none" w:pos="14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“Fair Market Value” means, on a given date, (i) if the Common Stock is listed on a national securities exchange, the closing sales price of the Common Stock reported on such exchange on such date, or, if there is no such sale on that date, then on the last preceding date on which such a sale was reported; or (ii) if the Common Stock is not listed on any national securities exchange, the amount determined by the Committee in good faith to be the fair market value of the Common Stock.</w:t>
      </w:r>
    </w:p>
    <w:p>
      <w:pPr>
        <w:spacing w:after="0" w:line="71" w:lineRule="exact"/>
        <w:rPr>
          <w:rFonts w:ascii="Arial" w:cs="Arial" w:eastAsia="Arial" w:hAnsi="Arial"/>
          <w:sz w:val="18"/>
          <w:szCs w:val="18"/>
          <w:color w:val="auto"/>
        </w:rPr>
      </w:pPr>
    </w:p>
    <w:p>
      <w:pPr>
        <w:ind w:left="760" w:right="560" w:firstLine="434"/>
        <w:spacing w:after="0" w:line="318" w:lineRule="auto"/>
        <w:tabs>
          <w:tab w:leader="none" w:pos="14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“Incentive Stock Option” means an Option which is designated by the Committee as an incentive stock option as described in Section 422 of the Code and otherwise meets the requirements set forth in the Plan.</w:t>
      </w:r>
    </w:p>
    <w:p>
      <w:pPr>
        <w:spacing w:after="0" w:line="21" w:lineRule="exact"/>
        <w:rPr>
          <w:rFonts w:ascii="Arial" w:cs="Arial" w:eastAsia="Arial" w:hAnsi="Arial"/>
          <w:sz w:val="17"/>
          <w:szCs w:val="17"/>
          <w:color w:val="auto"/>
        </w:rPr>
      </w:pPr>
    </w:p>
    <w:p>
      <w:pPr>
        <w:ind w:left="1480" w:hanging="286"/>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“NASDAQ” means The Nasdaq Global Market.</w:t>
      </w:r>
    </w:p>
    <w:p>
      <w:pPr>
        <w:spacing w:after="0" w:line="117" w:lineRule="exact"/>
        <w:rPr>
          <w:rFonts w:ascii="Arial" w:cs="Arial" w:eastAsia="Arial" w:hAnsi="Arial"/>
          <w:sz w:val="18"/>
          <w:szCs w:val="18"/>
          <w:color w:val="auto"/>
        </w:rPr>
      </w:pPr>
    </w:p>
    <w:p>
      <w:pPr>
        <w:ind w:left="760" w:right="440" w:firstLine="434"/>
        <w:spacing w:after="0" w:line="287" w:lineRule="auto"/>
        <w:tabs>
          <w:tab w:leader="none" w:pos="14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“Nonqualified Stock Option” means an Option which is not designated by the Committee as an Incentive Stock Option.</w:t>
      </w:r>
    </w:p>
    <w:p>
      <w:pPr>
        <w:spacing w:after="0" w:line="44" w:lineRule="exact"/>
        <w:rPr>
          <w:rFonts w:ascii="Arial" w:cs="Arial" w:eastAsia="Arial" w:hAnsi="Arial"/>
          <w:sz w:val="18"/>
          <w:szCs w:val="18"/>
          <w:color w:val="auto"/>
        </w:rPr>
      </w:pPr>
    </w:p>
    <w:p>
      <w:pPr>
        <w:ind w:left="1480" w:hanging="286"/>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117" w:lineRule="exact"/>
        <w:rPr>
          <w:rFonts w:ascii="Arial" w:cs="Arial" w:eastAsia="Arial" w:hAnsi="Arial"/>
          <w:sz w:val="18"/>
          <w:szCs w:val="18"/>
          <w:color w:val="auto"/>
        </w:rPr>
      </w:pPr>
    </w:p>
    <w:p>
      <w:pPr>
        <w:ind w:left="760" w:right="480" w:firstLine="434"/>
        <w:spacing w:after="0" w:line="287" w:lineRule="auto"/>
        <w:tabs>
          <w:tab w:leader="none" w:pos="14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Compensation Award” means an Award designated by the Committee as a Performance Compensation Award pursuant to Section 11 of the Plan.</w:t>
      </w:r>
    </w:p>
    <w:p>
      <w:pPr>
        <w:spacing w:after="0" w:line="44" w:lineRule="exact"/>
        <w:rPr>
          <w:rFonts w:ascii="Arial" w:cs="Arial" w:eastAsia="Arial" w:hAnsi="Arial"/>
          <w:sz w:val="18"/>
          <w:szCs w:val="18"/>
          <w:color w:val="auto"/>
        </w:rPr>
      </w:pPr>
    </w:p>
    <w:p>
      <w:pPr>
        <w:ind w:left="760" w:right="380" w:firstLine="434"/>
        <w:spacing w:after="0" w:line="268" w:lineRule="auto"/>
        <w:tabs>
          <w:tab w:leader="none" w:pos="15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Criteria” shall mean the criterion or criteria that the Committee shall select for purposes of establishing the Performance Goal(s) for a Performance Period with respect to any Performance Compensation Award under the Plan.</w:t>
      </w:r>
    </w:p>
    <w:p>
      <w:pPr>
        <w:spacing w:after="0" w:line="62" w:lineRule="exact"/>
        <w:rPr>
          <w:rFonts w:ascii="Arial" w:cs="Arial" w:eastAsia="Arial" w:hAnsi="Arial"/>
          <w:sz w:val="18"/>
          <w:szCs w:val="18"/>
          <w:color w:val="auto"/>
        </w:rPr>
      </w:pPr>
    </w:p>
    <w:p>
      <w:pPr>
        <w:ind w:left="760" w:right="260" w:firstLine="434"/>
        <w:spacing w:after="0" w:line="262" w:lineRule="auto"/>
        <w:tabs>
          <w:tab w:leader="none" w:pos="14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68" w:lineRule="exact"/>
        <w:rPr>
          <w:rFonts w:ascii="Arial" w:cs="Arial" w:eastAsia="Arial" w:hAnsi="Arial"/>
          <w:sz w:val="18"/>
          <w:szCs w:val="18"/>
          <w:color w:val="auto"/>
        </w:rPr>
      </w:pPr>
    </w:p>
    <w:p>
      <w:pPr>
        <w:ind w:left="760" w:right="620" w:firstLine="434"/>
        <w:spacing w:after="0" w:line="287" w:lineRule="auto"/>
        <w:tabs>
          <w:tab w:leader="none" w:pos="14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Goals” shall mean, for a Performance Period, the one or more goals established by the Committee for the Performance Period based upon the Performance Criteria.</w:t>
      </w:r>
    </w:p>
    <w:p>
      <w:pPr>
        <w:spacing w:after="0" w:line="44" w:lineRule="exact"/>
        <w:rPr>
          <w:rFonts w:ascii="Arial" w:cs="Arial" w:eastAsia="Arial" w:hAnsi="Arial"/>
          <w:sz w:val="18"/>
          <w:szCs w:val="18"/>
          <w:color w:val="auto"/>
        </w:rPr>
      </w:pPr>
    </w:p>
    <w:p>
      <w:pPr>
        <w:ind w:left="760" w:right="140" w:firstLine="434"/>
        <w:spacing w:after="0" w:line="268" w:lineRule="auto"/>
        <w:tabs>
          <w:tab w:leader="none" w:pos="14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as the Committee may select, over which the attainment of one or more Performance Goals will be measured for the purpose of determining the Participant’s right to, and the payment of, a Performance Compensation Award.</w:t>
      </w:r>
    </w:p>
    <w:p>
      <w:pPr>
        <w:spacing w:after="0" w:line="63" w:lineRule="exact"/>
        <w:rPr>
          <w:sz w:val="20"/>
          <w:szCs w:val="20"/>
          <w:color w:val="auto"/>
        </w:rPr>
      </w:pPr>
    </w:p>
    <w:p>
      <w:pPr>
        <w:ind w:left="760" w:right="280" w:firstLine="434"/>
        <w:spacing w:after="0" w:line="276" w:lineRule="auto"/>
        <w:tabs>
          <w:tab w:leader="none" w:pos="1584" w:val="left"/>
        </w:tabs>
        <w:numPr>
          <w:ilvl w:val="1"/>
          <w:numId w:val="62"/>
        </w:numPr>
        <w:rPr>
          <w:rFonts w:ascii="Arial" w:cs="Arial" w:eastAsia="Arial" w:hAnsi="Arial"/>
          <w:sz w:val="17"/>
          <w:szCs w:val="17"/>
          <w:color w:val="auto"/>
        </w:rPr>
      </w:pPr>
      <w:r>
        <w:rPr>
          <w:rFonts w:ascii="Arial" w:cs="Arial" w:eastAsia="Arial" w:hAnsi="Arial"/>
          <w:sz w:val="17"/>
          <w:szCs w:val="17"/>
          <w:color w:val="auto"/>
        </w:rPr>
        <w:t>“Person” has the meaning given in Section 3(a)(9) of the Exchange Act, as modified and used in Sections 13(d) and 14(d) thereof, except that such term shall not include (i) the Company or any of its subsidiaries,</w:t>
      </w:r>
    </w:p>
    <w:p>
      <w:pPr>
        <w:jc w:val="both"/>
        <w:ind w:left="760" w:right="80" w:firstLine="2"/>
        <w:spacing w:after="0" w:line="255" w:lineRule="auto"/>
        <w:tabs>
          <w:tab w:leader="none" w:pos="10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Common Stock of the Company.</w:t>
      </w:r>
    </w:p>
    <w:p>
      <w:pPr>
        <w:spacing w:after="0" w:line="74" w:lineRule="exact"/>
        <w:rPr>
          <w:rFonts w:ascii="Arial" w:cs="Arial" w:eastAsia="Arial" w:hAnsi="Arial"/>
          <w:sz w:val="18"/>
          <w:szCs w:val="18"/>
          <w:color w:val="auto"/>
        </w:rPr>
      </w:pPr>
    </w:p>
    <w:p>
      <w:pPr>
        <w:ind w:left="760" w:right="400" w:firstLine="434"/>
        <w:spacing w:after="0" w:line="287" w:lineRule="auto"/>
        <w:tabs>
          <w:tab w:leader="none" w:pos="15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“Restricted Stock” means an Award of Common Stock, subject to certain specified restrictions, granted under Section 9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177800</wp:posOffset>
            </wp:positionV>
            <wp:extent cx="754380" cy="2400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both"/>
        <w:ind w:left="760" w:right="620" w:firstLine="434"/>
        <w:spacing w:after="0" w:line="261" w:lineRule="auto"/>
        <w:tabs>
          <w:tab w:leader="none" w:pos="15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“Restricted Stock Unit” means an Award of an unfunded and unsecured promise to deliver shares of Common Stock, cash, other securities or other property, subject to certain specified restrictions, granted under Section 9 of the Plan.</w:t>
      </w:r>
    </w:p>
    <w:p>
      <w:pPr>
        <w:spacing w:after="0" w:line="53" w:lineRule="exact"/>
        <w:rPr>
          <w:rFonts w:ascii="Arial" w:cs="Arial" w:eastAsia="Arial" w:hAnsi="Arial"/>
          <w:sz w:val="18"/>
          <w:szCs w:val="18"/>
          <w:color w:val="auto"/>
        </w:rPr>
      </w:pPr>
    </w:p>
    <w:p>
      <w:pPr>
        <w:ind w:left="1580" w:hanging="386"/>
        <w:spacing w:after="0"/>
        <w:tabs>
          <w:tab w:leader="none" w:pos="1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“Securities Act” means the U.S. Securities Act of 1933, as amended, and any successor thereto.</w:t>
      </w:r>
    </w:p>
    <w:p>
      <w:pPr>
        <w:spacing w:after="0" w:line="13" w:lineRule="exact"/>
        <w:rPr>
          <w:rFonts w:ascii="Arial" w:cs="Arial" w:eastAsia="Arial" w:hAnsi="Arial"/>
          <w:sz w:val="18"/>
          <w:szCs w:val="18"/>
          <w:color w:val="auto"/>
        </w:rPr>
      </w:pPr>
    </w:p>
    <w:p>
      <w:pPr>
        <w:ind w:left="760" w:right="80"/>
        <w:spacing w:after="0" w:line="250" w:lineRule="auto"/>
        <w:rPr>
          <w:rFonts w:ascii="Arial" w:cs="Arial" w:eastAsia="Arial" w:hAnsi="Arial"/>
          <w:sz w:val="18"/>
          <w:szCs w:val="18"/>
          <w:color w:val="auto"/>
        </w:rPr>
      </w:pPr>
      <w:r>
        <w:rPr>
          <w:rFonts w:ascii="Arial" w:cs="Arial" w:eastAsia="Arial" w:hAnsi="Arial"/>
          <w:sz w:val="18"/>
          <w:szCs w:val="18"/>
          <w:color w:val="auto"/>
        </w:rPr>
        <w:t>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64" w:lineRule="exact"/>
        <w:rPr>
          <w:rFonts w:ascii="Arial" w:cs="Arial" w:eastAsia="Arial" w:hAnsi="Arial"/>
          <w:sz w:val="18"/>
          <w:szCs w:val="18"/>
          <w:color w:val="auto"/>
        </w:rPr>
      </w:pPr>
    </w:p>
    <w:p>
      <w:pPr>
        <w:ind w:left="1580" w:hanging="386"/>
        <w:spacing w:after="0"/>
        <w:tabs>
          <w:tab w:leader="none" w:pos="1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117" w:lineRule="exact"/>
        <w:rPr>
          <w:rFonts w:ascii="Arial" w:cs="Arial" w:eastAsia="Arial" w:hAnsi="Arial"/>
          <w:sz w:val="18"/>
          <w:szCs w:val="18"/>
          <w:color w:val="auto"/>
        </w:rPr>
      </w:pPr>
    </w:p>
    <w:p>
      <w:pPr>
        <w:ind w:left="1040" w:hanging="278"/>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117" w:lineRule="exact"/>
        <w:rPr>
          <w:rFonts w:ascii="Arial" w:cs="Arial" w:eastAsia="Arial" w:hAnsi="Arial"/>
          <w:sz w:val="18"/>
          <w:szCs w:val="18"/>
          <w:color w:val="auto"/>
        </w:rPr>
      </w:pPr>
    </w:p>
    <w:p>
      <w:pPr>
        <w:ind w:left="760" w:right="60" w:firstLine="434"/>
        <w:spacing w:after="0" w:line="252" w:lineRule="auto"/>
        <w:tabs>
          <w:tab w:leader="none" w:pos="14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Committee shall administer the Plan, and shall have the sole and plenary authority to: (i) designate Participants; (ii) determine the type, size, and terms and conditions of Awards to be granted; (iii) determine the method by which an Award may be settled, exercised, canceled, forfeited, or suspended; (iv) determine the circumstances under which the delivery of cash, property or other amounts payable with respect to an Award may be deferred either automatically or at the Participant’s or Committee’s election; (v) interpret and administer, reconcile any inconsistency in, correct any defect in and/or supply any omission in the Plan and any Award granted under, the Plan; (vi) establish, amend, suspend, or waive any rules and regulations and appoint such agents as the Committee shall deem appropriate for the proper administration of the Plan; (vii) accelerate the vesting, delivery or exercisability of,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necessary to obtain any exception or exemption under the rules of NASDAQ or any other securities exchange or inter-dealer quotation service on which the Common Stock is listed or quoted, as applicable, it is intended that each member of the Committee shall, at the time he takes any action with respect to an Award under the Plan, be (i) a “non-employee director” within the meaning of Rule 16b-3 promulgated under the Exchange Act and/or (ii) an “independent director” under the rules of NASDAQ or any other securities exchange or inter-dealer quotation service on which the Common Stock is listed or quoted (“Eligible Director”). However, the fact that a Committee member shall fail to qualify as an Eligible Director shall not invalidate any Award granted or action taken by the Committee that is otherwise validly granted or taken under the Plan.</w:t>
      </w:r>
    </w:p>
    <w:p>
      <w:pPr>
        <w:spacing w:after="0" w:line="81" w:lineRule="exact"/>
        <w:rPr>
          <w:rFonts w:ascii="Arial" w:cs="Arial" w:eastAsia="Arial" w:hAnsi="Arial"/>
          <w:sz w:val="18"/>
          <w:szCs w:val="18"/>
          <w:color w:val="auto"/>
        </w:rPr>
      </w:pPr>
    </w:p>
    <w:p>
      <w:pPr>
        <w:jc w:val="both"/>
        <w:ind w:left="760" w:right="120" w:firstLine="434"/>
        <w:spacing w:after="0" w:line="262" w:lineRule="auto"/>
        <w:tabs>
          <w:tab w:leader="none" w:pos="14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Committee may allocate all or any portion of its responsibilities and powers to any one or more of its members and may delegate all or any part of its responsibilities and powers to any person(s) selected by it, except for grants of Awards to persons who are non-employee members of the Board or otherwise are subject to Section 16 of the Exchange Act. Any such allocation or delegation may be revoked by the Committee at any time.</w:t>
      </w:r>
    </w:p>
    <w:p>
      <w:pPr>
        <w:spacing w:after="0" w:line="68" w:lineRule="exact"/>
        <w:rPr>
          <w:rFonts w:ascii="Arial" w:cs="Arial" w:eastAsia="Arial" w:hAnsi="Arial"/>
          <w:sz w:val="18"/>
          <w:szCs w:val="18"/>
          <w:color w:val="auto"/>
        </w:rPr>
      </w:pPr>
    </w:p>
    <w:p>
      <w:pPr>
        <w:ind w:left="760" w:right="120" w:firstLine="434"/>
        <w:spacing w:after="0" w:line="259" w:lineRule="auto"/>
        <w:tabs>
          <w:tab w:leader="none" w:pos="146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As further set forth in Section 15(f)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provided, however, that no such action shall be taken without shareholder approval if such approval is required by applicable law or regulation.</w:t>
      </w:r>
    </w:p>
    <w:p>
      <w:pPr>
        <w:spacing w:after="0" w:line="71" w:lineRule="exact"/>
        <w:rPr>
          <w:rFonts w:ascii="Arial" w:cs="Arial" w:eastAsia="Arial" w:hAnsi="Arial"/>
          <w:sz w:val="18"/>
          <w:szCs w:val="18"/>
          <w:color w:val="auto"/>
        </w:rPr>
      </w:pPr>
    </w:p>
    <w:p>
      <w:pPr>
        <w:ind w:left="760" w:right="120" w:firstLine="434"/>
        <w:spacing w:after="0" w:line="259" w:lineRule="auto"/>
        <w:tabs>
          <w:tab w:leader="none" w:pos="14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shareholder of the Company.</w:t>
      </w:r>
    </w:p>
    <w:p>
      <w:pPr>
        <w:spacing w:after="0" w:line="71" w:lineRule="exact"/>
        <w:rPr>
          <w:rFonts w:ascii="Arial" w:cs="Arial" w:eastAsia="Arial" w:hAnsi="Arial"/>
          <w:sz w:val="18"/>
          <w:szCs w:val="18"/>
          <w:color w:val="auto"/>
        </w:rPr>
      </w:pPr>
    </w:p>
    <w:p>
      <w:pPr>
        <w:ind w:left="760" w:right="100" w:firstLine="434"/>
        <w:spacing w:after="0" w:line="272" w:lineRule="auto"/>
        <w:tabs>
          <w:tab w:leader="none" w:pos="1485" w:val="left"/>
        </w:tabs>
        <w:numPr>
          <w:ilvl w:val="1"/>
          <w:numId w:val="65"/>
        </w:numPr>
        <w:rPr>
          <w:rFonts w:ascii="Arial" w:cs="Arial" w:eastAsia="Arial" w:hAnsi="Arial"/>
          <w:sz w:val="17"/>
          <w:szCs w:val="17"/>
          <w:color w:val="auto"/>
        </w:rPr>
      </w:pPr>
      <w:r>
        <w:rPr>
          <w:rFonts w:ascii="Arial" w:cs="Arial" w:eastAsia="Arial" w:hAnsi="Arial"/>
          <w:sz w:val="17"/>
          <w:szCs w:val="17"/>
          <w:color w:val="auto"/>
        </w:rPr>
        <w:t>No member of the Board, the Committee or any employee or agent of the Company (each such person, an “Indemnifiable Person”)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w:t>
      </w:r>
    </w:p>
    <w:p>
      <w:pPr>
        <w:spacing w:after="0" w:line="29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color w:val="auto"/>
        </w:rPr>
        <w:t>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83" w:lineRule="exact"/>
        <w:rPr>
          <w:sz w:val="20"/>
          <w:szCs w:val="20"/>
          <w:color w:val="auto"/>
        </w:rPr>
      </w:pPr>
    </w:p>
    <w:p>
      <w:pPr>
        <w:ind w:left="760" w:right="80" w:firstLine="434"/>
        <w:spacing w:after="0" w:line="271" w:lineRule="auto"/>
        <w:tabs>
          <w:tab w:leader="none" w:pos="143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Board may at any time and from time to time, grant Awards and administer the Plan with respect to such Awards. In any such case, the Board shall have all the authority granted to the Committee under the Plan.</w:t>
      </w:r>
    </w:p>
    <w:p>
      <w:pPr>
        <w:spacing w:after="0" w:line="45" w:lineRule="exact"/>
        <w:rPr>
          <w:rFonts w:ascii="Arial" w:cs="Arial" w:eastAsia="Arial" w:hAnsi="Arial"/>
          <w:sz w:val="18"/>
          <w:szCs w:val="18"/>
          <w:color w:val="auto"/>
        </w:rPr>
      </w:pPr>
    </w:p>
    <w:p>
      <w:pPr>
        <w:ind w:left="1060" w:hanging="298"/>
        <w:spacing w:after="0"/>
        <w:tabs>
          <w:tab w:leader="none" w:pos="10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Grant of Awards; Shares Subject to the Plan; Limitations.</w:t>
      </w:r>
    </w:p>
    <w:p>
      <w:pPr>
        <w:spacing w:after="0" w:line="117" w:lineRule="exact"/>
        <w:rPr>
          <w:rFonts w:ascii="Arial" w:cs="Arial" w:eastAsia="Arial" w:hAnsi="Arial"/>
          <w:sz w:val="18"/>
          <w:szCs w:val="18"/>
          <w:b w:val="1"/>
          <w:bCs w:val="1"/>
          <w:color w:val="auto"/>
        </w:rPr>
      </w:pPr>
    </w:p>
    <w:p>
      <w:pPr>
        <w:ind w:left="760" w:right="400" w:firstLine="434"/>
        <w:spacing w:after="0" w:line="287" w:lineRule="auto"/>
        <w:tabs>
          <w:tab w:leader="none" w:pos="1484"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The Committee may grant Options, Stock Appreciation Rights, Restricted Stock, Restricted Stock Units, Other Stock-Based Awards and/or Performance Compensation Awards to one or more Eligible Persons.</w:t>
      </w:r>
    </w:p>
    <w:p>
      <w:pPr>
        <w:spacing w:after="0" w:line="31" w:lineRule="exact"/>
        <w:rPr>
          <w:rFonts w:ascii="Arial" w:cs="Arial" w:eastAsia="Arial" w:hAnsi="Arial"/>
          <w:sz w:val="18"/>
          <w:szCs w:val="18"/>
          <w:b w:val="1"/>
          <w:bCs w:val="1"/>
          <w:color w:val="auto"/>
        </w:rPr>
      </w:pPr>
    </w:p>
    <w:p>
      <w:pPr>
        <w:ind w:left="1500" w:hanging="306"/>
        <w:spacing w:after="0"/>
        <w:tabs>
          <w:tab w:leader="none" w:pos="150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Subject to Section 12 of the Plan and subsection (e) below, the following limitations apply to the grant of</w:t>
      </w:r>
    </w:p>
    <w:p>
      <w:pPr>
        <w:spacing w:after="0" w:line="13" w:lineRule="exact"/>
        <w:rPr>
          <w:rFonts w:ascii="Arial" w:cs="Arial" w:eastAsia="Arial" w:hAnsi="Arial"/>
          <w:sz w:val="18"/>
          <w:szCs w:val="18"/>
          <w:b w:val="1"/>
          <w:bCs w:val="1"/>
          <w:color w:val="auto"/>
        </w:rPr>
      </w:pPr>
    </w:p>
    <w:p>
      <w:pPr>
        <w:ind w:left="760" w:right="100"/>
        <w:spacing w:after="0" w:line="260" w:lineRule="auto"/>
        <w:rPr>
          <w:rFonts w:ascii="Arial" w:cs="Arial" w:eastAsia="Arial" w:hAnsi="Arial"/>
          <w:sz w:val="18"/>
          <w:szCs w:val="18"/>
          <w:b w:val="1"/>
          <w:bCs w:val="1"/>
          <w:color w:val="auto"/>
        </w:rPr>
      </w:pPr>
      <w:r>
        <w:rPr>
          <w:rFonts w:ascii="Arial" w:cs="Arial" w:eastAsia="Arial" w:hAnsi="Arial"/>
          <w:sz w:val="17"/>
          <w:szCs w:val="17"/>
          <w:color w:val="auto"/>
        </w:rPr>
        <w:t xml:space="preserve">Awards: (i) no more than 33,500,000 shares of Class A Common Stock may be delivered in the aggregate pursuant to Awards granted under the Plan; (ii) no more than 33,500,000 shares of Class A Common Stock may be delivered pursuant to the exercise of Incentive Stock Options granted under the Plan; and (iii) the maximum amount (based on the Fair Market Value of shares of Common Stock on the date of grant as determined in accordance with applicable financial accounting rules) of Awards that may be granted in any single fiscal year to any non-employee director shall be $300,000;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limitation shall not apply in respect of any Restricted Stock Units issued to a non-employee director in lieu of payment of cash director compensation or board or committee fees or in respect of any one-time initial equity grant upon a non-employee director’s appointment to the Board.</w:t>
      </w:r>
    </w:p>
    <w:p>
      <w:pPr>
        <w:spacing w:after="0" w:line="56" w:lineRule="exact"/>
        <w:rPr>
          <w:rFonts w:ascii="Arial" w:cs="Arial" w:eastAsia="Arial" w:hAnsi="Arial"/>
          <w:sz w:val="18"/>
          <w:szCs w:val="18"/>
          <w:b w:val="1"/>
          <w:bCs w:val="1"/>
          <w:color w:val="auto"/>
        </w:rPr>
      </w:pPr>
    </w:p>
    <w:p>
      <w:pPr>
        <w:ind w:left="760" w:right="60" w:firstLine="434"/>
        <w:spacing w:after="0" w:line="258" w:lineRule="auto"/>
        <w:tabs>
          <w:tab w:leader="none" w:pos="1487" w:val="left"/>
        </w:tabs>
        <w:numPr>
          <w:ilvl w:val="1"/>
          <w:numId w:val="67"/>
        </w:numPr>
        <w:rPr>
          <w:rFonts w:ascii="Arial" w:cs="Arial" w:eastAsia="Arial" w:hAnsi="Arial"/>
          <w:sz w:val="17"/>
          <w:szCs w:val="17"/>
          <w:b w:val="1"/>
          <w:bCs w:val="1"/>
          <w:color w:val="auto"/>
        </w:rPr>
      </w:pPr>
      <w:r>
        <w:rPr>
          <w:rFonts w:ascii="Arial" w:cs="Arial" w:eastAsia="Arial" w:hAnsi="Arial"/>
          <w:sz w:val="17"/>
          <w:szCs w:val="17"/>
          <w:color w:val="auto"/>
        </w:rPr>
        <w:t xml:space="preserve">Shares of Common Stock shall be deemed to have been used in settlement of Awards whether or not they are actually delivered or the Fair Market Value equivalent of such shares is paid in cash;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shares of Common Stock issued upon exercise, vesting or settlement of an Award, or shares of Common Stock owned by the Participant are surrendered or tendered to the Company in payment of the Exercise Price or any taxes required to be withheld in respect of an Award, in each case, in accordance with the terms and conditions of the Plan and any applicable Award agreement, such surrendered or tendered shares shall again become available for other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no event shall such shares increase the number of shares of Common Stock that may be delivered pursuant to Incentive Stock Options. If and to the extent all or any portion of an Award expires, terminates or is canceled or forfeited for any reason without the Participant having received any benefit therefrom, the shares covered by such Award or portion thereof shall again become available for other Awards. For purposes of the foregoing sentence, the Participant shall not be deemed to have received any “benefit” (i)​ in the case of forfeited Restricted Stock by reason of having enjoyed voting rights and dividend rights prior to the date of forfeiture or (ii) in the case of an Award canceled by reason of a new Award being granted in substitution therefor.</w:t>
      </w:r>
    </w:p>
    <w:p>
      <w:pPr>
        <w:spacing w:after="0" w:line="62" w:lineRule="exact"/>
        <w:rPr>
          <w:rFonts w:ascii="Arial" w:cs="Arial" w:eastAsia="Arial" w:hAnsi="Arial"/>
          <w:sz w:val="17"/>
          <w:szCs w:val="17"/>
          <w:b w:val="1"/>
          <w:bCs w:val="1"/>
          <w:color w:val="auto"/>
        </w:rPr>
      </w:pPr>
    </w:p>
    <w:p>
      <w:pPr>
        <w:ind w:left="760" w:right="380" w:firstLine="434"/>
        <w:spacing w:after="0" w:line="261" w:lineRule="auto"/>
        <w:tabs>
          <w:tab w:leader="none" w:pos="1497"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53" w:lineRule="exact"/>
        <w:rPr>
          <w:rFonts w:ascii="Arial" w:cs="Arial" w:eastAsia="Arial" w:hAnsi="Arial"/>
          <w:sz w:val="18"/>
          <w:szCs w:val="18"/>
          <w:b w:val="1"/>
          <w:bCs w:val="1"/>
          <w:color w:val="auto"/>
        </w:rPr>
      </w:pPr>
    </w:p>
    <w:p>
      <w:pPr>
        <w:ind w:left="760" w:right="120" w:firstLine="434"/>
        <w:spacing w:after="0" w:line="271" w:lineRule="auto"/>
        <w:tabs>
          <w:tab w:leader="none" w:pos="1484" w:val="left"/>
        </w:tabs>
        <w:numPr>
          <w:ilvl w:val="1"/>
          <w:numId w:val="67"/>
        </w:numPr>
        <w:rPr>
          <w:rFonts w:ascii="Arial" w:cs="Arial" w:eastAsia="Arial" w:hAnsi="Arial"/>
          <w:sz w:val="17"/>
          <w:szCs w:val="17"/>
          <w:b w:val="1"/>
          <w:bCs w:val="1"/>
          <w:color w:val="auto"/>
        </w:rPr>
      </w:pPr>
      <w:r>
        <w:rPr>
          <w:rFonts w:ascii="Arial" w:cs="Arial" w:eastAsia="Arial" w:hAnsi="Arial"/>
          <w:sz w:val="17"/>
          <w:szCs w:val="17"/>
          <w:color w:val="auto"/>
        </w:rPr>
        <w:t>The Committee may grant Awards in assumption of, or in substitution for, outstanding awards previously granted by the Company or any Affiliate or an entity directly or indirectly acquired by the Company or with which the Company combines (“</w:t>
      </w:r>
      <w:r>
        <w:rPr>
          <w:rFonts w:ascii="Arial" w:cs="Arial" w:eastAsia="Arial" w:hAnsi="Arial"/>
          <w:sz w:val="17"/>
          <w:szCs w:val="17"/>
          <w:b w:val="1"/>
          <w:bCs w:val="1"/>
          <w:i w:val="1"/>
          <w:iCs w:val="1"/>
          <w:color w:val="auto"/>
        </w:rPr>
        <w:t>Substitute Awards</w:t>
      </w:r>
      <w:r>
        <w:rPr>
          <w:rFonts w:ascii="Arial" w:cs="Arial" w:eastAsia="Arial" w:hAnsi="Arial"/>
          <w:sz w:val="17"/>
          <w:szCs w:val="17"/>
          <w:color w:val="auto"/>
        </w:rPr>
        <w:t xml:space="preserve">”), and such Substitute Awards shall not be counted against the aggregate number of shares of Common Stock available for Awards; </w:t>
      </w:r>
      <w:r>
        <w:rPr>
          <w:rFonts w:ascii="Arial" w:cs="Arial" w:eastAsia="Arial" w:hAnsi="Arial"/>
          <w:sz w:val="17"/>
          <w:szCs w:val="17"/>
          <w:u w:val="single" w:color="auto"/>
          <w:color w:val="auto"/>
        </w:rPr>
        <w:t>provided</w:t>
      </w:r>
      <w:r>
        <w:rPr>
          <w:rFonts w:ascii="Arial" w:cs="Arial" w:eastAsia="Arial" w:hAnsi="Arial"/>
          <w:sz w:val="17"/>
          <w:szCs w:val="17"/>
          <w:color w:val="auto"/>
        </w:rPr>
        <w:t>, that Substitute Awards issued or intended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311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580"/>
        <w:spacing w:after="0" w:line="271" w:lineRule="auto"/>
        <w:rPr>
          <w:sz w:val="20"/>
          <w:szCs w:val="20"/>
          <w:color w:val="auto"/>
        </w:rPr>
      </w:pPr>
      <w:r>
        <w:rPr>
          <w:rFonts w:ascii="Arial" w:cs="Arial" w:eastAsia="Arial" w:hAnsi="Arial"/>
          <w:sz w:val="18"/>
          <w:szCs w:val="18"/>
          <w:color w:val="auto"/>
        </w:rPr>
        <w:t>“incentive stock options” within the meaning of Section 422 of the Code shall be counted against the aggregate number of Incentive Stock Options available under the Plan.</w:t>
      </w:r>
    </w:p>
    <w:p>
      <w:pPr>
        <w:spacing w:after="0" w:line="59" w:lineRule="exact"/>
        <w:rPr>
          <w:sz w:val="20"/>
          <w:szCs w:val="20"/>
          <w:color w:val="auto"/>
        </w:rPr>
      </w:pPr>
    </w:p>
    <w:p>
      <w:pPr>
        <w:jc w:val="both"/>
        <w:ind w:left="760" w:right="140" w:firstLine="2"/>
        <w:spacing w:after="0" w:line="257" w:lineRule="auto"/>
        <w:tabs>
          <w:tab w:leader="none" w:pos="1053"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Participation shall be limited to Eligible Persons who have been selected by the Committee and who</w:t>
      </w:r>
      <w:r>
        <w:rPr>
          <w:rFonts w:ascii="Arial" w:cs="Arial" w:eastAsia="Arial" w:hAnsi="Arial"/>
          <w:sz w:val="18"/>
          <w:szCs w:val="18"/>
          <w:b w:val="1"/>
          <w:bCs w:val="1"/>
          <w:color w:val="auto"/>
        </w:rPr>
        <w:t xml:space="preserve"> </w:t>
      </w:r>
      <w:r>
        <w:rPr>
          <w:rFonts w:ascii="Arial" w:cs="Arial" w:eastAsia="Arial" w:hAnsi="Arial"/>
          <w:sz w:val="18"/>
          <w:szCs w:val="18"/>
          <w:color w:val="auto"/>
        </w:rPr>
        <w:t>have entered into an Award agreement with respect to an Award granted to them under the Plan (each such Eligible Person,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64" w:lineRule="exact"/>
        <w:rPr>
          <w:rFonts w:ascii="Arial" w:cs="Arial" w:eastAsia="Arial" w:hAnsi="Arial"/>
          <w:sz w:val="18"/>
          <w:szCs w:val="18"/>
          <w:color w:val="auto"/>
        </w:rPr>
      </w:pPr>
    </w:p>
    <w:p>
      <w:pPr>
        <w:ind w:left="1060" w:hanging="298"/>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117" w:lineRule="exact"/>
        <w:rPr>
          <w:rFonts w:ascii="Arial" w:cs="Arial" w:eastAsia="Arial" w:hAnsi="Arial"/>
          <w:sz w:val="18"/>
          <w:szCs w:val="18"/>
          <w:color w:val="auto"/>
        </w:rPr>
      </w:pPr>
    </w:p>
    <w:p>
      <w:pPr>
        <w:ind w:left="760" w:right="80" w:firstLine="434"/>
        <w:spacing w:after="0" w:line="263" w:lineRule="auto"/>
        <w:tabs>
          <w:tab w:leader="none" w:pos="148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Option shall be subject to the conditions set forth in the Plan and in the Award agreement. All Options granted under the Plan shall be Nonqualified Stock Options unless the Award agreement expressly states otherwise. Incentive Stock Options shall be granted only subject to and in compliance with Section 422 of the Code, and only to Eligible Persons who are employees of the Company and its Affiliates and who are eligible to receive an Incentive Stock Option under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53" w:lineRule="exact"/>
        <w:rPr>
          <w:rFonts w:ascii="Arial" w:cs="Arial" w:eastAsia="Arial" w:hAnsi="Arial"/>
          <w:sz w:val="17"/>
          <w:szCs w:val="17"/>
          <w:color w:val="auto"/>
        </w:rPr>
      </w:pPr>
    </w:p>
    <w:p>
      <w:pPr>
        <w:ind w:left="760" w:right="100" w:firstLine="434"/>
        <w:spacing w:after="0" w:line="283" w:lineRule="auto"/>
        <w:tabs>
          <w:tab w:leader="none" w:pos="148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per share of Common Stock for each Option shall not be less than 100% of the Fair Market Value of such share, determined as of the date of grant. Any modification to the Exercise Price of an outstanding Option shall be subject to the prohibition on repricing set forth in Section 14(b).</w:t>
      </w:r>
    </w:p>
    <w:p>
      <w:pPr>
        <w:spacing w:after="0" w:line="37" w:lineRule="exact"/>
        <w:rPr>
          <w:rFonts w:ascii="Arial" w:cs="Arial" w:eastAsia="Arial" w:hAnsi="Arial"/>
          <w:sz w:val="17"/>
          <w:szCs w:val="17"/>
          <w:color w:val="auto"/>
        </w:rPr>
      </w:pPr>
    </w:p>
    <w:p>
      <w:pPr>
        <w:ind w:left="760" w:right="80" w:firstLine="434"/>
        <w:spacing w:after="0" w:line="244" w:lineRule="auto"/>
        <w:tabs>
          <w:tab w:leader="none" w:pos="147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Vesting, Exercise and Expiration</w:t>
      </w:r>
      <w:r>
        <w:rPr>
          <w:rFonts w:ascii="Arial" w:cs="Arial" w:eastAsia="Arial" w:hAnsi="Arial"/>
          <w:sz w:val="18"/>
          <w:szCs w:val="18"/>
          <w:color w:val="auto"/>
        </w:rPr>
        <w:t>. The Committee shall determine the manner and timing of vesting, exercise and expiration of Options. The period between date of grant and the scheduled expiration date of the Option (“</w:t>
      </w:r>
      <w:r>
        <w:rPr>
          <w:rFonts w:ascii="Arial" w:cs="Arial" w:eastAsia="Arial" w:hAnsi="Arial"/>
          <w:sz w:val="18"/>
          <w:szCs w:val="18"/>
          <w:b w:val="1"/>
          <w:bCs w:val="1"/>
          <w:i w:val="1"/>
          <w:iCs w:val="1"/>
          <w:color w:val="auto"/>
        </w:rPr>
        <w:t>Option Period</w:t>
      </w:r>
      <w:r>
        <w:rPr>
          <w:rFonts w:ascii="Arial" w:cs="Arial" w:eastAsia="Arial" w:hAnsi="Arial"/>
          <w:sz w:val="18"/>
          <w:szCs w:val="18"/>
          <w:color w:val="auto"/>
        </w:rPr>
        <w:t>”) shall not exceed ten years, unless the Option Period (other than in the case of an Incentive Stock Option) would expire at a time when trading in the shares of Common Stock is prohibited by the Company’s securities trading policy or a Company-imposed “blackout period”, in which case the Option Period shall be automatically extended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85" w:lineRule="exact"/>
        <w:rPr>
          <w:rFonts w:ascii="Arial" w:cs="Arial" w:eastAsia="Arial" w:hAnsi="Arial"/>
          <w:sz w:val="18"/>
          <w:szCs w:val="18"/>
          <w:color w:val="auto"/>
        </w:rPr>
      </w:pPr>
    </w:p>
    <w:p>
      <w:pPr>
        <w:ind w:left="760" w:right="80" w:firstLine="434"/>
        <w:spacing w:after="0" w:line="256" w:lineRule="auto"/>
        <w:tabs>
          <w:tab w:leader="none" w:pos="148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Method of Exercise and Form of Payment</w:t>
      </w:r>
      <w:r>
        <w:rPr>
          <w:rFonts w:ascii="Arial" w:cs="Arial" w:eastAsia="Arial" w:hAnsi="Arial"/>
          <w:sz w:val="17"/>
          <w:szCs w:val="17"/>
          <w:color w:val="auto"/>
        </w:rPr>
        <w:t xml:space="preserve">. No shares of Common Stock shall be delivered pursuant to any exercise of an Option until the Participant has made payment in full to the Company of the Exercise Price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 party administrator) in accordance with the terms of the Option accompanied by payment of the Exercise Price. The Exercise Price and all applicable required withholding taxes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shares of Common Stock are not subject to any pledge or other security interest; or (ii) by such other method as the Committee may permit, including without limitation: (A) in other property having a Fair Market Value on the date of exercise equal to the Exercise Price and all applicable required withholding taxes; (B)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or (C) by means of a “net exercise” procedure effected by withholding the minimum number of shares of Common Stock otherwise deliverable in respect of an Option that are needed to pay for the Exercise Price and all applicable required withholding taxes. Notwithstanding the foregoing, unless otherwise determined by the Committee, if on the last day of the Option Period, the Fair Market Value exceeds the Exercise Price, the Participant has not exercised the Option, and the Option has not expired, such Option shall be deemed to have been exercised by the Participant on such last day by means of a “net exercise” procedure described above. Any fractional shares of Common Stock shall be settled in cash.</w:t>
      </w:r>
    </w:p>
    <w:p>
      <w:pPr>
        <w:spacing w:after="0" w:line="272" w:lineRule="exact"/>
        <w:rPr>
          <w:rFonts w:ascii="Arial" w:cs="Arial" w:eastAsia="Arial" w:hAnsi="Arial"/>
          <w:sz w:val="17"/>
          <w:szCs w:val="17"/>
          <w:color w:val="auto"/>
        </w:rPr>
      </w:pPr>
    </w:p>
    <w:p>
      <w:pPr>
        <w:jc w:val="both"/>
        <w:ind w:left="760" w:right="260" w:firstLine="434"/>
        <w:spacing w:after="0" w:line="271" w:lineRule="auto"/>
        <w:tabs>
          <w:tab w:leader="none" w:pos="148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Notification upon Disqualifying Disposition of an Incentive Stock Option</w:t>
      </w:r>
      <w:r>
        <w:rPr>
          <w:rFonts w:ascii="Arial" w:cs="Arial" w:eastAsia="Arial" w:hAnsi="Arial"/>
          <w:sz w:val="17"/>
          <w:szCs w:val="17"/>
          <w:color w:val="auto"/>
        </w:rPr>
        <w:t>. Each Participant awarded an Incentive Stock Option under the Plan shall notify the Company in writing immediately after the date he makes a disqualifying disposition of any Common Stock acquired pursuant to the exercise of such Incentive Stock Option. A disqualifying disposition is any disposition (including, without limitation, any sale) of such Common Stock before</w:t>
      </w:r>
    </w:p>
    <w:p>
      <w:pPr>
        <w:spacing w:after="0" w:line="27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80"/>
        <w:spacing w:after="0" w:line="248" w:lineRule="auto"/>
        <w:rPr>
          <w:sz w:val="20"/>
          <w:szCs w:val="20"/>
          <w:color w:val="auto"/>
        </w:rPr>
      </w:pPr>
      <w:r>
        <w:rPr>
          <w:rFonts w:ascii="Arial" w:cs="Arial" w:eastAsia="Arial" w:hAnsi="Arial"/>
          <w:sz w:val="18"/>
          <w:szCs w:val="18"/>
          <w:color w:val="auto"/>
        </w:rPr>
        <w:t>the later of (A) two years after the date of grant of the Incentive Stock Option or (B)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 from such Participant as to the sale of such Common Stock.</w:t>
      </w:r>
    </w:p>
    <w:p>
      <w:pPr>
        <w:spacing w:after="0" w:line="67" w:lineRule="exact"/>
        <w:rPr>
          <w:sz w:val="20"/>
          <w:szCs w:val="20"/>
          <w:color w:val="auto"/>
        </w:rPr>
      </w:pPr>
    </w:p>
    <w:p>
      <w:pPr>
        <w:ind w:left="760" w:right="140" w:firstLine="434"/>
        <w:spacing w:after="0" w:line="247" w:lineRule="auto"/>
        <w:tabs>
          <w:tab w:leader="none" w:pos="143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xml:space="preserve"> Notwithstanding the foregoing, in no event shall the Participant be permitted to exercise an Option in a manner which the Committee determines would violate the 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82" w:lineRule="exact"/>
        <w:rPr>
          <w:rFonts w:ascii="Arial" w:cs="Arial" w:eastAsia="Arial" w:hAnsi="Arial"/>
          <w:sz w:val="18"/>
          <w:szCs w:val="18"/>
          <w:color w:val="auto"/>
        </w:rPr>
      </w:pPr>
    </w:p>
    <w:p>
      <w:pPr>
        <w:ind w:left="760" w:right="80" w:firstLine="434"/>
        <w:spacing w:after="0" w:line="247" w:lineRule="auto"/>
        <w:tabs>
          <w:tab w:leader="none" w:pos="148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Incentive Stock Option Grants to 10% Shareholders</w:t>
      </w:r>
      <w:r>
        <w:rPr>
          <w:rFonts w:ascii="Arial" w:cs="Arial" w:eastAsia="Arial" w:hAnsi="Arial"/>
          <w:sz w:val="18"/>
          <w:szCs w:val="18"/>
          <w:color w:val="auto"/>
        </w:rPr>
        <w:t>. Notwithstanding anything to the contrary in this Section 7, if an Incentive Stock Option is granted to a Participant who owns stock representing more than ten percent of the voting power of all classes of stock of the Company or of a subsidiary or a parent of the Company, the Option Period shall not exceed five years from the date of grant of such Option and the Option Price shall be at least 110% of the Fair Market Value (on the date of grant) of the shares subject to the Option.</w:t>
      </w:r>
    </w:p>
    <w:p>
      <w:pPr>
        <w:spacing w:after="0" w:line="68" w:lineRule="exact"/>
        <w:rPr>
          <w:rFonts w:ascii="Arial" w:cs="Arial" w:eastAsia="Arial" w:hAnsi="Arial"/>
          <w:sz w:val="18"/>
          <w:szCs w:val="18"/>
          <w:color w:val="auto"/>
        </w:rPr>
      </w:pPr>
    </w:p>
    <w:p>
      <w:pPr>
        <w:ind w:left="760" w:right="60" w:firstLine="434"/>
        <w:spacing w:after="0" w:line="252" w:lineRule="auto"/>
        <w:tabs>
          <w:tab w:leader="none" w:pos="148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$100,000 Per Year Limitation for Incentive Stock Options</w:t>
      </w:r>
      <w:r>
        <w:rPr>
          <w:rFonts w:ascii="Arial" w:cs="Arial" w:eastAsia="Arial" w:hAnsi="Arial"/>
          <w:sz w:val="18"/>
          <w:szCs w:val="18"/>
          <w:color w:val="auto"/>
        </w:rPr>
        <w:t>. To the extent the aggregate Fair Market Value (determined as of the date of grant) of shares of Common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75" w:lineRule="exact"/>
        <w:rPr>
          <w:rFonts w:ascii="Arial" w:cs="Arial" w:eastAsia="Arial" w:hAnsi="Arial"/>
          <w:sz w:val="18"/>
          <w:szCs w:val="18"/>
          <w:color w:val="auto"/>
        </w:rPr>
      </w:pPr>
    </w:p>
    <w:p>
      <w:pPr>
        <w:ind w:left="1060" w:hanging="298"/>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Stock Appreciation Rights (SARs)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80" w:firstLine="434"/>
        <w:spacing w:after="0" w:line="253" w:lineRule="auto"/>
        <w:tabs>
          <w:tab w:leader="none" w:pos="148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SAR shall be subject to the conditions set forth in the Plan and the Award agreement. Any Option granted under the Plan may include a tandem SAR. The Committee also may award SARs independent of any Option.</w:t>
      </w:r>
    </w:p>
    <w:p>
      <w:pPr>
        <w:spacing w:after="0" w:line="74" w:lineRule="exact"/>
        <w:rPr>
          <w:rFonts w:ascii="Arial" w:cs="Arial" w:eastAsia="Arial" w:hAnsi="Arial"/>
          <w:sz w:val="18"/>
          <w:szCs w:val="18"/>
          <w:color w:val="auto"/>
        </w:rPr>
      </w:pPr>
    </w:p>
    <w:p>
      <w:pPr>
        <w:ind w:left="760" w:right="100" w:firstLine="434"/>
        <w:spacing w:after="0" w:line="247" w:lineRule="auto"/>
        <w:tabs>
          <w:tab w:leader="none" w:pos="148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Strike Price</w:t>
      </w:r>
      <w:r>
        <w:rPr>
          <w:rFonts w:ascii="Arial" w:cs="Arial" w:eastAsia="Arial" w:hAnsi="Arial"/>
          <w:sz w:val="18"/>
          <w:szCs w:val="18"/>
          <w:color w:val="auto"/>
        </w:rPr>
        <w:t>. The strike price (“</w:t>
      </w:r>
      <w:r>
        <w:rPr>
          <w:rFonts w:ascii="Arial" w:cs="Arial" w:eastAsia="Arial" w:hAnsi="Arial"/>
          <w:sz w:val="18"/>
          <w:szCs w:val="18"/>
          <w:b w:val="1"/>
          <w:bCs w:val="1"/>
          <w:i w:val="1"/>
          <w:iCs w:val="1"/>
          <w:color w:val="auto"/>
        </w:rPr>
        <w:t>Strike Price</w:t>
      </w:r>
      <w:r>
        <w:rPr>
          <w:rFonts w:ascii="Arial" w:cs="Arial" w:eastAsia="Arial" w:hAnsi="Arial"/>
          <w:sz w:val="18"/>
          <w:szCs w:val="18"/>
          <w:color w:val="auto"/>
        </w:rPr>
        <w:t xml:space="preserve">”) per share of Common Stock for each SAR shall not be less than 100% of the Fair Market Value of such share (determined as of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14(b).</w:t>
      </w:r>
    </w:p>
    <w:p>
      <w:pPr>
        <w:spacing w:after="0" w:line="68" w:lineRule="exact"/>
        <w:rPr>
          <w:rFonts w:ascii="Arial" w:cs="Arial" w:eastAsia="Arial" w:hAnsi="Arial"/>
          <w:sz w:val="18"/>
          <w:szCs w:val="18"/>
          <w:color w:val="auto"/>
        </w:rPr>
      </w:pPr>
    </w:p>
    <w:p>
      <w:pPr>
        <w:ind w:left="760" w:right="60" w:firstLine="434"/>
        <w:spacing w:after="0" w:line="243" w:lineRule="auto"/>
        <w:tabs>
          <w:tab w:leader="none" w:pos="147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 A SAR granted in tandem with an Option shall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8"/>
          <w:szCs w:val="18"/>
          <w:b w:val="1"/>
          <w:bCs w:val="1"/>
          <w:i w:val="1"/>
          <w:iCs w:val="1"/>
          <w:color w:val="auto"/>
        </w:rPr>
        <w:t>SAR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securities trading policy or a Company-imposed “blackout period”, the SAR Period shall be automatically extended until the 30th day following the expiration of such prohibition (so long as such extension shall not violate Section 409A of the Code).</w:t>
      </w:r>
    </w:p>
    <w:p>
      <w:pPr>
        <w:spacing w:after="0" w:line="84" w:lineRule="exact"/>
        <w:rPr>
          <w:rFonts w:ascii="Arial" w:cs="Arial" w:eastAsia="Arial" w:hAnsi="Arial"/>
          <w:sz w:val="18"/>
          <w:szCs w:val="18"/>
          <w:color w:val="auto"/>
        </w:rPr>
      </w:pPr>
    </w:p>
    <w:p>
      <w:pPr>
        <w:ind w:left="760" w:right="100" w:firstLine="434"/>
        <w:spacing w:after="0" w:line="244" w:lineRule="auto"/>
        <w:tabs>
          <w:tab w:leader="none" w:pos="148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SARs may be exercised by delivery of written or electronic notice of exercise to the Company or its designee (including a third party administrator) in accordance with the terms of the Award, specifying the number of SARs to be exercised and the date on which such SARs were awarded. Notwithstanding the foregoing, if on the last day of the Option Period (or in the case of a SAR independent of an Option, the SAR Period), the Fair Market Value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spacing w:after="0" w:line="71" w:lineRule="exact"/>
        <w:rPr>
          <w:rFonts w:ascii="Arial" w:cs="Arial" w:eastAsia="Arial" w:hAnsi="Arial"/>
          <w:sz w:val="18"/>
          <w:szCs w:val="18"/>
          <w:color w:val="auto"/>
        </w:rPr>
      </w:pPr>
    </w:p>
    <w:p>
      <w:pPr>
        <w:ind w:left="760" w:right="200" w:firstLine="434"/>
        <w:spacing w:after="0" w:line="261" w:lineRule="auto"/>
        <w:tabs>
          <w:tab w:leader="none" w:pos="148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191770</wp:posOffset>
            </wp:positionV>
            <wp:extent cx="754380" cy="2311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any U.S. Federal, state and local income and employment taxes and non-U.S. income and employment taxes, social contributions and any other tax-related items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62" w:lineRule="exact"/>
        <w:rPr>
          <w:sz w:val="20"/>
          <w:szCs w:val="20"/>
          <w:color w:val="auto"/>
        </w:rPr>
      </w:pPr>
    </w:p>
    <w:p>
      <w:pPr>
        <w:ind w:left="1060" w:hanging="298"/>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120" w:firstLine="434"/>
        <w:spacing w:after="0" w:line="246" w:lineRule="auto"/>
        <w:tabs>
          <w:tab w:leader="none" w:pos="148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Restricted Stock and Restricted Stock Unit grant shall be subject to the conditions set forth in the Plan and the Award agreement. The Committee shall establish restrictions applicable to such Restricted Stock and Restricted Stock Units, including the period over which the restrictions shall apply (the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and the time or times at which Restricted Stock or Restricted Stock Units shall become vested.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accelerate the vesting and/or the lapse of any or all of the restrictions on the Restricted Stock and Restricted Stock Units, which acceleration shall not affect any other terms and conditions of such Awards. No shares shall be issued at the time an Award of Restricted Stock Units is made, and the Company will not be required to set aside a fund for the payment of any such Award.</w:t>
      </w:r>
    </w:p>
    <w:p>
      <w:pPr>
        <w:spacing w:after="0" w:line="71" w:lineRule="exact"/>
        <w:rPr>
          <w:rFonts w:ascii="Arial" w:cs="Arial" w:eastAsia="Arial" w:hAnsi="Arial"/>
          <w:sz w:val="18"/>
          <w:szCs w:val="18"/>
          <w:color w:val="auto"/>
        </w:rPr>
      </w:pPr>
    </w:p>
    <w:p>
      <w:pPr>
        <w:ind w:left="760" w:right="120" w:firstLine="434"/>
        <w:spacing w:after="0" w:line="243" w:lineRule="auto"/>
        <w:tabs>
          <w:tab w:leader="none" w:pos="148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Stock Certificates; Escrow or Similar Arrangement</w:t>
      </w:r>
      <w:r>
        <w:rPr>
          <w:rFonts w:ascii="Arial" w:cs="Arial" w:eastAsia="Arial" w:hAnsi="Arial"/>
          <w:sz w:val="18"/>
          <w:szCs w:val="18"/>
          <w:color w:val="auto"/>
        </w:rPr>
        <w:t>. Upon the grant of Restricted Stock, the Committee shall cause share(s) of Common Stock to be registered in the name of the Participant and held in book-entry form subject to the Company’s directions. The Committee also may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shareholder as to such Restricted Stock, including without limitation the right to vote such Restricted Stock</w:t>
      </w:r>
    </w:p>
    <w:p>
      <w:pPr>
        <w:spacing w:after="0" w:line="84" w:lineRule="exact"/>
        <w:rPr>
          <w:rFonts w:ascii="Arial" w:cs="Arial" w:eastAsia="Arial" w:hAnsi="Arial"/>
          <w:sz w:val="18"/>
          <w:szCs w:val="18"/>
          <w:color w:val="auto"/>
        </w:rPr>
      </w:pPr>
    </w:p>
    <w:p>
      <w:pPr>
        <w:ind w:left="760" w:right="120" w:firstLine="434"/>
        <w:spacing w:after="0" w:line="242" w:lineRule="auto"/>
        <w:tabs>
          <w:tab w:leader="none" w:pos="147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Restrictions; Forfeiture</w:t>
      </w:r>
      <w:r>
        <w:rPr>
          <w:rFonts w:ascii="Arial" w:cs="Arial" w:eastAsia="Arial" w:hAnsi="Arial"/>
          <w:sz w:val="18"/>
          <w:szCs w:val="18"/>
          <w:color w:val="auto"/>
        </w:rPr>
        <w:t>.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shareholder with respect thereto), and/or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Award or Restricted Stock Unit Award, such action is appropriate.</w:t>
      </w:r>
    </w:p>
    <w:p>
      <w:pPr>
        <w:spacing w:after="0" w:line="86" w:lineRule="exact"/>
        <w:rPr>
          <w:rFonts w:ascii="Arial" w:cs="Arial" w:eastAsia="Arial" w:hAnsi="Arial"/>
          <w:sz w:val="18"/>
          <w:szCs w:val="18"/>
          <w:color w:val="auto"/>
        </w:rPr>
      </w:pPr>
    </w:p>
    <w:p>
      <w:pPr>
        <w:ind w:left="1480" w:hanging="286"/>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Delivery of Restricted Stock and Settlement of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firstLine="430"/>
        <w:spacing w:after="0" w:line="243" w:lineRule="auto"/>
        <w:tabs>
          <w:tab w:leader="none" w:pos="1645" w:val="left"/>
        </w:tabs>
        <w:numPr>
          <w:ilvl w:val="2"/>
          <w:numId w:val="71"/>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his beneficiary (via book 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equal to the amount of such dividends, upon the release of restrictions on such share.</w:t>
      </w:r>
    </w:p>
    <w:p>
      <w:pPr>
        <w:spacing w:after="0" w:line="84" w:lineRule="exact"/>
        <w:rPr>
          <w:rFonts w:ascii="Arial" w:cs="Arial" w:eastAsia="Arial" w:hAnsi="Arial"/>
          <w:sz w:val="18"/>
          <w:szCs w:val="18"/>
          <w:color w:val="auto"/>
        </w:rPr>
      </w:pPr>
    </w:p>
    <w:p>
      <w:pPr>
        <w:ind w:left="980" w:right="60" w:firstLine="430"/>
        <w:spacing w:after="0" w:line="244" w:lineRule="auto"/>
        <w:tabs>
          <w:tab w:leader="none" w:pos="1684" w:val="left"/>
        </w:tabs>
        <w:numPr>
          <w:ilvl w:val="2"/>
          <w:numId w:val="71"/>
        </w:numPr>
        <w:rPr>
          <w:rFonts w:ascii="Arial" w:cs="Arial" w:eastAsia="Arial" w:hAnsi="Arial"/>
          <w:sz w:val="18"/>
          <w:szCs w:val="18"/>
          <w:color w:val="auto"/>
        </w:rPr>
      </w:pPr>
      <w:r>
        <w:rPr>
          <w:rFonts w:ascii="Arial" w:cs="Arial" w:eastAsia="Arial" w:hAnsi="Arial"/>
          <w:sz w:val="18"/>
          <w:szCs w:val="18"/>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his beneficiary (via book entry notation or, if applicable, in stock certificate form), one share of Common Stock (or other securities or other property, as applicable) for each such outstanding Restricted Stock Unit which has not then been forfeited and with respect to which the Restricted Period has expired and any other such vesting criteria are attained (“</w:t>
      </w:r>
      <w:r>
        <w:rPr>
          <w:rFonts w:ascii="Arial" w:cs="Arial" w:eastAsia="Arial" w:hAnsi="Arial"/>
          <w:sz w:val="18"/>
          <w:szCs w:val="18"/>
          <w:b w:val="1"/>
          <w:bCs w:val="1"/>
          <w:i w:val="1"/>
          <w:iCs w:val="1"/>
          <w:color w:val="auto"/>
        </w:rPr>
        <w:t>Released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Unit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elect to (i) pay cash or part cash and part Common Stock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lieu of delivering only shares of Common Stock in respect of such Released Units or (ii) defer</w:t>
      </w:r>
    </w:p>
    <w:p>
      <w:pPr>
        <w:spacing w:after="0" w:line="29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420"/>
        <w:spacing w:after="0" w:line="253" w:lineRule="auto"/>
        <w:rPr>
          <w:sz w:val="20"/>
          <w:szCs w:val="20"/>
          <w:color w:val="auto"/>
        </w:rPr>
      </w:pPr>
      <w:r>
        <w:rPr>
          <w:rFonts w:ascii="Arial" w:cs="Arial" w:eastAsia="Arial" w:hAnsi="Arial"/>
          <w:sz w:val="18"/>
          <w:szCs w:val="18"/>
          <w:color w:val="auto"/>
        </w:rPr>
        <w:t>the delivery of Common Stock (or cash or part Common Stock and part cash, as the case may be) beyond the expiration of the Restricted Period if such extension would not cause adverse tax consequences under</w:t>
      </w:r>
    </w:p>
    <w:p>
      <w:pPr>
        <w:ind w:left="980" w:right="100"/>
        <w:spacing w:after="0" w:line="256" w:lineRule="auto"/>
        <w:rPr>
          <w:sz w:val="20"/>
          <w:szCs w:val="20"/>
          <w:color w:val="auto"/>
        </w:rPr>
      </w:pPr>
      <w:r>
        <w:rPr>
          <w:rFonts w:ascii="Arial" w:cs="Arial" w:eastAsia="Arial" w:hAnsi="Arial"/>
          <w:sz w:val="17"/>
          <w:szCs w:val="17"/>
          <w:color w:val="auto"/>
        </w:rPr>
        <w:t>Section 409A of the Code. If a cash payment is made in lieu of delivering shares of Common Stock, the amount of such payment shall be equal to the Fair Market Value of the Common Stock as of the date on which the Restricted Period lapsed with respect to such Restricted Stock Units. 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(and 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release of restrictions on such Restricted Stock Units, and, if such Restricted Stock Units are forfeited, the holder thereof shall have no right to such dividend equivalent payments.</w:t>
      </w:r>
    </w:p>
    <w:p>
      <w:pPr>
        <w:spacing w:after="0" w:line="64" w:lineRule="exact"/>
        <w:rPr>
          <w:sz w:val="20"/>
          <w:szCs w:val="20"/>
          <w:color w:val="auto"/>
        </w:rPr>
      </w:pPr>
    </w:p>
    <w:p>
      <w:pPr>
        <w:jc w:val="both"/>
        <w:ind w:left="760" w:right="360" w:firstLine="434"/>
        <w:spacing w:after="0" w:line="261" w:lineRule="auto"/>
        <w:tabs>
          <w:tab w:leader="none" w:pos="148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54" w:lineRule="exact"/>
        <w:rPr>
          <w:sz w:val="20"/>
          <w:szCs w:val="20"/>
          <w:color w:val="auto"/>
        </w:rPr>
      </w:pPr>
    </w:p>
    <w:p>
      <w:pPr>
        <w:ind w:left="1220" w:right="140"/>
        <w:spacing w:after="0" w:line="251" w:lineRule="auto"/>
        <w:rPr>
          <w:sz w:val="20"/>
          <w:szCs w:val="20"/>
          <w:color w:val="auto"/>
        </w:rPr>
      </w:pPr>
      <w:r>
        <w:rPr>
          <w:rFonts w:ascii="Arial" w:cs="Arial" w:eastAsia="Arial" w:hAnsi="Arial"/>
          <w:sz w:val="18"/>
          <w:szCs w:val="18"/>
          <w:color w:val="auto"/>
        </w:rPr>
        <w:t>TRANSFER OF THIS CERTIFICATE AND THE SHARES REPRESENTED HEREBY IS RESTRICTED PURSUANT TO THE TERMS OF THE VIRTU FINANCIAL, INC. SECOND AMENDED AND RESTATED 2015 MANAGEMENT INCENTIVE PLAN AND A RESTRICTED STOCK AWARD AGREEMENT, DATED AS OF, BETWEEN VIRTU FINANCIAL, INC. AND A COPY OF SUCH PLAN AND AWARD AGREEMENT IS ON FILE AT THE PRINCIPAL EXECUTIVE OFFICES OF VIRTU FINANCIAL, INC.</w:t>
      </w:r>
    </w:p>
    <w:p>
      <w:pPr>
        <w:spacing w:after="0" w:line="65" w:lineRule="exact"/>
        <w:rPr>
          <w:sz w:val="20"/>
          <w:szCs w:val="20"/>
          <w:color w:val="auto"/>
        </w:rPr>
      </w:pPr>
    </w:p>
    <w:p>
      <w:pPr>
        <w:ind w:left="760" w:right="200" w:firstLine="2"/>
        <w:spacing w:after="0" w:line="263" w:lineRule="auto"/>
        <w:tabs>
          <w:tab w:leader="none" w:pos="1152"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Other Stock-Based Awards. </w:t>
      </w:r>
      <w:r>
        <w:rPr>
          <w:rFonts w:ascii="Arial" w:cs="Arial" w:eastAsia="Arial" w:hAnsi="Arial"/>
          <w:sz w:val="17"/>
          <w:szCs w:val="17"/>
          <w:color w:val="auto"/>
        </w:rPr>
        <w:t>The Committee may issue unrestricted Common Stock, rights to receive future</w:t>
      </w:r>
      <w:r>
        <w:rPr>
          <w:rFonts w:ascii="Arial" w:cs="Arial" w:eastAsia="Arial" w:hAnsi="Arial"/>
          <w:sz w:val="17"/>
          <w:szCs w:val="17"/>
          <w:b w:val="1"/>
          <w:bCs w:val="1"/>
          <w:color w:val="auto"/>
        </w:rPr>
        <w:t xml:space="preserve"> </w:t>
      </w:r>
      <w:r>
        <w:rPr>
          <w:rFonts w:ascii="Arial" w:cs="Arial" w:eastAsia="Arial" w:hAnsi="Arial"/>
          <w:sz w:val="17"/>
          <w:szCs w:val="17"/>
          <w:color w:val="auto"/>
        </w:rPr>
        <w:t>grants of Awards, or other Awards denominated in Common Stock (including performance shares or performance units), or Awards that provide for cash payments based in whole or in part on the value or future value of shares of Common Stock under the Plan to Eligible Persons, alone or in tandem with other Awards, in such amounts as the Committee shall from time to time determine (“</w:t>
      </w: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Each Other Stock-Based Award shall be evidenced by an Award agreement which may include conditions including without limitation the payment by the Participant of the Fair Market Value of such shares of Common Stock on the date of grant.</w:t>
      </w:r>
    </w:p>
    <w:p>
      <w:pPr>
        <w:spacing w:after="0" w:line="53" w:lineRule="exact"/>
        <w:rPr>
          <w:rFonts w:ascii="Arial" w:cs="Arial" w:eastAsia="Arial" w:hAnsi="Arial"/>
          <w:sz w:val="17"/>
          <w:szCs w:val="17"/>
          <w:color w:val="auto"/>
        </w:rPr>
      </w:pPr>
    </w:p>
    <w:p>
      <w:pPr>
        <w:ind w:left="1140" w:hanging="378"/>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760" w:right="80" w:firstLine="434"/>
        <w:spacing w:after="0" w:line="252" w:lineRule="auto"/>
        <w:tabs>
          <w:tab w:leader="none" w:pos="148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Committee shall have the authority, at or before the time of grant of any Award described in Sections 7 through 10 of the Plan, to designate such Award as a Performance Compensation Award. In addition, the Committee shall have the authority to make an award of a cash bonus to any Participant and designate such Award as a Performance Compensation Award.</w:t>
      </w:r>
    </w:p>
    <w:p>
      <w:pPr>
        <w:spacing w:after="0" w:line="62" w:lineRule="exact"/>
        <w:rPr>
          <w:rFonts w:ascii="Arial" w:cs="Arial" w:eastAsia="Arial" w:hAnsi="Arial"/>
          <w:sz w:val="18"/>
          <w:szCs w:val="18"/>
          <w:color w:val="auto"/>
        </w:rPr>
      </w:pPr>
    </w:p>
    <w:p>
      <w:pPr>
        <w:ind w:left="760" w:right="60" w:firstLine="434"/>
        <w:spacing w:after="0" w:line="252" w:lineRule="auto"/>
        <w:tabs>
          <w:tab w:leader="none" w:pos="148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Discretion of Committee with Respect to Performance Compensation Awards</w:t>
      </w:r>
      <w:r>
        <w:rPr>
          <w:rFonts w:ascii="Arial" w:cs="Arial" w:eastAsia="Arial" w:hAnsi="Arial"/>
          <w:sz w:val="18"/>
          <w:szCs w:val="18"/>
          <w:color w:val="auto"/>
        </w:rPr>
        <w:t>. The Committee may select the length of a Performance Period, the type(s) of Performance Compensation Awards to be issued, the Performance Criteria used to establish the Performance Goal(s), the kind(s) and/or level(s) of the Performance Goals(s) and the Performance Formula.</w:t>
      </w:r>
    </w:p>
    <w:p>
      <w:pPr>
        <w:spacing w:after="0" w:line="75" w:lineRule="exact"/>
        <w:rPr>
          <w:rFonts w:ascii="Arial" w:cs="Arial" w:eastAsia="Arial" w:hAnsi="Arial"/>
          <w:sz w:val="18"/>
          <w:szCs w:val="18"/>
          <w:color w:val="auto"/>
        </w:rPr>
      </w:pPr>
    </w:p>
    <w:p>
      <w:pPr>
        <w:ind w:left="760" w:right="80" w:firstLine="434"/>
        <w:spacing w:after="0" w:line="255" w:lineRule="auto"/>
        <w:tabs>
          <w:tab w:leader="none" w:pos="1475"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Performance Criteria</w:t>
      </w:r>
      <w:r>
        <w:rPr>
          <w:rFonts w:ascii="Arial" w:cs="Arial" w:eastAsia="Arial" w:hAnsi="Arial"/>
          <w:sz w:val="17"/>
          <w:szCs w:val="17"/>
          <w:color w:val="auto"/>
        </w:rPr>
        <w:t>. The Performance Criteria that will be used to establish the Performance Goal(s) may be based on the attainment of specific levels of performance of the Company (and/or one or more Affiliates, divisions or operational and/or business units, product lines, brands, business segments, administrative departments, units, or any combination of the foregoing) including, but not limited to the following: (i) net earnings or net income (before or after taxes);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gross revenue or gross revenue growth, invested capital, equity or sales); (vii) cash flow measures (including, but not limited to, operating cash flow, free cash flow and cash flow return on capital), which may but are not required to be measured on a per-share basis; (viii) earnings before or after taxes, interest, depreciation, and amortization (including EBIT and EBITDA); (ix) gross or net operating margins; (x) productivity ratios; (xi) share price (including, but not limited to, growth measures and total shareholder return); (xii) expense targets or cost reduction goals, general and administrative expense savings; (xiii) operating efficiency; (xiv) objective measures of customer satisfaction;</w:t>
      </w:r>
    </w:p>
    <w:p>
      <w:pPr>
        <w:spacing w:after="0" w:line="4" w:lineRule="exact"/>
        <w:rPr>
          <w:rFonts w:ascii="Arial" w:cs="Arial" w:eastAsia="Arial" w:hAnsi="Arial"/>
          <w:sz w:val="17"/>
          <w:szCs w:val="17"/>
          <w:color w:val="auto"/>
        </w:rPr>
      </w:pPr>
    </w:p>
    <w:p>
      <w:pPr>
        <w:ind w:left="760" w:right="1260"/>
        <w:spacing w:after="0" w:line="250" w:lineRule="auto"/>
        <w:rPr>
          <w:rFonts w:ascii="Arial" w:cs="Arial" w:eastAsia="Arial" w:hAnsi="Arial"/>
          <w:sz w:val="17"/>
          <w:szCs w:val="17"/>
          <w:color w:val="auto"/>
        </w:rPr>
      </w:pPr>
      <w:r>
        <w:rPr>
          <w:rFonts w:ascii="Arial" w:cs="Arial" w:eastAsia="Arial" w:hAnsi="Arial"/>
          <w:sz w:val="18"/>
          <w:szCs w:val="18"/>
          <w:color w:val="auto"/>
        </w:rPr>
        <w:t>(xv) working capital targets; (xvi) measures of economic value added or other “value creation” metrics; (xvii)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198120</wp:posOffset>
            </wp:positionV>
            <wp:extent cx="754380" cy="2400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value; (xviii) stockholder return; (xix) client retention; (xx) competitive market metrics; (xxi) employee retention;</w:t>
      </w:r>
    </w:p>
    <w:p>
      <w:pPr>
        <w:spacing w:after="0" w:line="27" w:lineRule="exact"/>
        <w:rPr>
          <w:sz w:val="20"/>
          <w:szCs w:val="20"/>
          <w:color w:val="auto"/>
        </w:rPr>
      </w:pPr>
    </w:p>
    <w:p>
      <w:pPr>
        <w:ind w:left="760" w:right="60" w:firstLine="2"/>
        <w:spacing w:after="0" w:line="251"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 (xxiii) system-wide revenues; (xxiv) cost of capital, debt leverage year-end cash position or book value; (xxv) strategic objectives, development of new product lines and related revenue, sales and margin targets, or international operations; or (xxvi) any combination of the foregoing. Any one or more of the Performance Criteria may be stated as a percentage of another Performance Criteria, or a percentage of a prior period’s Performance Criteria, or used on an absolute, relative or adjusted basis to measure the performance of the Company and/or one or more Affiliates as a whole or any divisions or operational and/or business units, product lines, brands, business segments, administrative departments of the Company and/or one or more Affiliates or any combination thereof, as the Committee may deem appropriate, or any of the above Performance Criteria may be compared to the performance of a group of comparator companies, or a published or special index that the Committee deems appropriate, or as compared to various stock market indices. The Committee also has the authority to provide for accelerated vesting, delivery and exercisability of any Award based on the achievement of Performance Goals pursuant to the Performance Criteria specified in this paragraph.</w:t>
      </w:r>
    </w:p>
    <w:p>
      <w:pPr>
        <w:spacing w:after="0" w:line="82" w:lineRule="exact"/>
        <w:rPr>
          <w:rFonts w:ascii="Arial" w:cs="Arial" w:eastAsia="Arial" w:hAnsi="Arial"/>
          <w:sz w:val="18"/>
          <w:szCs w:val="18"/>
          <w:color w:val="auto"/>
        </w:rPr>
      </w:pPr>
    </w:p>
    <w:p>
      <w:pPr>
        <w:ind w:left="760" w:right="140" w:firstLine="434"/>
        <w:spacing w:after="0" w:line="267" w:lineRule="auto"/>
        <w:tabs>
          <w:tab w:leader="none" w:pos="1485"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Modification of Performance Goal(s)</w:t>
      </w:r>
      <w:r>
        <w:rPr>
          <w:rFonts w:ascii="Arial" w:cs="Arial" w:eastAsia="Arial" w:hAnsi="Arial"/>
          <w:sz w:val="17"/>
          <w:szCs w:val="17"/>
          <w:color w:val="auto"/>
        </w:rPr>
        <w:t>. The Committee may alter Performance Criteria without obtaining shareholder approval if applicable tax and/or securities laws so permit. The Committee may modify the calculation of a Performance Goal to reflect any of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Standards Codification Topic 225-20 (or any successor pronouncement thereto) and/or in management’s discussion and analysis of financial condition and results of operations appearing in the Company’s annual report to shareholders for the applicable year; (vi) acquisitions or divestitures; (vii) any other specific unusual or nonrecurring events, or objectively determinable category thereof; (viii) foreign exchange gains and losses;</w:t>
      </w:r>
    </w:p>
    <w:p>
      <w:pPr>
        <w:spacing w:after="0" w:line="4" w:lineRule="exact"/>
        <w:rPr>
          <w:rFonts w:ascii="Arial" w:cs="Arial" w:eastAsia="Arial" w:hAnsi="Arial"/>
          <w:sz w:val="17"/>
          <w:szCs w:val="17"/>
          <w:color w:val="auto"/>
        </w:rPr>
      </w:pPr>
    </w:p>
    <w:p>
      <w:pPr>
        <w:ind w:left="1060" w:hanging="298"/>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discontinued operations and nonrecurring charges; and (x) a change in the Company’s fiscal year.</w:t>
      </w:r>
    </w:p>
    <w:p>
      <w:pPr>
        <w:spacing w:after="0" w:line="99" w:lineRule="exact"/>
        <w:rPr>
          <w:rFonts w:ascii="Arial" w:cs="Arial" w:eastAsia="Arial" w:hAnsi="Arial"/>
          <w:sz w:val="18"/>
          <w:szCs w:val="18"/>
          <w:color w:val="auto"/>
        </w:rPr>
      </w:pPr>
    </w:p>
    <w:p>
      <w:pPr>
        <w:ind w:left="760" w:right="60" w:firstLine="434"/>
        <w:spacing w:after="0" w:line="259" w:lineRule="auto"/>
        <w:tabs>
          <w:tab w:leader="none" w:pos="1485"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Payment of Performance Compensation Awards</w:t>
      </w:r>
      <w:r>
        <w:rPr>
          <w:rFonts w:ascii="Arial" w:cs="Arial" w:eastAsia="Arial" w:hAnsi="Arial"/>
          <w:sz w:val="18"/>
          <w:szCs w:val="18"/>
          <w:color w:val="auto"/>
        </w:rPr>
        <w:t>. Unless otherwise provided in the applicable Award agreement or any employment, consulting, change-in-control, severance or other agreement between the Participant and the Company or an Affiliate, the Participant must be employed by or rendering services for the Company or an Affiliate on the last day of a Performance Period to be eligible for payment in respect of a Performance Compensation Award for such Performance Period.</w:t>
      </w:r>
    </w:p>
    <w:p>
      <w:pPr>
        <w:spacing w:after="0" w:line="71" w:lineRule="exact"/>
        <w:rPr>
          <w:rFonts w:ascii="Arial" w:cs="Arial" w:eastAsia="Arial" w:hAnsi="Arial"/>
          <w:sz w:val="18"/>
          <w:szCs w:val="18"/>
          <w:color w:val="auto"/>
        </w:rPr>
      </w:pPr>
    </w:p>
    <w:p>
      <w:pPr>
        <w:ind w:left="760" w:right="300" w:firstLine="434"/>
        <w:spacing w:after="0" w:line="274" w:lineRule="auto"/>
        <w:tabs>
          <w:tab w:leader="none" w:pos="1435"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Timing of Award Payments</w:t>
      </w:r>
      <w:r>
        <w:rPr>
          <w:rFonts w:ascii="Arial" w:cs="Arial" w:eastAsia="Arial" w:hAnsi="Arial"/>
          <w:sz w:val="17"/>
          <w:szCs w:val="17"/>
          <w:color w:val="auto"/>
        </w:rPr>
        <w:t>. Unless otherwise provided in the applicable Award agreement, Performance Compensation Awards granted for a Performance Period shall be paid to Participants as soon as administratively practicable following determination by the Committee that the applicable Performance Goals for the Performance Period have been satisfied. Unless otherwise provided in an Award agreement, any Performance Compensation Award that is deferred and is otherwise payable in shares of Common Stock shall be credited (during the period between the date as of which the Award is deferred and the payment date) with dividend equivalents (in a manner consistent with the methodology set forth in the last sentence of Section 9(d)(ii)).</w:t>
      </w:r>
    </w:p>
    <w:p>
      <w:pPr>
        <w:spacing w:after="0" w:line="58" w:lineRule="exact"/>
        <w:rPr>
          <w:sz w:val="20"/>
          <w:szCs w:val="20"/>
          <w:color w:val="auto"/>
        </w:rPr>
      </w:pPr>
    </w:p>
    <w:p>
      <w:pPr>
        <w:ind w:left="760" w:right="60" w:firstLine="2"/>
        <w:spacing w:after="0" w:line="269" w:lineRule="auto"/>
        <w:tabs>
          <w:tab w:leader="none" w:pos="1152"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Changes in Capital Structure and Similar Events. </w:t>
      </w:r>
      <w:r>
        <w:rPr>
          <w:rFonts w:ascii="Arial" w:cs="Arial" w:eastAsia="Arial" w:hAnsi="Arial"/>
          <w:sz w:val="17"/>
          <w:szCs w:val="17"/>
          <w:color w:val="auto"/>
        </w:rPr>
        <w:t>In the event of (a) any dividend (other than regular cash</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make any such adjustments in such manner as it may deem equitable, including without limitation any or all of the following: (i) adjusting any or all of (A) the number of shares of Common Stock or other securities of the Company (or number and kind of other securities or other property) which may be delivered in respect of Awards or with respect to which Awards may be granted under the Plan (including, without limitation, adjusting any or all of the limitations under Section 5 of the Plan) and</w:t>
      </w:r>
    </w:p>
    <w:p>
      <w:pPr>
        <w:spacing w:after="0" w:line="26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280" w:firstLine="2"/>
        <w:spacing w:after="0" w:line="261" w:lineRule="auto"/>
        <w:tabs>
          <w:tab w:leader="none" w:pos="104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or</w:t>
      </w:r>
    </w:p>
    <w:p>
      <w:pPr>
        <w:spacing w:after="0" w:line="1" w:lineRule="exact"/>
        <w:rPr>
          <w:rFonts w:ascii="Arial" w:cs="Arial" w:eastAsia="Arial" w:hAnsi="Arial"/>
          <w:sz w:val="17"/>
          <w:szCs w:val="17"/>
          <w:color w:val="auto"/>
        </w:rPr>
      </w:pPr>
    </w:p>
    <w:p>
      <w:pPr>
        <w:ind w:left="760" w:right="60"/>
        <w:spacing w:after="0" w:line="253" w:lineRule="auto"/>
        <w:rPr>
          <w:rFonts w:ascii="Arial" w:cs="Arial" w:eastAsia="Arial" w:hAnsi="Arial"/>
          <w:sz w:val="17"/>
          <w:szCs w:val="17"/>
          <w:color w:val="auto"/>
        </w:rPr>
      </w:pPr>
      <w:r>
        <w:rPr>
          <w:rFonts w:ascii="Arial" w:cs="Arial" w:eastAsia="Arial" w:hAnsi="Arial"/>
          <w:sz w:val="17"/>
          <w:szCs w:val="17"/>
          <w:color w:val="auto"/>
        </w:rPr>
        <w:t xml:space="preserve">(3) any applicable performance measures (including, without limitation, Performance Criteria, Performance Formula and Performance Goals); (ii) 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upon the occurrence of such event); and (iii) 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shareholders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share of Common Stock subject thereto may be canceled and terminated without any payment or consideration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shall make an equitable or proportionate adjustment to outstanding</w:t>
      </w:r>
    </w:p>
    <w:p>
      <w:pPr>
        <w:spacing w:after="0" w:line="10" w:lineRule="exact"/>
        <w:rPr>
          <w:rFonts w:ascii="Arial" w:cs="Arial" w:eastAsia="Arial" w:hAnsi="Arial"/>
          <w:sz w:val="17"/>
          <w:szCs w:val="17"/>
          <w:color w:val="auto"/>
        </w:rPr>
      </w:pPr>
    </w:p>
    <w:p>
      <w:pPr>
        <w:ind w:left="760" w:right="80"/>
        <w:spacing w:after="0" w:line="243" w:lineRule="auto"/>
        <w:rPr>
          <w:rFonts w:ascii="Arial" w:cs="Arial" w:eastAsia="Arial" w:hAnsi="Arial"/>
          <w:sz w:val="17"/>
          <w:szCs w:val="17"/>
          <w:color w:val="auto"/>
        </w:rPr>
      </w:pPr>
      <w:r>
        <w:rPr>
          <w:rFonts w:ascii="Arial" w:cs="Arial" w:eastAsia="Arial" w:hAnsi="Arial"/>
          <w:sz w:val="18"/>
          <w:szCs w:val="18"/>
          <w:color w:val="auto"/>
        </w:rPr>
        <w:t>Awards to reflect any “equity restructuring” (within​ the meaning of the Financial Accounting Standards Codification Topic 718 (or any successor pronouncement thereto)). Except as otherwise determined by the Committee,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which does not adversely affect the exemption provided pursuant to Rule 16b-3 promulgated under the Exchange Act. The Company shall give each Participant notice of an adjustment hereunder and, upon notice, such adjustment shall be conclusive and binding for all purposes.</w:t>
      </w:r>
    </w:p>
    <w:p>
      <w:pPr>
        <w:spacing w:after="0" w:line="74" w:lineRule="exact"/>
        <w:rPr>
          <w:sz w:val="20"/>
          <w:szCs w:val="20"/>
          <w:color w:val="auto"/>
        </w:rPr>
      </w:pPr>
    </w:p>
    <w:p>
      <w:pPr>
        <w:ind w:left="760" w:right="60" w:firstLine="2"/>
        <w:spacing w:after="0" w:line="252"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Except to the extent otherwise provided in an Award agreement,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employment, consulting, change-in-control, severance or other agreement between the Participant and the Company or an Affiliate, in the event of a Change in Control, notwithstanding any provision of the Plan to the contrary:</w:t>
      </w:r>
    </w:p>
    <w:p>
      <w:pPr>
        <w:spacing w:after="0" w:line="62" w:lineRule="exact"/>
        <w:rPr>
          <w:rFonts w:ascii="Arial" w:cs="Arial" w:eastAsia="Arial" w:hAnsi="Arial"/>
          <w:sz w:val="18"/>
          <w:szCs w:val="18"/>
          <w:color w:val="auto"/>
        </w:rPr>
      </w:pPr>
    </w:p>
    <w:p>
      <w:pPr>
        <w:ind w:left="760" w:right="100" w:firstLine="434"/>
        <w:spacing w:after="0" w:line="243" w:lineRule="auto"/>
        <w:tabs>
          <w:tab w:leader="none" w:pos="1485"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In the event the Participant’s employment with the Company or an Affiliate is terminated by the Company or Affiliate without Cause (and other than due to death or Disability) on or within 12 months following a Change in Control, the Committee may provide that all Options and SARs held by such Participant shall become immediately exercisable with respect to 100% of the shares subject to such Options and SARs, and that the Restricted Period (and any other conditions) shall expire immediately with respect to 100% of the shares of Restricted Stock and Restricted Stock Units and any other Awards held by such Participant (including a waiver of any applicable Performance Goals);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the vesting or exercisability of any Award would otherwise be subject to the achievement of performance conditions, the portion of such Award that shall become fully vested and immediately exercisable shall be based on the assumed achievement of target performance as determined by the Committee and prorated for the number of days elapsed from the grant date of such Award through the date of termination.</w:t>
      </w:r>
    </w:p>
    <w:p>
      <w:pPr>
        <w:spacing w:after="0" w:line="84" w:lineRule="exact"/>
        <w:rPr>
          <w:rFonts w:ascii="Arial" w:cs="Arial" w:eastAsia="Arial" w:hAnsi="Arial"/>
          <w:sz w:val="18"/>
          <w:szCs w:val="18"/>
          <w:color w:val="auto"/>
        </w:rPr>
      </w:pPr>
    </w:p>
    <w:p>
      <w:pPr>
        <w:ind w:left="760" w:right="120" w:firstLine="434"/>
        <w:spacing w:after="0" w:line="245" w:lineRule="auto"/>
        <w:tabs>
          <w:tab w:leader="none" w:pos="1485"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addition, the Committee may upon at least ten (10) days’ advance notice to the affected persons,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shareholders of the Company in the event. Notwithstanding the above, the Committee shall exercise such discretion over any Award subject to Code Section 409A at the time such Award is granted.</w:t>
      </w:r>
    </w:p>
    <w:p>
      <w:pPr>
        <w:spacing w:after="0" w:line="82" w:lineRule="exact"/>
        <w:rPr>
          <w:rFonts w:ascii="Arial" w:cs="Arial" w:eastAsia="Arial" w:hAnsi="Arial"/>
          <w:sz w:val="18"/>
          <w:szCs w:val="18"/>
          <w:color w:val="auto"/>
        </w:rPr>
      </w:pPr>
    </w:p>
    <w:p>
      <w:pPr>
        <w:ind w:left="760" w:right="120" w:firstLine="434"/>
        <w:spacing w:after="0" w:line="253" w:lineRule="auto"/>
        <w:tabs>
          <w:tab w:leader="none" w:pos="14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the extent practicable, the provisions of this Section 13 shall occur in a manner and at a time which allows affected Participants the ability to participate in the Change in Control transaction with respect to the Common Stock subject to their Awards.</w:t>
      </w:r>
    </w:p>
    <w:p>
      <w:pPr>
        <w:spacing w:after="0" w:line="74" w:lineRule="exact"/>
        <w:rPr>
          <w:rFonts w:ascii="Arial" w:cs="Arial" w:eastAsia="Arial" w:hAnsi="Arial"/>
          <w:sz w:val="18"/>
          <w:szCs w:val="18"/>
          <w:color w:val="auto"/>
        </w:rPr>
      </w:pPr>
    </w:p>
    <w:p>
      <w:pPr>
        <w:ind w:left="1160" w:hanging="398"/>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120" w:firstLine="434"/>
        <w:spacing w:after="0" w:line="271" w:lineRule="auto"/>
        <w:tabs>
          <w:tab w:leader="none" w:pos="1485"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 xml:space="preserve">. The Board may amend, alter, suspend, discontinue, or terminate the Plan or any portion thereof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amendment, alteration, suspension,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186690</wp:posOffset>
            </wp:positionV>
            <wp:extent cx="754380" cy="2317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760"/>
        <w:spacing w:after="0"/>
        <w:tabs>
          <w:tab w:leader="none" w:pos="2080" w:val="left"/>
          <w:tab w:leader="none" w:pos="5220" w:val="left"/>
          <w:tab w:leader="none" w:pos="9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80"/>
        <w:spacing w:after="0" w:line="260" w:lineRule="auto"/>
        <w:rPr>
          <w:sz w:val="20"/>
          <w:szCs w:val="20"/>
          <w:color w:val="auto"/>
        </w:rPr>
      </w:pPr>
      <w:r>
        <w:rPr>
          <w:rFonts w:ascii="Arial" w:cs="Arial" w:eastAsia="Arial" w:hAnsi="Arial"/>
          <w:sz w:val="17"/>
          <w:szCs w:val="17"/>
          <w:color w:val="auto"/>
        </w:rPr>
        <w:t xml:space="preserve">discontinuation or termination shall be made without shareholder approval if such approval is necessary to comply with any tax or regulatory requirement applicable to the Plan (including, without limitation, as necessary to comply with any rules or requirements of any securities exchange or inter-dealer quotation service on which the shares of Common Stock may be listed or quoted, for changes in GAAP to new accounting standards;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either is required or advisable in order for the Company, the Plan or the Award to satisfy any applicable law or regulation. Notwithstanding the foregoing, no amendment shall be made to the last proviso of Section 14(b) without shareholder approval.</w:t>
      </w:r>
    </w:p>
    <w:p>
      <w:pPr>
        <w:spacing w:after="0" w:line="56" w:lineRule="exact"/>
        <w:rPr>
          <w:sz w:val="20"/>
          <w:szCs w:val="20"/>
          <w:color w:val="auto"/>
        </w:rPr>
      </w:pPr>
    </w:p>
    <w:p>
      <w:pPr>
        <w:ind w:left="760" w:right="80" w:firstLine="434"/>
        <w:spacing w:after="0" w:line="252" w:lineRule="auto"/>
        <w:tabs>
          <w:tab w:leader="none" w:pos="1485"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 xml:space="preserve">. The Committee may, to the extent not inconsistent with the terms of any applicable Award agreement, waive any conditions or rights under, amend any terms of, or alter, suspend, discontinue, cancel or terminate, any Award theretofore granted or the associated Award agreement, prospectively or retroactively (including after the Participant’s termination of employment or service with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either is required or advisable in order for the Company, the Plan or the Award to satisfy any applicable law or regulation;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as otherwise permitted under Section 12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which would either (A) be reportable on the Company’s proxy statement or Form 10-K (if applicable) as Options which have been “repriced” (as​ such term is used in Item 402 of Regulation S-K promulgated under the Exchange Act), or (B) result in any “repricing” for financial statement reporting purposes (or otherwise cause the Award to fail to qualify for equity accounting treatment) or (iii) the Committee takes any other action which is considered a “repricing” for purposes of the shareholder approval rules of the applicable securities exchange or inter-dealer quotation service on which the Common Stock is listed or quoted, then, in the case of the immediately preceding clauses (i) through (iii), any such action shall not be effective without shareholder approval.</w:t>
      </w:r>
    </w:p>
    <w:p>
      <w:pPr>
        <w:spacing w:after="0" w:line="82" w:lineRule="exact"/>
        <w:rPr>
          <w:rFonts w:ascii="Arial" w:cs="Arial" w:eastAsia="Arial" w:hAnsi="Arial"/>
          <w:sz w:val="18"/>
          <w:szCs w:val="18"/>
          <w:color w:val="auto"/>
        </w:rPr>
      </w:pPr>
    </w:p>
    <w:p>
      <w:pPr>
        <w:ind w:left="1160" w:hanging="398"/>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200" w:firstLine="434"/>
        <w:spacing w:after="0" w:line="255" w:lineRule="auto"/>
        <w:tabs>
          <w:tab w:leader="none" w:pos="1485"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Award Agreements; Other Agreements</w:t>
      </w:r>
      <w:r>
        <w:rPr>
          <w:rFonts w:ascii="Arial" w:cs="Arial" w:eastAsia="Arial" w:hAnsi="Arial"/>
          <w:sz w:val="18"/>
          <w:szCs w:val="18"/>
          <w:color w:val="auto"/>
        </w:rPr>
        <w:t>. Each Award under the Plan shall be evidenced by an Award agreement, which shall be delivered to the Participant and shall specify the terms and conditions of the Award and any rules applicable thereto. An Award agreement may be in written or electronic form and shall be signed (either in written or electronic form) by the Participant and a duly authorized representative of the Company. The terms of any Award agreement, or any employment, change-in-control, severance or other agreement in effect with the Participant, may have terms or features different from and/or additional to those set forth in the Plan, and, unless expressly provided otherwise in such Award or other agreement, shall control in the event of any conflict with the terms of the Plan.</w:t>
      </w:r>
    </w:p>
    <w:p>
      <w:pPr>
        <w:spacing w:after="0" w:line="76" w:lineRule="exact"/>
        <w:rPr>
          <w:rFonts w:ascii="Arial" w:cs="Arial" w:eastAsia="Arial" w:hAnsi="Arial"/>
          <w:sz w:val="18"/>
          <w:szCs w:val="18"/>
          <w:color w:val="auto"/>
        </w:rPr>
      </w:pPr>
    </w:p>
    <w:p>
      <w:pPr>
        <w:ind w:left="1480" w:hanging="286"/>
        <w:spacing w:after="0"/>
        <w:tabs>
          <w:tab w:leader="none" w:pos="1480"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00" w:firstLine="430"/>
        <w:spacing w:after="0" w:line="275" w:lineRule="auto"/>
        <w:tabs>
          <w:tab w:leader="none" w:pos="1645" w:val="left"/>
        </w:tabs>
        <w:numPr>
          <w:ilvl w:val="3"/>
          <w:numId w:val="80"/>
        </w:numPr>
        <w:rPr>
          <w:rFonts w:ascii="Arial" w:cs="Arial" w:eastAsia="Arial" w:hAnsi="Arial"/>
          <w:sz w:val="17"/>
          <w:szCs w:val="17"/>
          <w:color w:val="auto"/>
        </w:rPr>
      </w:pPr>
      <w:r>
        <w:rPr>
          <w:rFonts w:ascii="Arial" w:cs="Arial" w:eastAsia="Arial" w:hAnsi="Arial"/>
          <w:sz w:val="17"/>
          <w:szCs w:val="17"/>
          <w:color w:val="auto"/>
        </w:rPr>
        <w:t xml:space="preserve">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designation of a beneficiary shall not constitute an assignment, alienation, pledge, attachment, sale, transfer or encumbrance.</w:t>
      </w:r>
    </w:p>
    <w:p>
      <w:pPr>
        <w:spacing w:after="0" w:line="60" w:lineRule="exact"/>
        <w:rPr>
          <w:rFonts w:ascii="Arial" w:cs="Arial" w:eastAsia="Arial" w:hAnsi="Arial"/>
          <w:sz w:val="17"/>
          <w:szCs w:val="17"/>
          <w:color w:val="auto"/>
        </w:rPr>
      </w:pPr>
    </w:p>
    <w:p>
      <w:pPr>
        <w:ind w:left="980" w:right="100" w:firstLine="430"/>
        <w:spacing w:after="0" w:line="276" w:lineRule="auto"/>
        <w:tabs>
          <w:tab w:leader="none" w:pos="1684" w:val="left"/>
        </w:tabs>
        <w:numPr>
          <w:ilvl w:val="3"/>
          <w:numId w:val="80"/>
        </w:numPr>
        <w:rPr>
          <w:rFonts w:ascii="Arial" w:cs="Arial" w:eastAsia="Arial" w:hAnsi="Arial"/>
          <w:sz w:val="17"/>
          <w:szCs w:val="17"/>
          <w:color w:val="auto"/>
        </w:rPr>
      </w:pPr>
      <w:r>
        <w:rPr>
          <w:rFonts w:ascii="Arial" w:cs="Arial" w:eastAsia="Arial" w:hAnsi="Arial"/>
          <w:sz w:val="17"/>
          <w:szCs w:val="17"/>
          <w:color w:val="auto"/>
        </w:rPr>
        <w:t>Notwithstanding the foregoing, the Committee may permit Awards (other than Incentive Stock Options) to be transferred by the Participant, without consideration, subject to such rules as the Committee may adopt, to:</w:t>
      </w:r>
    </w:p>
    <w:p>
      <w:pPr>
        <w:ind w:left="980" w:right="160" w:hanging="2"/>
        <w:spacing w:after="0" w:line="275" w:lineRule="auto"/>
        <w:tabs>
          <w:tab w:leader="none" w:pos="1264"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person who is a “family member” of the Participant, as such term is used in the instructions to Form S-8 under the Securities Act or any successor form of registration statements promulgated by the Securities and Exchange Commission (collectively, the “</w:t>
      </w:r>
      <w:r>
        <w:rPr>
          <w:rFonts w:ascii="Arial" w:cs="Arial" w:eastAsia="Arial" w:hAnsi="Arial"/>
          <w:sz w:val="17"/>
          <w:szCs w:val="17"/>
          <w:b w:val="1"/>
          <w:bCs w:val="1"/>
          <w:i w:val="1"/>
          <w:iCs w:val="1"/>
          <w:color w:val="auto"/>
        </w:rPr>
        <w:t>Immediate Family Members</w:t>
      </w:r>
      <w:r>
        <w:rPr>
          <w:rFonts w:ascii="Arial" w:cs="Arial" w:eastAsia="Arial" w:hAnsi="Arial"/>
          <w:sz w:val="17"/>
          <w:szCs w:val="17"/>
          <w:color w:val="auto"/>
        </w:rPr>
        <w:t>”); (B) a trust solely for the benefit of the Participant and his Immediate Family Members; (C) a partnership or limited liability company whose only partners</w:t>
      </w:r>
    </w:p>
    <w:p>
      <w:pPr>
        <w:spacing w:after="0" w:line="28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140"/>
        <w:spacing w:after="0" w:line="248" w:lineRule="auto"/>
        <w:rPr>
          <w:sz w:val="20"/>
          <w:szCs w:val="20"/>
          <w:color w:val="auto"/>
        </w:rPr>
      </w:pPr>
      <w:r>
        <w:rPr>
          <w:rFonts w:ascii="Arial" w:cs="Arial" w:eastAsia="Arial" w:hAnsi="Arial"/>
          <w:sz w:val="18"/>
          <w:szCs w:val="18"/>
          <w:color w:val="auto"/>
        </w:rPr>
        <w:t>or shareholders are the Participant and his Immediate Family Members; or (D) any other transferee as may be approved either (1) by the Board or the Committee, or (2) as provided in the applicable Award agreement; (each transferee described in clauses (A), (B), (C) and (D) above is hereinafter referred to as a “</w:t>
      </w:r>
      <w:r>
        <w:rPr>
          <w:rFonts w:ascii="Arial" w:cs="Arial" w:eastAsia="Arial" w:hAnsi="Arial"/>
          <w:sz w:val="18"/>
          <w:szCs w:val="18"/>
          <w:b w:val="1"/>
          <w:bCs w:val="1"/>
          <w:i w:val="1"/>
          <w:i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Participant gives the Committee advance written notice describing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the proposed transfer and the Committee notifies the Participant in writing that such a transfer would comply with the requirements of the Plan.</w:t>
      </w:r>
    </w:p>
    <w:p>
      <w:pPr>
        <w:spacing w:after="0" w:line="67" w:lineRule="exact"/>
        <w:rPr>
          <w:sz w:val="20"/>
          <w:szCs w:val="20"/>
          <w:color w:val="auto"/>
        </w:rPr>
      </w:pPr>
    </w:p>
    <w:p>
      <w:pPr>
        <w:ind w:left="980" w:right="80" w:firstLine="430"/>
        <w:spacing w:after="0" w:line="253" w:lineRule="auto"/>
        <w:tabs>
          <w:tab w:leader="none" w:pos="1719"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terms of any Award transferred in accordance with the immediately preceding sentence shall apply to the Permitted Transferee and any reference in the Plan, or in any applicable Award 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w:t>
      </w:r>
    </w:p>
    <w:p>
      <w:pPr>
        <w:spacing w:after="0" w:line="77" w:lineRule="exact"/>
        <w:rPr>
          <w:rFonts w:ascii="Arial" w:cs="Arial" w:eastAsia="Arial" w:hAnsi="Arial"/>
          <w:sz w:val="18"/>
          <w:szCs w:val="18"/>
          <w:color w:val="auto"/>
        </w:rPr>
      </w:pPr>
    </w:p>
    <w:p>
      <w:pPr>
        <w:ind w:left="760" w:right="100" w:firstLine="434"/>
        <w:spacing w:after="0" w:line="268" w:lineRule="auto"/>
        <w:tabs>
          <w:tab w:leader="none" w:pos="1475"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xml:space="preserve">. The Committee may provide the Participant as part of an Award with dividends or dividend equivalents,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w:t>
      </w:r>
      <w:r>
        <w:rPr>
          <w:rFonts w:ascii="Arial" w:cs="Arial" w:eastAsia="Arial" w:hAnsi="Arial"/>
          <w:sz w:val="17"/>
          <w:szCs w:val="17"/>
          <w:u w:val="single" w:color="auto"/>
          <w:color w:val="auto"/>
        </w:rPr>
        <w:t>provided</w:t>
      </w:r>
      <w:r>
        <w:rPr>
          <w:rFonts w:ascii="Arial" w:cs="Arial" w:eastAsia="Arial" w:hAnsi="Arial"/>
          <w:sz w:val="17"/>
          <w:szCs w:val="17"/>
          <w:color w:val="auto"/>
        </w:rPr>
        <w:t>, that no dividends or dividend equivalents shall be payable in respect of outstanding (i) Options or SARs or</w:t>
      </w:r>
    </w:p>
    <w:p>
      <w:pPr>
        <w:spacing w:after="0" w:line="4" w:lineRule="exact"/>
        <w:rPr>
          <w:rFonts w:ascii="Arial" w:cs="Arial" w:eastAsia="Arial" w:hAnsi="Arial"/>
          <w:sz w:val="17"/>
          <w:szCs w:val="17"/>
          <w:color w:val="auto"/>
        </w:rPr>
      </w:pPr>
    </w:p>
    <w:p>
      <w:pPr>
        <w:ind w:left="760" w:right="180" w:firstLine="2"/>
        <w:spacing w:after="0" w:line="253" w:lineRule="auto"/>
        <w:tabs>
          <w:tab w:leader="none" w:pos="10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unearned Performance Compensation Awards or other unearned Awards subject to performance conditions (other than or in addition to the passage of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76" w:lineRule="exact"/>
        <w:rPr>
          <w:rFonts w:ascii="Arial" w:cs="Arial" w:eastAsia="Arial" w:hAnsi="Arial"/>
          <w:sz w:val="18"/>
          <w:szCs w:val="18"/>
          <w:color w:val="auto"/>
        </w:rPr>
      </w:pPr>
    </w:p>
    <w:p>
      <w:pPr>
        <w:ind w:left="1480" w:hanging="28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20" w:firstLine="430"/>
        <w:spacing w:after="0" w:line="256" w:lineRule="auto"/>
        <w:tabs>
          <w:tab w:leader="none" w:pos="164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in respect of an Award, its exercise, or any payment or transfer under an Award or under the Plan and to take such other action as the Committee or the Company deem necessary to satisfy all obligations for the payment of such withholding taxes.</w:t>
      </w:r>
    </w:p>
    <w:p>
      <w:pPr>
        <w:spacing w:after="0" w:line="75" w:lineRule="exact"/>
        <w:rPr>
          <w:sz w:val="20"/>
          <w:szCs w:val="20"/>
          <w:color w:val="auto"/>
        </w:rPr>
      </w:pPr>
    </w:p>
    <w:p>
      <w:pPr>
        <w:ind w:left="980" w:right="160" w:firstLine="430"/>
        <w:spacing w:after="0" w:line="257" w:lineRule="auto"/>
        <w:tabs>
          <w:tab w:leader="none" w:pos="1684" w:val="left"/>
        </w:tabs>
        <w:numPr>
          <w:ilvl w:val="1"/>
          <w:numId w:val="84"/>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the Committee may permit the Participant to satisfy, in whole or in part, the foregoing withholding liability by (A) payment in cash; (B) the delivery of shares of Common Stock (which are not subject to any pledge or other security interest) owned by the Participant having a Fair Market Value equal to such withholding liability or (C) having the Company withhold from the number of shares of Common Stock otherwise issuable or deliverable pursuant to the exercise or settlement of the Award a number of shares with a Fair Market Value equal to such withholding liability.</w:t>
      </w:r>
    </w:p>
    <w:p>
      <w:pPr>
        <w:spacing w:after="0" w:line="74" w:lineRule="exact"/>
        <w:rPr>
          <w:rFonts w:ascii="Arial" w:cs="Arial" w:eastAsia="Arial" w:hAnsi="Arial"/>
          <w:sz w:val="18"/>
          <w:szCs w:val="18"/>
          <w:color w:val="auto"/>
        </w:rPr>
      </w:pPr>
    </w:p>
    <w:p>
      <w:pPr>
        <w:ind w:left="760" w:right="80" w:firstLine="434"/>
        <w:spacing w:after="0" w:line="275" w:lineRule="auto"/>
        <w:tabs>
          <w:tab w:leader="none" w:pos="148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w:t>
      </w:r>
      <w:r>
        <w:rPr>
          <w:rFonts w:ascii="Arial" w:cs="Arial" w:eastAsia="Arial" w:hAnsi="Arial"/>
          <w:sz w:val="17"/>
          <w:szCs w:val="17"/>
          <w:color w:val="auto"/>
        </w:rPr>
        <w:t>. No employee of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187325</wp:posOffset>
            </wp:positionV>
            <wp:extent cx="754380" cy="2400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180"/>
        <w:spacing w:after="0" w:line="261" w:lineRule="auto"/>
        <w:rPr>
          <w:sz w:val="20"/>
          <w:szCs w:val="20"/>
          <w:color w:val="auto"/>
        </w:rPr>
      </w:pPr>
      <w:r>
        <w:rPr>
          <w:rFonts w:ascii="Arial" w:cs="Arial" w:eastAsia="Arial" w:hAnsi="Arial"/>
          <w:sz w:val="18"/>
          <w:szCs w:val="18"/>
          <w:color w:val="auto"/>
        </w:rPr>
        <w:t>nor any action taken hereunder shall be construed as giving any Participant any right to be retained in the employ or service of the Company or an Affiliate, nor shall it be construed as giving any Participant any rights to continued service on the Board.</w:t>
      </w:r>
    </w:p>
    <w:p>
      <w:pPr>
        <w:spacing w:after="0" w:line="54" w:lineRule="exact"/>
        <w:rPr>
          <w:sz w:val="20"/>
          <w:szCs w:val="20"/>
          <w:color w:val="auto"/>
        </w:rPr>
      </w:pPr>
    </w:p>
    <w:p>
      <w:pPr>
        <w:ind w:left="760" w:right="60" w:firstLine="434"/>
        <w:spacing w:after="0" w:line="244" w:lineRule="auto"/>
        <w:tabs>
          <w:tab w:leader="none" w:pos="143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which vary with local requirements. The Committee may also adopt rules, procedures or sub-plans applicable to particular Affiliates or locations.</w:t>
      </w:r>
    </w:p>
    <w:p>
      <w:pPr>
        <w:spacing w:after="0" w:line="69" w:lineRule="exact"/>
        <w:rPr>
          <w:rFonts w:ascii="Arial" w:cs="Arial" w:eastAsia="Arial" w:hAnsi="Arial"/>
          <w:sz w:val="18"/>
          <w:szCs w:val="18"/>
          <w:color w:val="auto"/>
        </w:rPr>
      </w:pPr>
    </w:p>
    <w:p>
      <w:pPr>
        <w:ind w:left="760" w:right="120" w:firstLine="434"/>
        <w:spacing w:after="0" w:line="246" w:lineRule="auto"/>
        <w:tabs>
          <w:tab w:leader="none" w:pos="14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 The Participant’s beneficiary shall be deemed to be his spouse (or domestic partner if such status is recognized by the Company and in such jurisdiction), or if the Participant is otherwise unmarried at the time of death, his estate, except to the extent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71" w:lineRule="exact"/>
        <w:rPr>
          <w:rFonts w:ascii="Arial" w:cs="Arial" w:eastAsia="Arial" w:hAnsi="Arial"/>
          <w:sz w:val="18"/>
          <w:szCs w:val="18"/>
          <w:color w:val="auto"/>
        </w:rPr>
      </w:pPr>
    </w:p>
    <w:p>
      <w:pPr>
        <w:ind w:left="760" w:right="100" w:firstLine="434"/>
        <w:spacing w:after="0" w:line="244" w:lineRule="auto"/>
        <w:tabs>
          <w:tab w:leader="none" w:pos="14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69" w:lineRule="exact"/>
        <w:rPr>
          <w:rFonts w:ascii="Arial" w:cs="Arial" w:eastAsia="Arial" w:hAnsi="Arial"/>
          <w:sz w:val="18"/>
          <w:szCs w:val="18"/>
          <w:color w:val="auto"/>
        </w:rPr>
      </w:pPr>
    </w:p>
    <w:p>
      <w:pPr>
        <w:ind w:left="760" w:right="60" w:firstLine="434"/>
        <w:spacing w:after="0" w:line="261" w:lineRule="auto"/>
        <w:tabs>
          <w:tab w:leader="none" w:pos="142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that person.</w:t>
      </w:r>
    </w:p>
    <w:p>
      <w:pPr>
        <w:spacing w:after="0" w:line="53" w:lineRule="exact"/>
        <w:rPr>
          <w:rFonts w:ascii="Arial" w:cs="Arial" w:eastAsia="Arial" w:hAnsi="Arial"/>
          <w:sz w:val="18"/>
          <w:szCs w:val="18"/>
          <w:color w:val="auto"/>
        </w:rPr>
      </w:pPr>
    </w:p>
    <w:p>
      <w:pPr>
        <w:ind w:left="1420" w:hanging="226"/>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00" w:firstLine="430"/>
        <w:spacing w:after="0" w:line="261" w:lineRule="auto"/>
        <w:tabs>
          <w:tab w:leader="none" w:pos="1645"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Nothing in the Plan shall be deemed to authorize the Committee or Board or any members thereof to take any action contrary to applicable law or regulation, or rules of NASDAQ or any other securities exchange or inter-dealer quotation service on which the Common Stock is listed or quoted.</w:t>
      </w:r>
    </w:p>
    <w:p>
      <w:pPr>
        <w:spacing w:after="0" w:line="53" w:lineRule="exact"/>
        <w:rPr>
          <w:rFonts w:ascii="Arial" w:cs="Arial" w:eastAsia="Arial" w:hAnsi="Arial"/>
          <w:sz w:val="18"/>
          <w:szCs w:val="18"/>
          <w:color w:val="auto"/>
        </w:rPr>
      </w:pPr>
    </w:p>
    <w:p>
      <w:pPr>
        <w:ind w:left="980" w:right="120" w:firstLine="430"/>
        <w:spacing w:after="0" w:line="257" w:lineRule="auto"/>
        <w:tabs>
          <w:tab w:leader="none" w:pos="1681"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delivered under the Plan shall be subject to such stop transfer orders and other restrictions as the Committee may deem advisable under the Plan, the applicable Award agreement, the U.S. Federal securities laws, or the rules, regulations and other requirements of the U.S. Securities and Exchange Commission, any securities exchange or inter-dealer quotation service upon which such shares or other securities of the Company</w:t>
      </w:r>
    </w:p>
    <w:p>
      <w:pPr>
        <w:spacing w:after="0" w:line="28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100"/>
        <w:spacing w:after="0" w:line="261" w:lineRule="auto"/>
        <w:rPr>
          <w:sz w:val="20"/>
          <w:szCs w:val="20"/>
          <w:color w:val="auto"/>
        </w:rPr>
      </w:pPr>
      <w:r>
        <w:rPr>
          <w:rFonts w:ascii="Arial" w:cs="Arial" w:eastAsia="Arial" w:hAnsi="Arial"/>
          <w:sz w:val="17"/>
          <w:szCs w:val="17"/>
          <w:color w:val="auto"/>
        </w:rPr>
        <w:t>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58" w:lineRule="exact"/>
        <w:rPr>
          <w:sz w:val="20"/>
          <w:szCs w:val="20"/>
          <w:color w:val="auto"/>
        </w:rPr>
      </w:pPr>
    </w:p>
    <w:p>
      <w:pPr>
        <w:ind w:left="980" w:right="120" w:firstLine="430"/>
        <w:spacing w:after="0" w:line="270" w:lineRule="auto"/>
        <w:tabs>
          <w:tab w:leader="none" w:pos="1719"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61" w:lineRule="exact"/>
        <w:rPr>
          <w:rFonts w:ascii="Arial" w:cs="Arial" w:eastAsia="Arial" w:hAnsi="Arial"/>
          <w:sz w:val="17"/>
          <w:szCs w:val="17"/>
          <w:color w:val="auto"/>
        </w:rPr>
      </w:pPr>
    </w:p>
    <w:p>
      <w:pPr>
        <w:ind w:left="760" w:right="180" w:firstLine="434"/>
        <w:spacing w:after="0" w:line="274" w:lineRule="auto"/>
        <w:tabs>
          <w:tab w:leader="none" w:pos="147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Section 83(b) Elections Without Consent of Company</w:t>
      </w:r>
      <w:r>
        <w:rPr>
          <w:rFonts w:ascii="Arial" w:cs="Arial" w:eastAsia="Arial" w:hAnsi="Arial"/>
          <w:sz w:val="17"/>
          <w:szCs w:val="17"/>
          <w:color w:val="auto"/>
        </w:rPr>
        <w:t>. No election under Section 83(b) of the Code or under a similar provision of law may be made unless expressly permitted by the terms of the applicable Award agreement or by action of the Committee in writing prior to the making of such election. If the Participant, in connection with the acquisition of shares of Common Stock under the Plan or otherwise, is expressly permitted to make such election and the Participant makes the election, the Participant shall notify the Company of such election within ten days of filing notice of the election with the Internal Revenue Service or other governmental authority, in addition to any filing and notification required pursuant to Section 83(b) of the Code or other applicable provision.</w:t>
      </w:r>
    </w:p>
    <w:p>
      <w:pPr>
        <w:spacing w:after="0" w:line="57" w:lineRule="exact"/>
        <w:rPr>
          <w:rFonts w:ascii="Arial" w:cs="Arial" w:eastAsia="Arial" w:hAnsi="Arial"/>
          <w:sz w:val="17"/>
          <w:szCs w:val="17"/>
          <w:color w:val="auto"/>
        </w:rPr>
      </w:pPr>
    </w:p>
    <w:p>
      <w:pPr>
        <w:ind w:left="760" w:right="100" w:firstLine="434"/>
        <w:spacing w:after="0" w:line="255" w:lineRule="auto"/>
        <w:tabs>
          <w:tab w:leader="none" w:pos="142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Payments to Persons Other Than Participants</w:t>
      </w:r>
      <w:r>
        <w:rPr>
          <w:rFonts w:ascii="Arial" w:cs="Arial" w:eastAsia="Arial" w:hAnsi="Arial"/>
          <w:sz w:val="18"/>
          <w:szCs w:val="18"/>
          <w:color w:val="auto"/>
        </w:rPr>
        <w:t>. If the Committee shall find that any person to whom any amount is payable under the Plan is unable to care for his affairs because of illness or accident, or is a minor, or has died, then any payment due to such person or his estate (unless a prior claim therefor has been made by a duly appointed legal representative or a beneficiary designation form has been filed with the Company)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76" w:lineRule="exact"/>
        <w:rPr>
          <w:rFonts w:ascii="Arial" w:cs="Arial" w:eastAsia="Arial" w:hAnsi="Arial"/>
          <w:sz w:val="18"/>
          <w:szCs w:val="18"/>
          <w:color w:val="auto"/>
        </w:rPr>
      </w:pPr>
    </w:p>
    <w:p>
      <w:pPr>
        <w:ind w:left="760" w:right="60" w:firstLine="434"/>
        <w:spacing w:after="0" w:line="259" w:lineRule="auto"/>
        <w:tabs>
          <w:tab w:leader="none" w:pos="153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the submission of the Plan to the shareholders of the Company for approval shall be construed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71" w:lineRule="exact"/>
        <w:rPr>
          <w:rFonts w:ascii="Arial" w:cs="Arial" w:eastAsia="Arial" w:hAnsi="Arial"/>
          <w:sz w:val="18"/>
          <w:szCs w:val="18"/>
          <w:color w:val="auto"/>
        </w:rPr>
      </w:pPr>
    </w:p>
    <w:p>
      <w:pPr>
        <w:ind w:left="760" w:right="140" w:firstLine="434"/>
        <w:spacing w:after="0" w:line="255" w:lineRule="auto"/>
        <w:tabs>
          <w:tab w:leader="none" w:pos="148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76" w:lineRule="exact"/>
        <w:rPr>
          <w:rFonts w:ascii="Arial" w:cs="Arial" w:eastAsia="Arial" w:hAnsi="Arial"/>
          <w:sz w:val="18"/>
          <w:szCs w:val="18"/>
          <w:color w:val="auto"/>
        </w:rPr>
      </w:pPr>
    </w:p>
    <w:p>
      <w:pPr>
        <w:ind w:left="760" w:right="60" w:firstLine="434"/>
        <w:spacing w:after="0" w:line="268" w:lineRule="auto"/>
        <w:tabs>
          <w:tab w:leader="none" w:pos="148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(and their respective designees) shall be fully justified in acting or failing to act, as the case may be, and shall not be liable for having so acted or failed to act in good faith, in reliance upon any report made by the independent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400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public accounting firm of the Company and its Affiliates and/or any other information furnished in connection with the Plan by any agent of the Company or the Committee or the Board, other than himself.</w:t>
      </w:r>
    </w:p>
    <w:p>
      <w:pPr>
        <w:spacing w:after="0" w:line="59" w:lineRule="exact"/>
        <w:rPr>
          <w:sz w:val="20"/>
          <w:szCs w:val="20"/>
          <w:color w:val="auto"/>
        </w:rPr>
      </w:pPr>
    </w:p>
    <w:p>
      <w:pPr>
        <w:ind w:left="760" w:right="180" w:firstLine="434"/>
        <w:spacing w:after="0" w:line="253" w:lineRule="auto"/>
        <w:tabs>
          <w:tab w:leader="none" w:pos="14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74" w:lineRule="exact"/>
        <w:rPr>
          <w:rFonts w:ascii="Arial" w:cs="Arial" w:eastAsia="Arial" w:hAnsi="Arial"/>
          <w:sz w:val="18"/>
          <w:szCs w:val="18"/>
          <w:color w:val="auto"/>
        </w:rPr>
      </w:pPr>
    </w:p>
    <w:p>
      <w:pPr>
        <w:ind w:left="760" w:right="60" w:firstLine="434"/>
        <w:spacing w:after="0" w:line="262" w:lineRule="auto"/>
        <w:tabs>
          <w:tab w:leader="none" w:pos="148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Purchase for Investment</w:t>
      </w:r>
      <w:r>
        <w:rPr>
          <w:rFonts w:ascii="Arial" w:cs="Arial" w:eastAsia="Arial" w:hAnsi="Arial"/>
          <w:sz w:val="17"/>
          <w:szCs w:val="17"/>
          <w:color w:val="auto"/>
        </w:rPr>
        <w:t>. Whether or not the Options and shares covered by the Plan have been registered under the Securities Act, each person exercising an Option under the Plan or acquiring shares under the Plan, may be required by the Company to give a representation in writing that such person is acquiring such shares for investment and not with a view to, or for sale in connection with, the distribution of any part thereof. The Company will endorse any necessary legend referring to the foregoing restriction upon the certificate or certificates representing any shares issued or transferred to the Participant upon the exercise of any Option granted under the Plan.</w:t>
      </w:r>
    </w:p>
    <w:p>
      <w:pPr>
        <w:spacing w:after="0" w:line="69" w:lineRule="exact"/>
        <w:rPr>
          <w:rFonts w:ascii="Arial" w:cs="Arial" w:eastAsia="Arial" w:hAnsi="Arial"/>
          <w:sz w:val="17"/>
          <w:szCs w:val="17"/>
          <w:color w:val="auto"/>
        </w:rPr>
      </w:pPr>
    </w:p>
    <w:p>
      <w:pPr>
        <w:ind w:left="760" w:right="260" w:firstLine="434"/>
        <w:spacing w:after="0" w:line="253" w:lineRule="auto"/>
        <w:tabs>
          <w:tab w:leader="none" w:pos="143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74" w:lineRule="exact"/>
        <w:rPr>
          <w:rFonts w:ascii="Arial" w:cs="Arial" w:eastAsia="Arial" w:hAnsi="Arial"/>
          <w:sz w:val="18"/>
          <w:szCs w:val="18"/>
          <w:color w:val="auto"/>
        </w:rPr>
      </w:pPr>
    </w:p>
    <w:p>
      <w:pPr>
        <w:ind w:left="760" w:right="60" w:firstLine="434"/>
        <w:spacing w:after="0" w:line="246" w:lineRule="auto"/>
        <w:tabs>
          <w:tab w:leader="none" w:pos="147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67" w:lineRule="exact"/>
        <w:rPr>
          <w:rFonts w:ascii="Arial" w:cs="Arial" w:eastAsia="Arial" w:hAnsi="Arial"/>
          <w:sz w:val="18"/>
          <w:szCs w:val="18"/>
          <w:color w:val="auto"/>
        </w:rPr>
      </w:pPr>
    </w:p>
    <w:p>
      <w:pPr>
        <w:ind w:left="760" w:right="220" w:firstLine="434"/>
        <w:spacing w:after="0" w:line="252" w:lineRule="auto"/>
        <w:tabs>
          <w:tab w:leader="none" w:pos="143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62" w:lineRule="exact"/>
        <w:rPr>
          <w:rFonts w:ascii="Arial" w:cs="Arial" w:eastAsia="Arial" w:hAnsi="Arial"/>
          <w:sz w:val="18"/>
          <w:szCs w:val="18"/>
          <w:color w:val="auto"/>
        </w:rPr>
      </w:pPr>
    </w:p>
    <w:p>
      <w:pPr>
        <w:ind w:left="1480" w:hanging="286"/>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409A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60" w:firstLine="430"/>
        <w:spacing w:after="0" w:line="243" w:lineRule="auto"/>
        <w:tabs>
          <w:tab w:leader="none" w:pos="16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It is intended that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84" w:lineRule="exact"/>
        <w:rPr>
          <w:rFonts w:ascii="Arial" w:cs="Arial" w:eastAsia="Arial" w:hAnsi="Arial"/>
          <w:sz w:val="18"/>
          <w:szCs w:val="18"/>
          <w:color w:val="auto"/>
        </w:rPr>
      </w:pPr>
    </w:p>
    <w:p>
      <w:pPr>
        <w:ind w:left="980" w:right="100" w:firstLine="430"/>
        <w:spacing w:after="0" w:line="246" w:lineRule="auto"/>
        <w:tabs>
          <w:tab w:leader="none" w:pos="1684"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if the Participant is a “specified employee” within the meaning of Section 409A(a)(2)(B)(i) of the Code, no payments or deliveries in respect of any Awards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67" w:lineRule="exact"/>
        <w:rPr>
          <w:rFonts w:ascii="Arial" w:cs="Arial" w:eastAsia="Arial" w:hAnsi="Arial"/>
          <w:sz w:val="18"/>
          <w:szCs w:val="18"/>
          <w:color w:val="auto"/>
        </w:rPr>
      </w:pPr>
    </w:p>
    <w:p>
      <w:pPr>
        <w:ind w:left="980" w:right="200" w:firstLine="430"/>
        <w:spacing w:after="0" w:line="265" w:lineRule="auto"/>
        <w:tabs>
          <w:tab w:leader="none" w:pos="1722"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w:t>
      </w:r>
    </w:p>
    <w:p>
      <w:pPr>
        <w:spacing w:after="0" w:line="25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420"/>
        <w:spacing w:after="0" w:line="287" w:lineRule="auto"/>
        <w:rPr>
          <w:sz w:val="20"/>
          <w:szCs w:val="20"/>
          <w:color w:val="auto"/>
        </w:rPr>
      </w:pPr>
      <w:r>
        <w:rPr>
          <w:rFonts w:ascii="Arial" w:cs="Arial" w:eastAsia="Arial" w:hAnsi="Arial"/>
          <w:sz w:val="18"/>
          <w:szCs w:val="18"/>
          <w:color w:val="auto"/>
        </w:rPr>
        <w:t>the Disability also satisfies the definition of “Disability” pursuant to Section 409A of the Code and any Treasury Regulations promulgated thereunder.</w:t>
      </w:r>
    </w:p>
    <w:p>
      <w:pPr>
        <w:spacing w:after="0" w:line="45" w:lineRule="exact"/>
        <w:rPr>
          <w:sz w:val="20"/>
          <w:szCs w:val="20"/>
          <w:color w:val="auto"/>
        </w:rPr>
      </w:pPr>
    </w:p>
    <w:p>
      <w:pPr>
        <w:ind w:left="760" w:right="60" w:firstLine="434"/>
        <w:spacing w:after="0" w:line="252" w:lineRule="auto"/>
        <w:tabs>
          <w:tab w:leader="none" w:pos="146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Clawback/Forfeiture</w:t>
      </w:r>
      <w:r>
        <w:rPr>
          <w:rFonts w:ascii="Arial" w:cs="Arial" w:eastAsia="Arial" w:hAnsi="Arial"/>
          <w:sz w:val="18"/>
          <w:szCs w:val="18"/>
          <w:color w:val="auto"/>
        </w:rPr>
        <w:t>. Notwithstanding anything to the contrary contained herein, an Award agreement may provide that the Committee may cancel such Award if the 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as determined by the Committee. The Committee may also provide in an Award agreement that in such event, the Participant will forfeit any compensation, gain or other value realized thereafter on the vesting, exercise or settlement of such Award, the sale or other transfer of such Award, or the sale of shares of Common Stock acquired in respect of such Award, and must promptly repay such amounts to the Company. The Committee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(including, without limitation, Section 304 of the Sarbanes-Oxley Act and Section 954 of the Dodd-Frank Wall Street Reform and Consumer Protection Act) and/or the rules and regulations of NASDAQ or any other securities exchange or inter-dealer quotation service on which the Common Stock is listed or quoted, or if so required pursuant to a written policy adopted by the Company, Awards shall be subject (including on a retroactive basis) to clawback, forfeiture or similar requirements (and such requirements shall be deemed incorporated by reference into all outstanding Award agreements).</w:t>
      </w:r>
    </w:p>
    <w:p>
      <w:pPr>
        <w:spacing w:after="0" w:line="81" w:lineRule="exact"/>
        <w:rPr>
          <w:rFonts w:ascii="Arial" w:cs="Arial" w:eastAsia="Arial" w:hAnsi="Arial"/>
          <w:sz w:val="18"/>
          <w:szCs w:val="18"/>
          <w:color w:val="auto"/>
        </w:rPr>
      </w:pPr>
    </w:p>
    <w:p>
      <w:pPr>
        <w:ind w:left="760" w:right="80" w:firstLine="434"/>
        <w:spacing w:after="0" w:line="259" w:lineRule="auto"/>
        <w:tabs>
          <w:tab w:leader="none" w:pos="150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Representations or Covenants With Respect to Tax Qualification</w:t>
      </w:r>
      <w:r>
        <w:rPr>
          <w:rFonts w:ascii="Arial" w:cs="Arial" w:eastAsia="Arial" w:hAnsi="Arial"/>
          <w:sz w:val="18"/>
          <w:szCs w:val="18"/>
          <w:color w:val="auto"/>
        </w:rPr>
        <w:t>. Although the Company may endeavor to (i) 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71" w:lineRule="exact"/>
        <w:rPr>
          <w:rFonts w:ascii="Arial" w:cs="Arial" w:eastAsia="Arial" w:hAnsi="Arial"/>
          <w:sz w:val="18"/>
          <w:szCs w:val="18"/>
          <w:color w:val="auto"/>
        </w:rPr>
      </w:pPr>
    </w:p>
    <w:p>
      <w:pPr>
        <w:jc w:val="both"/>
        <w:ind w:left="760" w:right="160" w:firstLine="434"/>
        <w:spacing w:after="0" w:line="262" w:lineRule="auto"/>
        <w:tabs>
          <w:tab w:leader="none" w:pos="147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Expenses; Gender; Titles and Headings</w:t>
      </w:r>
      <w:r>
        <w:rPr>
          <w:rFonts w:ascii="Arial" w:cs="Arial" w:eastAsia="Arial" w:hAnsi="Arial"/>
          <w:sz w:val="18"/>
          <w:szCs w:val="18"/>
          <w:color w:val="auto"/>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68"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adopted by the Board of Directors of the Company on April 22, 2025.</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approved by the shareholders of the Company on June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2589530</wp:posOffset>
            </wp:positionV>
            <wp:extent cx="754380" cy="2400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1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decimal"/>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1)"/>
      <w:numFmt w:val="lowerRoman"/>
      <w:start w:val="2"/>
    </w:lvl>
  </w:abstractNum>
  <w:abstractNum w:abstractNumId="6">
    <w:nsid w:val="32FFF902"/>
    <w:multiLevelType w:val="hybridMultilevel"/>
    <w:lvl w:ilvl="0">
      <w:lvlJc w:val="left"/>
      <w:lvlText w:val="(%1)"/>
      <w:numFmt w:val="lowerRoman"/>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1)"/>
      <w:numFmt w:val="decimal"/>
      <w:start w:val="3"/>
    </w:lvl>
  </w:abstractNum>
  <w:abstractNum w:abstractNumId="13">
    <w:nsid w:val="75C6C33A"/>
    <w:multiLevelType w:val="hybridMultilevel"/>
    <w:lvl w:ilvl="0">
      <w:lvlJc w:val="left"/>
      <w:lvlText w:val="(%1)"/>
      <w:numFmt w:val="decimal"/>
      <w:start w:val="4"/>
    </w:lvl>
  </w:abstractNum>
  <w:abstractNum w:abstractNumId="14">
    <w:nsid w:val="12E685FB"/>
    <w:multiLevelType w:val="hybridMultilevel"/>
    <w:lvl w:ilvl="0">
      <w:lvlJc w:val="left"/>
      <w:lvlText w:val="(%1)"/>
      <w:numFmt w:val="decimal"/>
      <w:start w:val="5"/>
    </w:lvl>
  </w:abstractNum>
  <w:abstractNum w:abstractNumId="15">
    <w:nsid w:val="70C6A529"/>
    <w:multiLevelType w:val="hybridMultilevel"/>
    <w:lvl w:ilvl="0">
      <w:lvlJc w:val="left"/>
      <w:lvlText w:val="(%1)"/>
      <w:numFmt w:val="decimal"/>
      <w:start w:val="7"/>
    </w:lvl>
  </w:abstractNum>
  <w:abstractNum w:abstractNumId="16">
    <w:nsid w:val="520EEDD1"/>
    <w:multiLevelType w:val="hybridMultilevel"/>
    <w:lvl w:ilvl="0">
      <w:lvlJc w:val="left"/>
      <w:lvlText w:val="(%1)"/>
      <w:numFmt w:val="lowerRoman"/>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lowerRoman"/>
      <w:start w:val="10"/>
    </w:lvl>
  </w:abstractNum>
  <w:abstractNum w:abstractNumId="22">
    <w:nsid w:val="39386575"/>
    <w:multiLevelType w:val="hybridMultilevel"/>
    <w:lvl w:ilvl="0">
      <w:lvlJc w:val="left"/>
      <w:lvlText w:val="(%1)"/>
      <w:numFmt w:val="lowerRoman"/>
      <w:start w:val="1"/>
    </w:lvl>
  </w:abstractNum>
  <w:abstractNum w:abstractNumId="23">
    <w:nsid w:val="1CF10FD8"/>
    <w:multiLevelType w:val="hybridMultilevel"/>
    <w:lvl w:ilvl="0">
      <w:lvlJc w:val="left"/>
      <w:lvlText w:val="(%1)"/>
      <w:numFmt w:val="upperLetter"/>
      <w:start w:val="3"/>
    </w:lvl>
  </w:abstractNum>
  <w:abstractNum w:abstractNumId="24">
    <w:nsid w:val="180115BE"/>
    <w:multiLevelType w:val="hybridMultilevel"/>
    <w:lvl w:ilvl="0">
      <w:lvlJc w:val="left"/>
      <w:lvlText w:val="(%1)"/>
      <w:numFmt w:val="lowerRoman"/>
      <w:start w:val="10"/>
    </w:lvl>
  </w:abstractNum>
  <w:abstractNum w:abstractNumId="25">
    <w:nsid w:val="235BA861"/>
    <w:multiLevelType w:val="hybridMultilevel"/>
    <w:lvl w:ilvl="0">
      <w:lvlJc w:val="left"/>
      <w:lvlText w:val="(%1)"/>
      <w:numFmt w:val="lowerLetter"/>
      <w:start w:val="25"/>
    </w:lvl>
  </w:abstractNum>
  <w:abstractNum w:abstractNumId="26">
    <w:nsid w:val="47398C89"/>
    <w:multiLevelType w:val="hybridMultilevel"/>
    <w:lvl w:ilvl="0">
      <w:lvlJc w:val="left"/>
      <w:lvlText w:val="(%1)"/>
      <w:numFmt w:val="lowerRoman"/>
      <w:start w:val="10"/>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4"/>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4"/>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1)"/>
      <w:numFmt w:val="lowerRoman"/>
      <w:start w:val="1"/>
    </w:lvl>
  </w:abstractNum>
  <w:abstractNum w:abstractNumId="40">
    <w:nsid w:val="25A70BF7"/>
    <w:multiLevelType w:val="hybridMultilevel"/>
    <w:lvl w:ilvl="0">
      <w:lvlJc w:val="left"/>
      <w:lvlText w:val="(%1)"/>
      <w:numFmt w:val="lowerRoman"/>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4"/>
    </w:lvl>
  </w:abstractNum>
  <w:abstractNum w:abstractNumId="46">
    <w:nsid w:val="100F8FCA"/>
    <w:multiLevelType w:val="hybridMultilevel"/>
    <w:lvl w:ilvl="0">
      <w:lvlJc w:val="left"/>
      <w:lvlText w:val="(%1)"/>
      <w:numFmt w:val="decimal"/>
      <w:start w:val="5"/>
    </w:lvl>
  </w:abstractNum>
  <w:abstractNum w:abstractNumId="47">
    <w:nsid w:val="6590700B"/>
    <w:multiLevelType w:val="hybridMultilevel"/>
    <w:lvl w:ilvl="0">
      <w:lvlJc w:val="left"/>
      <w:lvlText w:val="(%1)"/>
      <w:numFmt w:val="decimal"/>
      <w:start w:val="7"/>
    </w:lvl>
  </w:abstractNum>
  <w:abstractNum w:abstractNumId="48">
    <w:nsid w:val="15014ACB"/>
    <w:multiLevelType w:val="hybridMultilevel"/>
    <w:lvl w:ilvl="0">
      <w:lvlJc w:val="left"/>
      <w:lvlText w:val="(%1)"/>
      <w:numFmt w:val="decimal"/>
      <w:start w:val="9"/>
    </w:lvl>
  </w:abstractNum>
  <w:abstractNum w:abstractNumId="49">
    <w:nsid w:val="5F5E7FD0"/>
    <w:multiLevelType w:val="hybridMultilevel"/>
    <w:lvl w:ilvl="0">
      <w:lvlJc w:val="left"/>
      <w:lvlText w:val="(%1)"/>
      <w:numFmt w:val="lowerLetter"/>
      <w:start w:val="2"/>
    </w:lvl>
  </w:abstractNum>
  <w:abstractNum w:abstractNumId="50">
    <w:nsid w:val="98A3148"/>
    <w:multiLevelType w:val="hybridMultilevel"/>
    <w:lvl w:ilvl="0">
      <w:lvlJc w:val="left"/>
      <w:lvlText w:val="(%1)"/>
      <w:numFmt w:val="lowerRoman"/>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1)"/>
      <w:numFmt w:val="lowerRoman"/>
      <w:start w:val="1"/>
    </w:lvl>
  </w:abstractNum>
  <w:abstractNum w:abstractNumId="57">
    <w:nsid w:val="5DC79EA8"/>
    <w:multiLevelType w:val="hybridMultilevel"/>
    <w:lvl w:ilvl="0">
      <w:lvlJc w:val="left"/>
      <w:lvlText w:val="%1."/>
      <w:numFmt w:val="decimal"/>
      <w:start w:val="1"/>
    </w:lvl>
    <w:lvl w:ilvl="1">
      <w:lvlJc w:val="left"/>
      <w:lvlText w:val="%2."/>
      <w:numFmt w:val="lowerLetter"/>
      <w:start w:val="1"/>
    </w:lvl>
  </w:abstractNum>
  <w:abstractNum w:abstractNumId="58">
    <w:nsid w:val="540A47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59">
    <w:nsid w:val="7BD3EE7B"/>
    <w:multiLevelType w:val="hybridMultilevel"/>
    <w:lvl w:ilvl="0">
      <w:lvlJc w:val="left"/>
      <w:lvlText w:val="(%1)"/>
      <w:numFmt w:val="upperLetter"/>
      <w:start w:val="2"/>
    </w:lvl>
    <w:lvl w:ilvl="1">
      <w:lvlJc w:val="left"/>
      <w:lvlText w:val="%2."/>
      <w:numFmt w:val="lowerLetter"/>
      <w:start w:val="7"/>
    </w:lvl>
    <w:lvl w:ilvl="2">
      <w:lvlJc w:val="left"/>
      <w:lvlText w:val="%3"/>
      <w:numFmt w:val="lowerRoman"/>
      <w:start w:val="1"/>
    </w:lvl>
  </w:abstractNum>
  <w:abstractNum w:abstractNumId="60">
    <w:nsid w:val="51D9C564"/>
    <w:multiLevelType w:val="hybridMultilevel"/>
    <w:lvl w:ilvl="0">
      <w:lvlJc w:val="left"/>
      <w:lvlText w:val="%1."/>
      <w:numFmt w:val="lowerLetter"/>
      <w:start w:val="14"/>
    </w:lvl>
  </w:abstractNum>
  <w:abstractNum w:abstractNumId="61">
    <w:nsid w:val="613EFDC5"/>
    <w:multiLevelType w:val="hybridMultilevel"/>
    <w:lvl w:ilvl="0">
      <w:lvlJc w:val="left"/>
      <w:lvlText w:val="%1"/>
      <w:numFmt w:val="lowerRoman"/>
      <w:start w:val="1"/>
    </w:lvl>
    <w:lvl w:ilvl="1">
      <w:lvlJc w:val="left"/>
      <w:lvlText w:val="%2."/>
      <w:numFmt w:val="lowerLetter"/>
      <w:start w:val="27"/>
    </w:lvl>
  </w:abstractNum>
  <w:abstractNum w:abstractNumId="62">
    <w:nsid w:val="BF72B14"/>
    <w:multiLevelType w:val="hybridMultilevel"/>
    <w:lvl w:ilvl="0">
      <w:lvlJc w:val="left"/>
      <w:lvlText w:val="(%1)"/>
      <w:numFmt w:val="lowerRoman"/>
      <w:start w:val="2"/>
    </w:lvl>
    <w:lvl w:ilvl="1">
      <w:lvlJc w:val="left"/>
      <w:lvlText w:val="%2."/>
      <w:numFmt w:val="lowerLetter"/>
      <w:start w:val="28"/>
    </w:lvl>
  </w:abstractNum>
  <w:abstractNum w:abstractNumId="63">
    <w:nsid w:val="11447B73"/>
    <w:multiLevelType w:val="hybridMultilevel"/>
    <w:lvl w:ilvl="0">
      <w:lvlJc w:val="left"/>
      <w:lvlText w:val="%1"/>
      <w:numFmt w:val="decimal"/>
      <w:start w:val="1"/>
    </w:lvl>
    <w:lvl w:ilvl="1">
      <w:lvlJc w:val="left"/>
      <w:lvlText w:val="%2."/>
      <w:numFmt w:val="lowerLetter"/>
      <w:start w:val="29"/>
    </w:lvl>
  </w:abstractNum>
  <w:abstractNum w:abstractNumId="64">
    <w:nsid w:val="42963E5A"/>
    <w:multiLevelType w:val="hybridMultilevel"/>
    <w:lvl w:ilvl="0">
      <w:lvlJc w:val="left"/>
      <w:lvlText w:val="%1."/>
      <w:numFmt w:val="decimal"/>
      <w:start w:val="4"/>
    </w:lvl>
    <w:lvl w:ilvl="1">
      <w:lvlJc w:val="left"/>
      <w:lvlText w:val="%2."/>
      <w:numFmt w:val="lowerLetter"/>
      <w:start w:val="1"/>
    </w:lvl>
  </w:abstractNum>
  <w:abstractNum w:abstractNumId="65">
    <w:nsid w:val="A0382C5"/>
    <w:multiLevelType w:val="hybridMultilevel"/>
    <w:lvl w:ilvl="0">
      <w:lvlJc w:val="left"/>
      <w:lvlText w:val="%1"/>
      <w:numFmt w:val="decimal"/>
      <w:start w:val="1"/>
    </w:lvl>
    <w:lvl w:ilvl="1">
      <w:lvlJc w:val="left"/>
      <w:lvlText w:val="%2."/>
      <w:numFmt w:val="lowerLetter"/>
      <w:start w:val="6"/>
    </w:lvl>
  </w:abstractNum>
  <w:abstractNum w:abstractNumId="66">
    <w:nsid w:val="8F2B15E"/>
    <w:multiLevelType w:val="hybridMultilevel"/>
    <w:lvl w:ilvl="0">
      <w:lvlJc w:val="left"/>
      <w:lvlText w:val="%1."/>
      <w:numFmt w:val="decimal"/>
      <w:start w:val="5"/>
    </w:lvl>
    <w:lvl w:ilvl="1">
      <w:lvlJc w:val="left"/>
      <w:lvlText w:val="%2."/>
      <w:numFmt w:val="lowerLetter"/>
      <w:start w:val="1"/>
    </w:lvl>
  </w:abstractNum>
  <w:abstractNum w:abstractNumId="67">
    <w:nsid w:val="1A32234B"/>
    <w:multiLevelType w:val="hybridMultilevel"/>
    <w:lvl w:ilvl="0">
      <w:lvlJc w:val="left"/>
      <w:lvlText w:val="%1."/>
      <w:numFmt w:val="decimal"/>
      <w:start w:val="6"/>
    </w:lvl>
    <w:lvl w:ilvl="1">
      <w:lvlJc w:val="left"/>
      <w:lvlText w:val="%2."/>
      <w:numFmt w:val="lowerLetter"/>
      <w:start w:val="1"/>
    </w:lvl>
  </w:abstractNum>
  <w:abstractNum w:abstractNumId="68">
    <w:nsid w:val="3B0FD379"/>
    <w:multiLevelType w:val="hybridMultilevel"/>
    <w:lvl w:ilvl="0">
      <w:lvlJc w:val="left"/>
      <w:lvlText w:val="%1"/>
      <w:numFmt w:val="decimal"/>
      <w:start w:val="1"/>
    </w:lvl>
    <w:lvl w:ilvl="1">
      <w:lvlJc w:val="left"/>
      <w:lvlText w:val="%2."/>
      <w:numFmt w:val="lowerLetter"/>
      <w:start w:val="6"/>
    </w:lvl>
  </w:abstractNum>
  <w:abstractNum w:abstractNumId="69">
    <w:nsid w:val="68EB2F63"/>
    <w:multiLevelType w:val="hybridMultilevel"/>
    <w:lvl w:ilvl="0">
      <w:lvlJc w:val="left"/>
      <w:lvlText w:val="%1."/>
      <w:numFmt w:val="decimal"/>
      <w:start w:val="8"/>
    </w:lvl>
    <w:lvl w:ilvl="1">
      <w:lvlJc w:val="left"/>
      <w:lvlText w:val="%2."/>
      <w:numFmt w:val="lowerLetter"/>
      <w:start w:val="1"/>
    </w:lvl>
  </w:abstractNum>
  <w:abstractNum w:abstractNumId="70">
    <w:nsid w:val="496281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1">
    <w:nsid w:val="60B6DF70"/>
    <w:multiLevelType w:val="hybridMultilevel"/>
    <w:lvl w:ilvl="0">
      <w:lvlJc w:val="left"/>
      <w:lvlText w:val="%1."/>
      <w:numFmt w:val="lowerLetter"/>
      <w:start w:val="5"/>
    </w:lvl>
  </w:abstractNum>
  <w:abstractNum w:abstractNumId="72">
    <w:nsid w:val="6A5EE64"/>
    <w:multiLevelType w:val="hybridMultilevel"/>
    <w:lvl w:ilvl="0">
      <w:lvlJc w:val="left"/>
      <w:lvlText w:val="%1."/>
      <w:numFmt w:val="decimal"/>
      <w:start w:val="10"/>
    </w:lvl>
    <w:lvl w:ilvl="1">
      <w:lvlJc w:val="left"/>
      <w:lvlText w:val="%2."/>
      <w:numFmt w:val="lowerLetter"/>
      <w:start w:val="1"/>
    </w:lvl>
  </w:abstractNum>
  <w:abstractNum w:abstractNumId="73">
    <w:nsid w:val="14330624"/>
    <w:multiLevelType w:val="hybridMultilevel"/>
    <w:lvl w:ilvl="0">
      <w:lvlJc w:val="left"/>
      <w:lvlText w:val="(%1)"/>
      <w:numFmt w:val="lowerRoman"/>
      <w:start w:val="22"/>
    </w:lvl>
    <w:lvl w:ilvl="1">
      <w:lvlJc w:val="left"/>
      <w:lvlText w:val="%2."/>
      <w:numFmt w:val="lowerLetter"/>
      <w:start w:val="4"/>
    </w:lvl>
  </w:abstractNum>
  <w:abstractNum w:abstractNumId="74">
    <w:nsid w:val="7FFFCA11"/>
    <w:multiLevelType w:val="hybridMultilevel"/>
    <w:lvl w:ilvl="0">
      <w:lvlJc w:val="left"/>
      <w:lvlText w:val="(%1)"/>
      <w:numFmt w:val="lowerRoman"/>
      <w:start w:val="9"/>
    </w:lvl>
    <w:lvl w:ilvl="1">
      <w:lvlJc w:val="left"/>
      <w:lvlText w:val="%2."/>
      <w:numFmt w:val="lowerLetter"/>
      <w:start w:val="5"/>
    </w:lvl>
  </w:abstractNum>
  <w:abstractNum w:abstractNumId="75">
    <w:nsid w:val="1A27709E"/>
    <w:multiLevelType w:val="hybridMultilevel"/>
    <w:lvl w:ilvl="0">
      <w:lvlJc w:val="left"/>
      <w:lvlText w:val="%1."/>
      <w:numFmt w:val="decimal"/>
      <w:start w:val="12"/>
    </w:lvl>
  </w:abstractNum>
  <w:abstractNum w:abstractNumId="76">
    <w:nsid w:val="71EA1109"/>
    <w:multiLevelType w:val="hybridMultilevel"/>
    <w:lvl w:ilvl="0">
      <w:lvlJc w:val="left"/>
      <w:lvlText w:val="(%1)"/>
      <w:numFmt w:val="upperLetter"/>
      <w:start w:val="2"/>
    </w:lvl>
  </w:abstractNum>
  <w:abstractNum w:abstractNumId="77">
    <w:nsid w:val="100F59DC"/>
    <w:multiLevelType w:val="hybridMultilevel"/>
    <w:lvl w:ilvl="0">
      <w:lvlJc w:val="left"/>
      <w:lvlText w:val="%1."/>
      <w:numFmt w:val="decimal"/>
      <w:start w:val="13"/>
    </w:lvl>
    <w:lvl w:ilvl="1">
      <w:lvlJc w:val="left"/>
      <w:lvlText w:val="%2."/>
      <w:numFmt w:val="lowerLetter"/>
      <w:start w:val="1"/>
    </w:lvl>
  </w:abstractNum>
  <w:abstractNum w:abstractNumId="78">
    <w:nsid w:val="7FB7E0A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79">
    <w:nsid w:val="6EB5BD4"/>
    <w:multiLevelType w:val="hybridMultilevel"/>
    <w:lvl w:ilvl="0">
      <w:lvlJc w:val="left"/>
      <w:lvlText w:val="%1."/>
      <w:numFmt w:val="decimal"/>
      <w:start w:val="15"/>
    </w:lvl>
    <w:lvl w:ilvl="1">
      <w:lvlJc w:val="left"/>
      <w:lvlText w:val="(%2)"/>
      <w:numFmt w:val="upperLetter"/>
    </w:lvl>
    <w:lvl w:ilvl="2">
      <w:lvlJc w:val="left"/>
      <w:lvlText w:val="%3."/>
      <w:numFmt w:val="lowerLetter"/>
      <w:start w:val="1"/>
    </w:lvl>
    <w:lvl w:ilvl="3">
      <w:lvlJc w:val="left"/>
      <w:lvlText w:val="%4."/>
      <w:numFmt w:val="lowerRoman"/>
      <w:start w:val="1"/>
    </w:lvl>
  </w:abstractNum>
  <w:abstractNum w:abstractNumId="80">
    <w:nsid w:val="6F6DD9A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81">
    <w:nsid w:val="94211F2"/>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82">
    <w:nsid w:val="885E1B"/>
    <w:multiLevelType w:val="hybridMultilevel"/>
    <w:lvl w:ilvl="0">
      <w:lvlJc w:val="left"/>
      <w:lvlText w:val="(%1)"/>
      <w:numFmt w:val="lowerRoman"/>
      <w:start w:val="2"/>
    </w:lvl>
    <w:lvl w:ilvl="1">
      <w:lvlJc w:val="left"/>
      <w:lvlText w:val="%2."/>
      <w:numFmt w:val="lowerLetter"/>
      <w:start w:val="4"/>
    </w:lvl>
    <w:lvl w:ilvl="2">
      <w:lvlJc w:val="left"/>
      <w:lvlText w:val="%3."/>
      <w:numFmt w:val="lowerLetter"/>
      <w:start w:val="9"/>
    </w:lvl>
  </w:abstractNum>
  <w:abstractNum w:abstractNumId="83">
    <w:nsid w:val="76272110"/>
    <w:multiLevelType w:val="hybridMultilevel"/>
    <w:lvl w:ilvl="0">
      <w:lvlJc w:val="left"/>
      <w:lvlText w:val="%1"/>
      <w:numFmt w:val="lowerLetter"/>
      <w:start w:val="1"/>
    </w:lvl>
    <w:lvl w:ilvl="1">
      <w:lvlJc w:val="left"/>
      <w:lvlText w:val="%2."/>
      <w:numFmt w:val="lowerLetter"/>
      <w:start w:val="35"/>
    </w:lvl>
  </w:abstractNum>
  <w:abstractNum w:abstractNumId="84">
    <w:nsid w:val="4C04A8AF"/>
    <w:multiLevelType w:val="hybridMultilevel"/>
    <w:lvl w:ilvl="0">
      <w:lvlJc w:val="left"/>
      <w:lvlText w:val="%1."/>
      <w:numFmt w:val="lowerLetter"/>
      <w:start w:val="5"/>
    </w:lvl>
    <w:lvl w:ilvl="1">
      <w:lvlJc w:val="left"/>
      <w:lvlText w:val="%2"/>
      <w:numFmt w:val="lowerLetter"/>
      <w:start w:val="1"/>
    </w:lvl>
  </w:abstractNum>
  <w:abstractNum w:abstractNumId="85">
    <w:nsid w:val="1716703B"/>
    <w:multiLevelType w:val="hybridMultilevel"/>
    <w:lvl w:ilvl="0">
      <w:lvlJc w:val="left"/>
      <w:lvlText w:val="%1."/>
      <w:numFmt w:val="lowerLetter"/>
      <w:start w:val="6"/>
    </w:lvl>
    <w:lvl w:ilvl="1">
      <w:lvlJc w:val="left"/>
      <w:lvlText w:val="%2."/>
      <w:numFmt w:val="lowerRoman"/>
      <w:start w:val="1"/>
    </w:lvl>
  </w:abstractNum>
  <w:abstractNum w:abstractNumId="86">
    <w:nsid w:val="14E17E33"/>
    <w:multiLevelType w:val="hybridMultilevel"/>
    <w:lvl w:ilvl="0">
      <w:lvlJc w:val="left"/>
      <w:lvlText w:val="%1"/>
      <w:numFmt w:val="lowerLetter"/>
      <w:start w:val="1"/>
    </w:lvl>
    <w:lvl w:ilvl="1">
      <w:lvlJc w:val="left"/>
      <w:lvlText w:val="%2."/>
      <w:numFmt w:val="lowerLetter"/>
      <w:start w:val="61"/>
    </w:lvl>
  </w:abstractNum>
  <w:abstractNum w:abstractNumId="87">
    <w:nsid w:val="3222E7CD"/>
    <w:multiLevelType w:val="hybridMultilevel"/>
    <w:lvl w:ilvl="0">
      <w:lvlJc w:val="left"/>
      <w:lvlText w:val="%1."/>
      <w:numFmt w:val="lowerLetter"/>
      <w:start w:val="11"/>
    </w:lvl>
    <w:lvl w:ilvl="1">
      <w:lvlJc w:val="left"/>
      <w:lvlText w:val="%2"/>
      <w:numFmt w:val="lowerLetter"/>
      <w:start w:val="1"/>
    </w:lvl>
  </w:abstractNum>
  <w:abstractNum w:abstractNumId="88">
    <w:nsid w:val="74DE0EE3"/>
    <w:multiLevelType w:val="hybridMultilevel"/>
    <w:lvl w:ilvl="0">
      <w:lvlJc w:val="left"/>
      <w:lvlText w:val="%1."/>
      <w:numFmt w:val="lowerLetter"/>
      <w:start w:val="16"/>
    </w:lvl>
    <w:lvl w:ilvl="1">
      <w:lvlJc w:val="left"/>
      <w:lvlText w:val="%2."/>
      <w:numFmt w:val="lowerRoman"/>
      <w:start w:val="1"/>
    </w:lvl>
  </w:abstractNum>
  <w:abstractNum w:abstractNumId="89">
    <w:nsid w:val="68EBC550"/>
    <w:multiLevelType w:val="hybridMultilevel"/>
    <w:lvl w:ilvl="0">
      <w:lvlJc w:val="left"/>
      <w:lvlText w:val="%1."/>
      <w:numFmt w:val="lowerLetter"/>
      <w:start w:val="2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2025-04-23T07:17:29Z</dcterms:created>
  <dcterms:modified xsi:type="dcterms:W3CDTF">2025-04-23T07:17:29Z</dcterms:modified>
</cp:coreProperties>
</file>