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28"/>
        </w:rPr>
        <w:t>FORM 10-Q</w:t>
      </w: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QUARTERLY REPORT PURSUANT TO SECTION 13 OR 15 (d) OF THE SECURITIES EXCHANGE ACT OF 1934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 (d) OF THE SECURITIES EXCHANGE ACT OF 1934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001-37352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Virtu Financial, Inc. </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(Exact name of registrant as specified in its charter)</w:t>
      </w:r>
    </w:p>
    <w:tbl>
      <w:tblPr>
        <w:tblW w:w="6959" w:type="dxa"/>
        <w:jc w:val="center"/>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32-0420206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tbl>
      <w:tblPr>
        <w:tblW w:w="3778" w:type="dxa"/>
        <w:jc w:val="center"/>
        <w:tblInd w:w="0" w:type="dxa"/>
        <w:tblLayout w:type="fixed"/>
        <w:tblCellMar>
          <w:top w:w="28" w:type="dxa"/>
          <w:left w:w="28" w:type="dxa"/>
          <w:bottom w:w="28" w:type="dxa"/>
          <w:right w:w="28" w:type="dxa"/>
        </w:tblCellMar>
      </w:tblPr>
      <w:tblGrid>
        <w:gridCol w:w="550"/>
        <w:gridCol w:w="483"/>
        <w:gridCol w:w="483"/>
        <w:gridCol w:w="444"/>
        <w:gridCol w:w="444"/>
        <w:gridCol w:w="459"/>
        <w:gridCol w:w="268"/>
        <w:gridCol w:w="268"/>
        <w:gridCol w:w="379"/>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10019</w:t>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1633 Broadway</w:t>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 xml:space="preserve">New York, </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New York</w:t>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 xml:space="preserve">(212) 418-0100 </w:t>
      </w:r>
    </w:p>
    <w:p>
      <w:pPr>
        <w:pStyle w:val="TextBody"/>
        <w:bidi w:val="0"/>
        <w:spacing w:lineRule="auto" w:line="264" w:before="0" w:after="60"/>
        <w:jc w:val="center"/>
        <w:rPr/>
      </w:pPr>
      <w:r>
        <w:rPr>
          <w:rFonts w:ascii="Times New Roman;sans-serif" w:hAnsi="Times New Roman;sans-serif"/>
          <w:b w:val="false"/>
          <w:color w:val="000000"/>
          <w:sz w:val="18"/>
        </w:rPr>
        <w:t>(Registrant’s telephone number, including area code)</w:t>
      </w:r>
      <w:r>
        <w:rPr>
          <w:color w:val="000000"/>
        </w:rPr>
        <w:t> </w:t>
      </w:r>
    </w:p>
    <w:p>
      <w:pPr>
        <w:pStyle w:val="TextBody"/>
        <w:bidi w:val="0"/>
        <w:spacing w:lineRule="auto" w:line="264" w:before="0" w:after="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306" w:type="dxa"/>
        <w:jc w:val="center"/>
        <w:tblInd w:w="0" w:type="dxa"/>
        <w:tblLayout w:type="fixed"/>
        <w:tblCellMar>
          <w:top w:w="28" w:type="dxa"/>
          <w:left w:w="28" w:type="dxa"/>
          <w:bottom w:w="28" w:type="dxa"/>
          <w:right w:w="28" w:type="dxa"/>
        </w:tblCellMar>
      </w:tblPr>
      <w:tblGrid>
        <w:gridCol w:w="1415"/>
        <w:gridCol w:w="1241"/>
        <w:gridCol w:w="1258"/>
        <w:gridCol w:w="109"/>
        <w:gridCol w:w="109"/>
        <w:gridCol w:w="109"/>
        <w:gridCol w:w="474"/>
        <w:gridCol w:w="474"/>
        <w:gridCol w:w="476"/>
        <w:gridCol w:w="109"/>
        <w:gridCol w:w="109"/>
        <w:gridCol w:w="109"/>
        <w:gridCol w:w="970"/>
        <w:gridCol w:w="970"/>
        <w:gridCol w:w="1374"/>
      </w:tblGrid>
      <w:tr>
        <w:trPr/>
        <w:tc>
          <w:tcPr>
            <w:tcW w:w="141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80"/>
        <w:ind w:left="0" w:right="0" w:firstLine="360"/>
        <w:jc w:val="left"/>
        <w:rPr/>
      </w:pPr>
      <w:r>
        <w:rPr>
          <w:rFonts w:ascii="Times New Roman;sans-serif" w:hAnsi="Times New Roman;sans-serif"/>
          <w:b w:val="false"/>
          <w:color w:val="000000"/>
          <w:sz w:val="18"/>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80"/>
        <w:ind w:left="0" w:right="0" w:firstLine="36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8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9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80"/>
              <w:jc w:val="left"/>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64" w:before="0" w:after="80"/>
        <w:ind w:left="0" w:right="0" w:firstLine="36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TextBody"/>
        <w:bidi w:val="0"/>
        <w:spacing w:lineRule="auto" w:line="264" w:before="0" w:after="80"/>
        <w:ind w:left="0" w:right="0" w:firstLine="36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 xml:space="preserve">No </w:t>
      </w:r>
      <w:r>
        <w:rPr>
          <w:color w:val="000000"/>
        </w:rPr>
        <w:t>☒</w:t>
      </w:r>
    </w:p>
    <w:tbl>
      <w:tblPr>
        <w:tblW w:w="7256" w:type="dxa"/>
        <w:jc w:val="center"/>
        <w:tblInd w:w="0" w:type="dxa"/>
        <w:tblLayout w:type="fixed"/>
        <w:tblCellMar>
          <w:top w:w="28" w:type="dxa"/>
          <w:left w:w="28" w:type="dxa"/>
          <w:bottom w:w="28" w:type="dxa"/>
          <w:right w:w="28" w:type="dxa"/>
        </w:tblCellMar>
      </w:tblPr>
      <w:tblGrid>
        <w:gridCol w:w="1417"/>
        <w:gridCol w:w="1245"/>
        <w:gridCol w:w="1252"/>
        <w:gridCol w:w="109"/>
        <w:gridCol w:w="109"/>
        <w:gridCol w:w="109"/>
        <w:gridCol w:w="881"/>
        <w:gridCol w:w="881"/>
        <w:gridCol w:w="1253"/>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outstanding as of April 23, 2025</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85,911,653</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8,194,847</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60,091,740</w:t>
            </w:r>
          </w:p>
        </w:tc>
      </w:tr>
    </w:tbl>
    <w:p>
      <w:pPr>
        <w:pStyle w:val="TextBody"/>
        <w:bidi w:val="0"/>
        <w:spacing w:lineRule="auto" w:line="288" w:before="0" w:after="0"/>
        <w:ind w:left="0" w:right="0" w:firstLine="54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1d922a2c2404ddc8931aba600272e42_13">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March 31, 2025 </w:t>
      </w:r>
    </w:p>
    <w:tbl>
      <w:tblPr>
        <w:tblW w:w="9493" w:type="dxa"/>
        <w:jc w:val="center"/>
        <w:tblInd w:w="0" w:type="dxa"/>
        <w:tblLayout w:type="fixed"/>
        <w:tblCellMar>
          <w:top w:w="28" w:type="dxa"/>
          <w:left w:w="28" w:type="dxa"/>
          <w:bottom w:w="28" w:type="dxa"/>
          <w:right w:w="28" w:type="dxa"/>
        </w:tblCellMar>
      </w:tblPr>
      <w:tblGrid>
        <w:gridCol w:w="337"/>
        <w:gridCol w:w="295"/>
        <w:gridCol w:w="298"/>
        <w:gridCol w:w="109"/>
        <w:gridCol w:w="109"/>
        <w:gridCol w:w="109"/>
        <w:gridCol w:w="2453"/>
        <w:gridCol w:w="2453"/>
        <w:gridCol w:w="2459"/>
        <w:gridCol w:w="255"/>
        <w:gridCol w:w="255"/>
        <w:gridCol w:w="361"/>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PART I -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46">
              <w:r>
                <w:rPr>
                  <w:rStyle w:val="InternetLink"/>
                  <w:rFonts w:ascii="Times New Roman;sans-serif" w:hAnsi="Times New Roman;sans-serif"/>
                  <w:b w:val="false"/>
                  <w:color w:val="0000FF"/>
                  <w:sz w:val="20"/>
                  <w:u w:val="single"/>
                </w:rPr>
                <w:t>FINANCIAL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33">
              <w:r>
                <w:rPr>
                  <w:rStyle w:val="InternetLink"/>
                  <w:rFonts w:ascii="Times New Roman;sans-serif" w:hAnsi="Times New Roman;sans-serif"/>
                  <w:b w:val="false"/>
                  <w:color w:val="0000FF"/>
                  <w:sz w:val="20"/>
                  <w:u w:val="single"/>
                </w:rPr>
                <w:t>Item 1.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33">
              <w:r>
                <w:rPr>
                  <w:rStyle w:val="InternetLink"/>
                  <w:rFonts w:ascii="Times New Roman;sans-serif" w:hAnsi="Times New Roman;sans-serif"/>
                  <w:b w:val="false"/>
                  <w:color w:val="0000FF"/>
                  <w:sz w:val="20"/>
                  <w:u w:val="single"/>
                </w:rPr>
                <w:t>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39">
              <w:r>
                <w:rPr>
                  <w:rStyle w:val="InternetLink"/>
                  <w:rFonts w:ascii="Times New Roman;sans-serif" w:hAnsi="Times New Roman;sans-serif"/>
                  <w:b w:val="false"/>
                  <w:color w:val="0000FF"/>
                  <w:sz w:val="20"/>
                  <w:u w:val="single"/>
                </w:rPr>
                <w:t>Condensed Consolidated Statements of Financial Condition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139">
              <w:r>
                <w:rPr>
                  <w:rStyle w:val="InternetLink"/>
                  <w:rFonts w:ascii="Times New Roman;sans-serif" w:hAnsi="Times New Roman;sans-serif"/>
                  <w:b w:val="false"/>
                  <w:strike w:val="false"/>
                  <w:dstrike w:val="false"/>
                  <w:color w:val="0000FF"/>
                  <w:sz w:val="20"/>
                  <w:u w:val="none"/>
                  <w:effect w:val="none"/>
                </w:rPr>
                <w:t>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42">
              <w:r>
                <w:rPr>
                  <w:rStyle w:val="InternetLink"/>
                  <w:rFonts w:ascii="Times New Roman;sans-serif" w:hAnsi="Times New Roman;sans-serif"/>
                  <w:b w:val="false"/>
                  <w:color w:val="0000FF"/>
                  <w:sz w:val="20"/>
                  <w:u w:val="single"/>
                </w:rPr>
                <w:t>Condensed Consolidated Statements of Comprehensive Income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142">
              <w:r>
                <w:rPr>
                  <w:rStyle w:val="InternetLink"/>
                  <w:rFonts w:ascii="Times New Roman;sans-serif" w:hAnsi="Times New Roman;sans-serif"/>
                  <w:b w:val="false"/>
                  <w:strike w:val="false"/>
                  <w:dstrike w:val="false"/>
                  <w:color w:val="0000FF"/>
                  <w:sz w:val="20"/>
                  <w:u w:val="none"/>
                  <w:effect w:val="none"/>
                </w:rPr>
                <w:t>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45">
              <w:r>
                <w:rPr>
                  <w:rStyle w:val="InternetLink"/>
                  <w:rFonts w:ascii="Times New Roman;sans-serif" w:hAnsi="Times New Roman;sans-serif"/>
                  <w:b w:val="false"/>
                  <w:color w:val="0000FF"/>
                  <w:sz w:val="20"/>
                  <w:u w:val="single"/>
                </w:rPr>
                <w:t>Condensed Consolidated Statements of Changes in Equity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145">
              <w:r>
                <w:rPr>
                  <w:rStyle w:val="InternetLink"/>
                  <w:rFonts w:ascii="Times New Roman;sans-serif" w:hAnsi="Times New Roman;sans-serif"/>
                  <w:b w:val="false"/>
                  <w:strike w:val="false"/>
                  <w:dstrike w:val="false"/>
                  <w:color w:val="0000FF"/>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48">
              <w:r>
                <w:rPr>
                  <w:rStyle w:val="InternetLink"/>
                  <w:rFonts w:ascii="Times New Roman;sans-serif" w:hAnsi="Times New Roman;sans-serif"/>
                  <w:b w:val="false"/>
                  <w:color w:val="0000FF"/>
                  <w:sz w:val="20"/>
                  <w:u w:val="single"/>
                </w:rPr>
                <w:t>Condensed Consolidated Statements of Cash Flows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148">
              <w:r>
                <w:rPr>
                  <w:rStyle w:val="InternetLink"/>
                  <w:rFonts w:ascii="Times New Roman;sans-serif" w:hAnsi="Times New Roman;sans-serif"/>
                  <w:b w:val="false"/>
                  <w:strike w:val="false"/>
                  <w:dstrike w:val="false"/>
                  <w:color w:val="0000FF"/>
                  <w:sz w:val="20"/>
                  <w:u w:val="none"/>
                  <w:effect w:val="none"/>
                </w:rPr>
                <w:t>7</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51">
              <w:r>
                <w:rPr>
                  <w:rStyle w:val="InternetLink"/>
                  <w:rFonts w:ascii="Times New Roman;sans-serif" w:hAnsi="Times New Roman;sans-serif"/>
                  <w:b w:val="false"/>
                  <w:color w:val="0000FF"/>
                  <w:sz w:val="20"/>
                  <w:u w:val="single"/>
                </w:rPr>
                <w:t>Notes to Condensed Consolidated Financial Statements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151">
              <w:r>
                <w:rPr>
                  <w:rStyle w:val="InternetLink"/>
                  <w:rFonts w:ascii="Times New Roman;sans-serif" w:hAnsi="Times New Roman;sans-serif"/>
                  <w:b w:val="false"/>
                  <w:strike w:val="false"/>
                  <w:dstrike w:val="false"/>
                  <w:color w:val="0000FF"/>
                  <w:sz w:val="20"/>
                  <w:u w:val="none"/>
                  <w:effect w:val="none"/>
                </w:rPr>
                <w:t>9</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70">
              <w:r>
                <w:rPr>
                  <w:rStyle w:val="InternetLink"/>
                  <w:rFonts w:ascii="Times New Roman;sans-serif" w:hAnsi="Times New Roman;sans-serif"/>
                  <w:b w:val="false"/>
                  <w:color w:val="0000FF"/>
                  <w:sz w:val="20"/>
                  <w:u w:val="single"/>
                </w:rPr>
                <w:t>Item 2.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7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70">
              <w:r>
                <w:rPr>
                  <w:rStyle w:val="InternetLink"/>
                  <w:rFonts w:ascii="Times New Roman;sans-serif" w:hAnsi="Times New Roman;sans-serif"/>
                  <w:b w:val="false"/>
                  <w:strike w:val="false"/>
                  <w:dstrike w:val="false"/>
                  <w:color w:val="0000FF"/>
                  <w:sz w:val="20"/>
                  <w:u w:val="none"/>
                  <w:effect w:val="none"/>
                </w:rPr>
                <w:t>46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18">
              <w:r>
                <w:rPr>
                  <w:rStyle w:val="InternetLink"/>
                  <w:rFonts w:ascii="Times New Roman;sans-serif" w:hAnsi="Times New Roman;sans-serif"/>
                  <w:b w:val="false"/>
                  <w:color w:val="0000FF"/>
                  <w:sz w:val="20"/>
                  <w:u w:val="single"/>
                </w:rPr>
                <w:t>Item 3.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18">
              <w:r>
                <w:rPr>
                  <w:rStyle w:val="InternetLink"/>
                  <w:rFonts w:ascii="Times New Roman;sans-serif" w:hAnsi="Times New Roman;sans-serif"/>
                  <w:b w:val="false"/>
                  <w:color w:val="0000FF"/>
                  <w:sz w:val="20"/>
                  <w:u w:val="single"/>
                </w:rPr>
                <w:t>Quantitative and Qualitative Disclosures About Market Risk</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118">
              <w:r>
                <w:rPr>
                  <w:rStyle w:val="InternetLink"/>
                  <w:rFonts w:ascii="Times New Roman;sans-serif" w:hAnsi="Times New Roman;sans-serif"/>
                  <w:b w:val="false"/>
                  <w:strike w:val="false"/>
                  <w:dstrike w:val="false"/>
                  <w:color w:val="0000FF"/>
                  <w:sz w:val="20"/>
                  <w:u w:val="none"/>
                  <w:effect w:val="none"/>
                </w:rPr>
                <w:t>73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265">
              <w:r>
                <w:rPr>
                  <w:rStyle w:val="InternetLink"/>
                  <w:rFonts w:ascii="Times New Roman;sans-serif" w:hAnsi="Times New Roman;sans-serif"/>
                  <w:b w:val="false"/>
                  <w:color w:val="0000FF"/>
                  <w:sz w:val="20"/>
                  <w:u w:val="single"/>
                </w:rPr>
                <w:t>Item 4.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265">
              <w:r>
                <w:rPr>
                  <w:rStyle w:val="InternetLink"/>
                  <w:rFonts w:ascii="Times New Roman;sans-serif" w:hAnsi="Times New Roman;sans-serif"/>
                  <w:b w:val="false"/>
                  <w:color w:val="0000FF"/>
                  <w:sz w:val="20"/>
                  <w:u w:val="single"/>
                </w:rPr>
                <w:t>Controls and Procedures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265">
              <w:r>
                <w:rPr>
                  <w:rStyle w:val="InternetLink"/>
                  <w:rFonts w:ascii="Times New Roman;sans-serif" w:hAnsi="Times New Roman;sans-serif"/>
                  <w:b w:val="false"/>
                  <w:strike w:val="false"/>
                  <w:dstrike w:val="false"/>
                  <w:color w:val="0000FF"/>
                  <w:sz w:val="20"/>
                  <w:u w:val="none"/>
                  <w:effect w:val="none"/>
                </w:rPr>
                <w:t>75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6">
              <w:r>
                <w:rPr>
                  <w:rStyle w:val="InternetLink"/>
                  <w:rFonts w:ascii="Times New Roman;sans-serif" w:hAnsi="Times New Roman;sans-serif"/>
                  <w:b w:val="false"/>
                  <w:color w:val="0000FF"/>
                  <w:sz w:val="20"/>
                  <w:u w:val="single"/>
                </w:rPr>
                <w:t>PART II -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6">
              <w:r>
                <w:rPr>
                  <w:rStyle w:val="InternetLink"/>
                  <w:rFonts w:ascii="Times New Roman;sans-serif" w:hAnsi="Times New Roman;sans-serif"/>
                  <w:b w:val="false"/>
                  <w:color w:val="0000FF"/>
                  <w:sz w:val="20"/>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40">
              <w:r>
                <w:rPr>
                  <w:rStyle w:val="InternetLink"/>
                  <w:rFonts w:ascii="Times New Roman;sans-serif" w:hAnsi="Times New Roman;sans-serif"/>
                  <w:b w:val="false"/>
                  <w:color w:val="0000FF"/>
                  <w:sz w:val="20"/>
                  <w:u w:val="single"/>
                </w:rPr>
                <w:t>Item 1.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40">
              <w:r>
                <w:rPr>
                  <w:rStyle w:val="InternetLink"/>
                  <w:rFonts w:ascii="Times New Roman;sans-serif" w:hAnsi="Times New Roman;sans-serif"/>
                  <w:b w:val="false"/>
                  <w:color w:val="0000FF"/>
                  <w:sz w:val="20"/>
                  <w:u w:val="single"/>
                </w:rPr>
                <w:t>Legal Proceedings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40">
              <w:r>
                <w:rPr>
                  <w:rStyle w:val="InternetLink"/>
                  <w:rFonts w:ascii="Times New Roman;sans-serif" w:hAnsi="Times New Roman;sans-serif"/>
                  <w:b w:val="false"/>
                  <w:strike w:val="false"/>
                  <w:dstrike w:val="false"/>
                  <w:color w:val="0000FF"/>
                  <w:sz w:val="20"/>
                  <w:u w:val="none"/>
                  <w:effect w:val="none"/>
                </w:rPr>
                <w:t>76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49">
              <w:r>
                <w:rPr>
                  <w:rStyle w:val="InternetLink"/>
                  <w:rFonts w:ascii="Times New Roman;sans-serif" w:hAnsi="Times New Roman;sans-serif"/>
                  <w:b w:val="false"/>
                  <w:color w:val="0000FF"/>
                  <w:sz w:val="20"/>
                  <w:u w:val="single"/>
                </w:rPr>
                <w:t>Item 1A.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49">
              <w:r>
                <w:rPr>
                  <w:rStyle w:val="InternetLink"/>
                  <w:rFonts w:ascii="Times New Roman;sans-serif" w:hAnsi="Times New Roman;sans-serif"/>
                  <w:b w:val="false"/>
                  <w:color w:val="0000FF"/>
                  <w:sz w:val="20"/>
                  <w:u w:val="single"/>
                </w:rPr>
                <w:t>Risk Factors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49">
              <w:r>
                <w:rPr>
                  <w:rStyle w:val="InternetLink"/>
                  <w:rFonts w:ascii="Times New Roman;sans-serif" w:hAnsi="Times New Roman;sans-serif"/>
                  <w:b w:val="false"/>
                  <w:strike w:val="false"/>
                  <w:dstrike w:val="false"/>
                  <w:color w:val="0000FF"/>
                  <w:sz w:val="20"/>
                  <w:u w:val="none"/>
                  <w:effect w:val="none"/>
                </w:rPr>
                <w:t>76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52">
              <w:r>
                <w:rPr>
                  <w:rStyle w:val="InternetLink"/>
                  <w:rFonts w:ascii="Times New Roman;sans-serif" w:hAnsi="Times New Roman;sans-serif"/>
                  <w:b w:val="false"/>
                  <w:color w:val="0000FF"/>
                  <w:sz w:val="20"/>
                  <w:u w:val="single"/>
                </w:rPr>
                <w:t>Item 2.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52">
              <w:r>
                <w:rPr>
                  <w:rStyle w:val="InternetLink"/>
                  <w:rFonts w:ascii="Times New Roman;sans-serif" w:hAnsi="Times New Roman;sans-serif"/>
                  <w:b w:val="false"/>
                  <w:color w:val="0000FF"/>
                  <w:sz w:val="20"/>
                  <w:u w:val="single"/>
                </w:rPr>
                <w:t>Unregistered Sales of Equity Securities and Use of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52">
              <w:r>
                <w:rPr>
                  <w:rStyle w:val="InternetLink"/>
                  <w:rFonts w:ascii="Times New Roman;sans-serif" w:hAnsi="Times New Roman;sans-serif"/>
                  <w:b w:val="false"/>
                  <w:strike w:val="false"/>
                  <w:dstrike w:val="false"/>
                  <w:color w:val="0000FF"/>
                  <w:sz w:val="20"/>
                  <w:u w:val="none"/>
                  <w:effect w:val="none"/>
                </w:rPr>
                <w:t>76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55">
              <w:r>
                <w:rPr>
                  <w:rStyle w:val="InternetLink"/>
                  <w:rFonts w:ascii="Times New Roman;sans-serif" w:hAnsi="Times New Roman;sans-serif"/>
                  <w:b w:val="false"/>
                  <w:color w:val="0000FF"/>
                  <w:sz w:val="20"/>
                  <w:u w:val="single"/>
                </w:rPr>
                <w:t>Item 3.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55">
              <w:r>
                <w:rPr>
                  <w:rStyle w:val="InternetLink"/>
                  <w:rFonts w:ascii="Times New Roman;sans-serif" w:hAnsi="Times New Roman;sans-serif"/>
                  <w:b w:val="false"/>
                  <w:color w:val="0000FF"/>
                  <w:sz w:val="20"/>
                  <w:u w:val="single"/>
                </w:rPr>
                <w:t>Defaults Upon Senior Securities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55">
              <w:r>
                <w:rPr>
                  <w:rStyle w:val="InternetLink"/>
                  <w:rFonts w:ascii="Times New Roman;sans-serif" w:hAnsi="Times New Roman;sans-serif"/>
                  <w:b w:val="false"/>
                  <w:strike w:val="false"/>
                  <w:dstrike w:val="false"/>
                  <w:color w:val="0000FF"/>
                  <w:sz w:val="20"/>
                  <w:u w:val="none"/>
                  <w:effect w:val="none"/>
                </w:rPr>
                <w:t>77</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43">
              <w:r>
                <w:rPr>
                  <w:rStyle w:val="InternetLink"/>
                  <w:rFonts w:ascii="Times New Roman;sans-serif" w:hAnsi="Times New Roman;sans-serif"/>
                  <w:b w:val="false"/>
                  <w:color w:val="0000FF"/>
                  <w:sz w:val="20"/>
                  <w:u w:val="single"/>
                </w:rPr>
                <w:t>Item 4.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43">
              <w:r>
                <w:rPr>
                  <w:rStyle w:val="InternetLink"/>
                  <w:rFonts w:ascii="Times New Roman;sans-serif" w:hAnsi="Times New Roman;sans-serif"/>
                  <w:b w:val="false"/>
                  <w:color w:val="0000FF"/>
                  <w:sz w:val="20"/>
                  <w:u w:val="single"/>
                </w:rPr>
                <w:t>Mine Safety Disclosures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43">
              <w:r>
                <w:rPr>
                  <w:rStyle w:val="InternetLink"/>
                  <w:rFonts w:ascii="Times New Roman;sans-serif" w:hAnsi="Times New Roman;sans-serif"/>
                  <w:b w:val="false"/>
                  <w:strike w:val="false"/>
                  <w:dstrike w:val="false"/>
                  <w:color w:val="0000FF"/>
                  <w:sz w:val="20"/>
                  <w:u w:val="none"/>
                  <w:effect w:val="none"/>
                </w:rPr>
                <w:t>77</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58">
              <w:r>
                <w:rPr>
                  <w:rStyle w:val="InternetLink"/>
                  <w:rFonts w:ascii="Times New Roman;sans-serif" w:hAnsi="Times New Roman;sans-serif"/>
                  <w:b w:val="false"/>
                  <w:color w:val="0000FF"/>
                  <w:sz w:val="20"/>
                  <w:u w:val="single"/>
                </w:rPr>
                <w:t>Item 5.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58">
              <w:r>
                <w:rPr>
                  <w:rStyle w:val="InternetLink"/>
                  <w:rFonts w:ascii="Times New Roman;sans-serif" w:hAnsi="Times New Roman;sans-serif"/>
                  <w:b w:val="false"/>
                  <w:color w:val="0000FF"/>
                  <w:sz w:val="20"/>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58">
              <w:r>
                <w:rPr>
                  <w:rStyle w:val="InternetLink"/>
                  <w:rFonts w:ascii="Times New Roman;sans-serif" w:hAnsi="Times New Roman;sans-serif"/>
                  <w:b w:val="false"/>
                  <w:strike w:val="false"/>
                  <w:dstrike w:val="false"/>
                  <w:color w:val="0000FF"/>
                  <w:sz w:val="20"/>
                  <w:u w:val="none"/>
                  <w:effect w:val="none"/>
                </w:rPr>
                <w:t>77</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307">
              <w:r>
                <w:rPr>
                  <w:rStyle w:val="InternetLink"/>
                  <w:rFonts w:ascii="Times New Roman;sans-serif" w:hAnsi="Times New Roman;sans-serif"/>
                  <w:b w:val="false"/>
                  <w:color w:val="0000FF"/>
                  <w:sz w:val="20"/>
                  <w:u w:val="single"/>
                </w:rPr>
                <w:t>Item 6.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307">
              <w:r>
                <w:rPr>
                  <w:rStyle w:val="InternetLink"/>
                  <w:rFonts w:ascii="Times New Roman;sans-serif" w:hAnsi="Times New Roman;sans-serif"/>
                  <w:b w:val="false"/>
                  <w:color w:val="0000FF"/>
                  <w:sz w:val="20"/>
                  <w:u w:val="single"/>
                </w:rPr>
                <w:t>Exhibits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307">
              <w:r>
                <w:rPr>
                  <w:rStyle w:val="InternetLink"/>
                  <w:rFonts w:ascii="Times New Roman;sans-serif" w:hAnsi="Times New Roman;sans-serif"/>
                  <w:b w:val="false"/>
                  <w:strike w:val="false"/>
                  <w:dstrike w:val="false"/>
                  <w:color w:val="0000FF"/>
                  <w:sz w:val="20"/>
                  <w:u w:val="none"/>
                  <w:effect w:val="none"/>
                </w:rPr>
                <w:t>78</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313">
              <w:r>
                <w:rPr>
                  <w:rStyle w:val="InternetLink"/>
                  <w:rFonts w:ascii="Times New Roman;sans-serif" w:hAnsi="Times New Roman;sans-serif"/>
                  <w:b w:val="false"/>
                  <w:color w:val="0000FF"/>
                  <w:sz w:val="20"/>
                  <w:u w:val="single"/>
                </w:rPr>
                <w:t>SIGNATURES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313">
              <w:r>
                <w:rPr>
                  <w:rStyle w:val="InternetLink"/>
                  <w:rFonts w:ascii="Times New Roman;sans-serif" w:hAnsi="Times New Roman;sans-serif"/>
                  <w:b w:val="false"/>
                  <w:strike w:val="false"/>
                  <w:dstrike w:val="false"/>
                  <w:color w:val="0000FF"/>
                  <w:sz w:val="20"/>
                  <w:u w:val="none"/>
                  <w:effect w:val="none"/>
                </w:rPr>
                <w:t>79</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1d922a2c2404ddc8931aba600272e42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Index to Condensed Consolidated Financial Statements</w:t>
      </w:r>
    </w:p>
    <w:p>
      <w:pPr>
        <w:pStyle w:val="TextBody"/>
        <w:bidi w:val="0"/>
        <w:spacing w:lineRule="auto" w:line="288" w:before="0" w:after="0"/>
        <w:ind w:left="0" w:right="0" w:firstLine="360"/>
        <w:jc w:val="left"/>
        <w:rPr>
          <w:color w:val="000000"/>
        </w:rPr>
      </w:pPr>
      <w:r>
        <w:rPr>
          <w:color w:val="000000"/>
        </w:rPr>
        <w:t> </w:t>
      </w:r>
    </w:p>
    <w:tbl>
      <w:tblPr>
        <w:tblW w:w="7171" w:type="dxa"/>
        <w:jc w:val="center"/>
        <w:tblInd w:w="0" w:type="dxa"/>
        <w:tblLayout w:type="fixed"/>
        <w:tblCellMar>
          <w:top w:w="28" w:type="dxa"/>
          <w:left w:w="28" w:type="dxa"/>
          <w:bottom w:w="28" w:type="dxa"/>
          <w:right w:w="28" w:type="dxa"/>
        </w:tblCellMar>
      </w:tblPr>
      <w:tblGrid>
        <w:gridCol w:w="2280"/>
        <w:gridCol w:w="2005"/>
        <w:gridCol w:w="2015"/>
        <w:gridCol w:w="255"/>
        <w:gridCol w:w="255"/>
        <w:gridCol w:w="361"/>
      </w:tblGrid>
      <w:tr>
        <w:trPr/>
        <w:tc>
          <w:tcPr>
            <w:tcW w:w="2280"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39">
              <w:r>
                <w:rPr>
                  <w:rStyle w:val="InternetLink"/>
                  <w:rFonts w:ascii="Times New Roman;sans-serif" w:hAnsi="Times New Roman;sans-serif"/>
                  <w:b w:val="false"/>
                  <w:color w:val="0000FF"/>
                  <w:sz w:val="20"/>
                  <w:u w:val="single"/>
                </w:rPr>
                <w:t>Condensed Consolidated Statements of Financial Condition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139">
              <w:r>
                <w:rPr>
                  <w:rStyle w:val="InternetLink"/>
                  <w:rFonts w:ascii="Times New Roman;sans-serif" w:hAnsi="Times New Roman;sans-serif"/>
                  <w:b w:val="false"/>
                  <w:color w:val="0000FF"/>
                  <w:sz w:val="20"/>
                  <w:u w:val="single"/>
                </w:rPr>
                <w:t>3</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42">
              <w:r>
                <w:rPr>
                  <w:rStyle w:val="InternetLink"/>
                  <w:rFonts w:ascii="Times New Roman;sans-serif" w:hAnsi="Times New Roman;sans-serif"/>
                  <w:b w:val="false"/>
                  <w:color w:val="0000FF"/>
                  <w:sz w:val="20"/>
                  <w:u w:val="single"/>
                </w:rPr>
                <w:t>Condensed Consolidated Statements of Comprehensive Income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142">
              <w:r>
                <w:rPr>
                  <w:rStyle w:val="InternetLink"/>
                  <w:rFonts w:ascii="Times New Roman;sans-serif" w:hAnsi="Times New Roman;sans-serif"/>
                  <w:b w:val="false"/>
                  <w:color w:val="0000FF"/>
                  <w:sz w:val="20"/>
                  <w:u w:val="single"/>
                </w:rPr>
                <w:t>5</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45">
              <w:r>
                <w:rPr>
                  <w:rStyle w:val="InternetLink"/>
                  <w:rFonts w:ascii="Times New Roman;sans-serif" w:hAnsi="Times New Roman;sans-serif"/>
                  <w:b w:val="false"/>
                  <w:color w:val="0000FF"/>
                  <w:sz w:val="20"/>
                  <w:u w:val="single"/>
                </w:rPr>
                <w:t>Condensed Consolidated Statements of Changes in Equity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145">
              <w:r>
                <w:rPr>
                  <w:rStyle w:val="InternetLink"/>
                  <w:rFonts w:ascii="Times New Roman;sans-serif" w:hAnsi="Times New Roman;sans-serif"/>
                  <w:b w:val="false"/>
                  <w:color w:val="0000FF"/>
                  <w:sz w:val="20"/>
                  <w:u w:val="single"/>
                </w:rPr>
                <w:t>6</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48">
              <w:r>
                <w:rPr>
                  <w:rStyle w:val="InternetLink"/>
                  <w:rFonts w:ascii="Times New Roman;sans-serif" w:hAnsi="Times New Roman;sans-serif"/>
                  <w:b w:val="false"/>
                  <w:color w:val="0000FF"/>
                  <w:sz w:val="20"/>
                  <w:u w:val="single"/>
                </w:rPr>
                <w:t>Condensed Consolidated Statements of Cash Flows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148">
              <w:r>
                <w:rPr>
                  <w:rStyle w:val="InternetLink"/>
                  <w:rFonts w:ascii="Times New Roman;sans-serif" w:hAnsi="Times New Roman;sans-serif"/>
                  <w:b w:val="false"/>
                  <w:color w:val="0000FF"/>
                  <w:sz w:val="20"/>
                  <w:u w:val="single"/>
                </w:rPr>
                <w:t>7</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d922a2c2404ddc8931aba600272e42_151">
              <w:r>
                <w:rPr>
                  <w:rStyle w:val="InternetLink"/>
                  <w:rFonts w:ascii="Times New Roman;sans-serif" w:hAnsi="Times New Roman;sans-serif"/>
                  <w:b w:val="false"/>
                  <w:color w:val="0000FF"/>
                  <w:sz w:val="20"/>
                  <w:u w:val="single"/>
                </w:rPr>
                <w:t>Notes to Condensed Consolidated Financial Statements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d922a2c2404ddc8931aba600272e42_151">
              <w:r>
                <w:rPr>
                  <w:rStyle w:val="InternetLink"/>
                  <w:rFonts w:ascii="Times New Roman;sans-serif" w:hAnsi="Times New Roman;sans-serif"/>
                  <w:b w:val="false"/>
                  <w:color w:val="0000FF"/>
                  <w:sz w:val="20"/>
                  <w:u w:val="single"/>
                </w:rPr>
                <w:t>9</w:t>
              </w:r>
            </w:hyperlink>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1d922a2c2404ddc8931aba600272e4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Financial Condition (Unaudited)</w:t>
      </w:r>
    </w:p>
    <w:tbl>
      <w:tblPr>
        <w:tblW w:w="10205" w:type="dxa"/>
        <w:jc w:val="center"/>
        <w:tblInd w:w="0" w:type="dxa"/>
        <w:tblLayout w:type="fixed"/>
        <w:tblCellMar>
          <w:top w:w="28" w:type="dxa"/>
          <w:left w:w="28" w:type="dxa"/>
          <w:bottom w:w="28" w:type="dxa"/>
          <w:right w:w="28" w:type="dxa"/>
        </w:tblCellMar>
      </w:tblPr>
      <w:tblGrid>
        <w:gridCol w:w="2525"/>
        <w:gridCol w:w="2222"/>
        <w:gridCol w:w="2225"/>
        <w:gridCol w:w="109"/>
        <w:gridCol w:w="109"/>
        <w:gridCol w:w="109"/>
        <w:gridCol w:w="196"/>
        <w:gridCol w:w="961"/>
        <w:gridCol w:w="109"/>
        <w:gridCol w:w="109"/>
        <w:gridCol w:w="109"/>
        <w:gridCol w:w="109"/>
        <w:gridCol w:w="196"/>
        <w:gridCol w:w="961"/>
        <w:gridCol w:w="156"/>
      </w:tblGrid>
      <w:tr>
        <w:trPr/>
        <w:tc>
          <w:tcPr>
            <w:tcW w:w="252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6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872,513 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broker-dealers and clearing organizations ($108,358 and $51,595 at fair value, as of March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owned and pledged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capitalized software (net of accumulated depreciation of $388,684 and $380,202 as of March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1,148,926 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 of accumulated amortization of $440,243 and $428,460 as of March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of business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($129,387 and $158,326, at fair value, as of March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17,548,214 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15,361,743 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2,431,878 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broker-dealers and clearing organizations ($199,920 and $136,736, at fair value, as of March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8,116,856 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6,440,971 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 agreement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of business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15,986,558 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13,874,366 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Virtu Financial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$0.00001), Authorized — 1,000,000,000 and 1,000,000,000 shares, Issued — 139,581,948 and 137,479,751 shares, Outstanding — 85,757,311 and 84,976,325 shares at March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(par value $0.00001), Authorized — 175,000,000 and 175,000,000 shares, Issued and Outstanding — 0 and 0 shares at March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(par value $0.00001), Authorized — 90,000,000 and 90,000,000 shares, Issued and Outstanding — 8,194,847 and 8,561,970 shares at March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(par value $0.00001), Authorized — 175,000,000 and 175,000,000 shares, Issued and Outstanding — 60,091,740 and 60,091,740 shares at March 31,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53,824,637 and 52,503,426 shares at March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(1,339,913)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1d922a2c2404ddc8931aba600272e4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Financial Condition (Unaudited)</w:t>
      </w:r>
    </w:p>
    <w:tbl>
      <w:tblPr>
        <w:tblW w:w="6801" w:type="dxa"/>
        <w:jc w:val="center"/>
        <w:tblInd w:w="0" w:type="dxa"/>
        <w:tblLayout w:type="fixed"/>
        <w:tblCellMar>
          <w:top w:w="28" w:type="dxa"/>
          <w:left w:w="28" w:type="dxa"/>
          <w:bottom w:w="28" w:type="dxa"/>
          <w:right w:w="28" w:type="dxa"/>
        </w:tblCellMar>
      </w:tblPr>
      <w:tblGrid>
        <w:gridCol w:w="1293"/>
        <w:gridCol w:w="1138"/>
        <w:gridCol w:w="1139"/>
        <w:gridCol w:w="109"/>
        <w:gridCol w:w="109"/>
        <w:gridCol w:w="109"/>
        <w:gridCol w:w="196"/>
        <w:gridCol w:w="961"/>
        <w:gridCol w:w="109"/>
        <w:gridCol w:w="109"/>
        <w:gridCol w:w="109"/>
        <w:gridCol w:w="109"/>
        <w:gridCol w:w="196"/>
        <w:gridCol w:w="96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Virtu Financial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1,487,377 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17,548,214 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15,361,743 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1d922a2c2404ddc8931aba600272e4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tbl>
      <w:tblPr>
        <w:tblW w:w="10136" w:type="dxa"/>
        <w:jc w:val="center"/>
        <w:tblInd w:w="0" w:type="dxa"/>
        <w:tblLayout w:type="fixed"/>
        <w:tblCellMar>
          <w:top w:w="28" w:type="dxa"/>
          <w:left w:w="28" w:type="dxa"/>
          <w:bottom w:w="28" w:type="dxa"/>
          <w:right w:w="28" w:type="dxa"/>
        </w:tblCellMar>
      </w:tblPr>
      <w:tblGrid>
        <w:gridCol w:w="2004"/>
        <w:gridCol w:w="1763"/>
        <w:gridCol w:w="1767"/>
        <w:gridCol w:w="109"/>
        <w:gridCol w:w="109"/>
        <w:gridCol w:w="109"/>
        <w:gridCol w:w="109"/>
        <w:gridCol w:w="109"/>
        <w:gridCol w:w="207"/>
        <w:gridCol w:w="207"/>
        <w:gridCol w:w="373"/>
        <w:gridCol w:w="1403"/>
        <w:gridCol w:w="207"/>
        <w:gridCol w:w="109"/>
        <w:gridCol w:w="109"/>
        <w:gridCol w:w="109"/>
        <w:gridCol w:w="202"/>
        <w:gridCol w:w="759"/>
        <w:gridCol w:w="109"/>
        <w:gridCol w:w="109"/>
        <w:gridCol w:w="154"/>
      </w:tblGrid>
      <w:tr>
        <w:trPr/>
        <w:tc>
          <w:tcPr>
            <w:tcW w:w="2004"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60" w:type="dxa"/>
            <w:gridSpan w:val="8"/>
            <w:tcBorders/>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589,983 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109,053 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151,307 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837,869 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221,875 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and 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compensation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119,356 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131,328 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 and acquired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614,133 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223,736 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189,635 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(89,954)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99,681 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85,681,015 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88,999,122 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86,047,558 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88,999,122 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189,635 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translation adjustment,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cash flow hedges gain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192,265 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(91,075)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101,190 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ind w:left="0" w:right="0" w:firstLine="405"/>
        <w:jc w:val="left"/>
        <w:rPr/>
      </w:pPr>
      <w:hyperlink w:anchor="ic1d922a2c2404ddc8931aba600272e4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 (Unaudited)</w:t>
      </w:r>
    </w:p>
    <w:p>
      <w:pPr>
        <w:pStyle w:val="TextBody"/>
        <w:bidi w:val="0"/>
        <w:spacing w:lineRule="auto" w:line="288" w:before="0" w:after="0"/>
        <w:ind w:left="0" w:right="0" w:firstLine="405"/>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 and 2024</w:t>
      </w:r>
    </w:p>
    <w:tbl>
      <w:tblPr>
        <w:tblW w:w="1733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8"/>
        <w:gridCol w:w="308"/>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66"/>
        <w:gridCol w:w="616"/>
        <w:gridCol w:w="109"/>
        <w:gridCol w:w="327"/>
        <w:gridCol w:w="218"/>
        <w:gridCol w:w="554"/>
        <w:gridCol w:w="144"/>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137,479,751 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8,561,970 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(52,503,426)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(1,339,913)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1,432,240 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(7,063)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1,254,174 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233,203 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1,487,377 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Cumulative-effect adjustment due to the adoption of ASU 2023-08,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2,650,096 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(1,018,757)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(1,321,211)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89,954 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189,635 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unrealized cash flow hedges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(1,211)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($0.24 per share of Class A common stock and participating Restricted Stock Units and Restricted Stock Awards)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(72,524)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350,858 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Repurchase of Virtu Financial Units and corresponding number of Class C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(350,858)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139,581,948 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8,194,847 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(53,824,637)</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(1,387,895)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1,475,903 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1,227,446 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(5,554)</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1,309,902 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251,754 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1,561,656 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bl>
    <w:tbl>
      <w:tblPr>
        <w:tblW w:w="1733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8"/>
        <w:gridCol w:w="308"/>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66"/>
        <w:gridCol w:w="616"/>
        <w:gridCol w:w="109"/>
        <w:gridCol w:w="327"/>
        <w:gridCol w:w="205"/>
        <w:gridCol w:w="576"/>
        <w:gridCol w:w="135"/>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134,901,037 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8,607,998 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(45,808,351)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(1,166,299)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1,000,403 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17,047 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202,629 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1,405,356 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2,596,226 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(946,267)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(1,959,076)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55,491 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(1,489)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Dividends ($0.24 per share of Class A common stock and participating Restricted Stock Units and Restricted Stock Awards)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(44,929)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136,550,996 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8,607,998 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60,091,740 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(47,767,427)</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(1,202,188)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1,380,457 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1,017,547 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15,904 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1,211,722 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212,355 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1,424,077 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1d922a2c2404ddc8931aba600272e42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9402" w:type="dxa"/>
        <w:jc w:val="center"/>
        <w:tblInd w:w="0" w:type="dxa"/>
        <w:tblLayout w:type="fixed"/>
        <w:tblCellMar>
          <w:top w:w="28" w:type="dxa"/>
          <w:left w:w="28" w:type="dxa"/>
          <w:bottom w:w="28" w:type="dxa"/>
          <w:right w:w="28" w:type="dxa"/>
        </w:tblCellMar>
      </w:tblPr>
      <w:tblGrid>
        <w:gridCol w:w="2309"/>
        <w:gridCol w:w="2035"/>
        <w:gridCol w:w="2046"/>
        <w:gridCol w:w="109"/>
        <w:gridCol w:w="109"/>
        <w:gridCol w:w="109"/>
        <w:gridCol w:w="198"/>
        <w:gridCol w:w="747"/>
        <w:gridCol w:w="109"/>
        <w:gridCol w:w="109"/>
        <w:gridCol w:w="109"/>
        <w:gridCol w:w="109"/>
        <w:gridCol w:w="196"/>
        <w:gridCol w:w="736"/>
        <w:gridCol w:w="109"/>
        <w:gridCol w:w="109"/>
        <w:gridCol w:w="154"/>
      </w:tblGrid>
      <w:tr>
        <w:trPr/>
        <w:tc>
          <w:tcPr>
            <w:tcW w:w="230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3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 and deferred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to stockholders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tax receivable agreement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or segregated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or segregated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Supplementary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1d922a2c2404ddc8931aba600272e42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9884" w:type="dxa"/>
        <w:jc w:val="center"/>
        <w:tblInd w:w="0" w:type="dxa"/>
        <w:tblLayout w:type="fixed"/>
        <w:tblCellMar>
          <w:top w:w="28" w:type="dxa"/>
          <w:left w:w="28" w:type="dxa"/>
          <w:bottom w:w="28" w:type="dxa"/>
          <w:right w:w="28" w:type="dxa"/>
        </w:tblCellMar>
      </w:tblPr>
      <w:tblGrid>
        <w:gridCol w:w="2408"/>
        <w:gridCol w:w="2120"/>
        <w:gridCol w:w="2132"/>
        <w:gridCol w:w="109"/>
        <w:gridCol w:w="109"/>
        <w:gridCol w:w="109"/>
        <w:gridCol w:w="386"/>
        <w:gridCol w:w="266"/>
        <w:gridCol w:w="266"/>
        <w:gridCol w:w="266"/>
        <w:gridCol w:w="266"/>
        <w:gridCol w:w="266"/>
        <w:gridCol w:w="386"/>
        <w:gridCol w:w="266"/>
        <w:gridCol w:w="266"/>
        <w:gridCol w:w="109"/>
        <w:gridCol w:w="154"/>
      </w:tblGrid>
      <w:tr>
        <w:trPr/>
        <w:tc>
          <w:tcPr>
            <w:tcW w:w="2408"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6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and accrued incentive compensation to developers relating to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Class 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Virtu Financial,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shares and per share amounts,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March 31, 2025, VFI owned approximately 57.4% of the membership interests of Virtu Financial. VFI is the sole managing member of Virtu Financial and operates and controls all of the businesses and affairs of Virtu Financial and its subsidiaries (the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leading financial firm that leverages cutting edge technology to deliver liquidity to the global markets and innovative, transparent trading solutions to its clients. The Company provides deep liquidity in over 25,000 financial instruments, on over 250 venues, in 40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completed two significant acquisitions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(f/k/a Virtu ITG Europe Limited),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 See Note 22 “Geographic Information and Business Segments” for a further discussion of the Company’s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19, 2024, the Company entered into a Unit Purchase Agreement with MarketAxess Holdings Inc. (“MarketAxess”) to sell a 49% interest in the multi-asset request-for-quote communication platform joint venture (“JV”), RFQ-hub Holdings LLC. See Note 3 “Business Held for Sale” for further details.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Form of Presentation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of the Company include its equity interests in Virtu Financial and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the Company's significant accounting policies, see Note 2 “Summary of Significant Accounting Policies” in our consolidated financial statements included in Part II, Item 8 of our Annual Report on Form 10-K for the year ended December 31,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Digital Assets Held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Effective January 1, 2025, the Company adopted Accounting Standards Update (“ASU”) 2023-08, </w:t>
      </w:r>
      <w:r>
        <w:rPr>
          <w:rFonts w:ascii="Times New Roman;sans-serif" w:hAnsi="Times New Roman;sans-serif"/>
          <w:b w:val="false"/>
          <w:i/>
          <w:color w:val="000000"/>
          <w:sz w:val="20"/>
        </w:rPr>
        <w:t>Intangibles—Goodwill and Other—Crypto Assets (Subtopic 350-60)</w:t>
      </w:r>
      <w:r>
        <w:rPr>
          <w:color w:val="000000"/>
        </w:rPr>
        <w:t xml:space="preserve"> </w:t>
      </w:r>
      <w:r>
        <w:rPr>
          <w:rFonts w:ascii="Times New Roman;sans-serif" w:hAnsi="Times New Roman;sans-serif"/>
          <w:b w:val="false"/>
          <w:color w:val="000000"/>
          <w:sz w:val="20"/>
        </w:rPr>
        <w:t>using a modified retrospective approach. This ASU requires measurement of in-scope crypto assets at fair value with gains or losses from remeasurement recognized in net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through a foreign subsidiary, had previously entered into certain token purchase, grant and/or similar agreements to purchase, be granted and/or otherwise acquire a certain amount of crypto tokens. At December 31, 2024, based on the nature of the assets, these tokens were recorded at cost within Intangibles on the Consolidated Statements of Financial Condition, in accordance with ASC 350, </w:t>
      </w:r>
      <w:r>
        <w:rPr>
          <w:rFonts w:ascii="Times New Roman;sans-serif" w:hAnsi="Times New Roman;sans-serif"/>
          <w:b w:val="false"/>
          <w:i/>
          <w:color w:val="000000"/>
          <w:sz w:val="20"/>
        </w:rPr>
        <w:t xml:space="preserve">Intangibles—Goodwill and Other. </w:t>
      </w:r>
      <w:r>
        <w:rPr>
          <w:rFonts w:ascii="Times New Roman;sans-serif" w:hAnsi="Times New Roman;sans-serif"/>
          <w:b w:val="false"/>
          <w:color w:val="000000"/>
          <w:sz w:val="20"/>
        </w:rPr>
        <w:t>Upon adoption, the Company records these tokens at fair value within Other assets on the Condensed Consolidated Statements of Financial Condition. As of January 1, 2025, the Company recorded a fair value adjustment of $25.4 million and established a deferred tax liability of $3.6 million, for a net cumulative-effect adjustment of $21.8 million in the beginning balance of Retained earnings. Subsequently, the Company remeasures these tokens at fair value at the end of each reporting period with changes recognized through Other, net on the Condensed Consolidated Statements of Comprehensive Income. The Company has other digital assets which were measured at fair value at December 31, 2024 based on the nature of the assets and the specialized accounting applied.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“first-in, first-out” method to determine the cost basis for its Digital assets held.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Pronouncements Recently Adopted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Business Combinations—Joint Venture Formations</w:t>
      </w:r>
      <w:r>
        <w:rPr>
          <w:color w:val="000000"/>
        </w:rPr>
        <w:t xml:space="preserve"> </w:t>
      </w:r>
      <w:r>
        <w:rPr>
          <w:rFonts w:ascii="Times New Roman;sans-serif" w:hAnsi="Times New Roman;sans-serif"/>
          <w:b w:val="false"/>
          <w:color w:val="000000"/>
          <w:sz w:val="20"/>
        </w:rPr>
        <w:t xml:space="preserve">- In August 2023, the FASB issued ASU 2023-05, </w:t>
      </w:r>
      <w:r>
        <w:rPr>
          <w:rFonts w:ascii="Times New Roman;sans-serif" w:hAnsi="Times New Roman;sans-serif"/>
          <w:b w:val="false"/>
          <w:i/>
          <w:color w:val="000000"/>
          <w:sz w:val="20"/>
        </w:rPr>
        <w:t>Business Combinations—Joint Venture Formations (Subtopic 805-60)</w:t>
      </w:r>
      <w:r>
        <w:rPr>
          <w:rFonts w:ascii="Times New Roman;sans-serif" w:hAnsi="Times New Roman;sans-serif"/>
          <w:b w:val="false"/>
          <w:color w:val="000000"/>
          <w:sz w:val="20"/>
        </w:rPr>
        <w:t>. This ASU provides updated guidance on accounting for the formation of joint ventures. The Company adopted this ASU on January 1, 2025, and it did not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Intangibles—Goodwill and Other—Crypto Assets</w:t>
      </w:r>
      <w:r>
        <w:rPr>
          <w:color w:val="000000"/>
        </w:rPr>
        <w:t xml:space="preserve"> </w:t>
      </w:r>
      <w:r>
        <w:rPr>
          <w:rFonts w:ascii="Times New Roman;sans-serif" w:hAnsi="Times New Roman;sans-serif"/>
          <w:b w:val="false"/>
          <w:color w:val="000000"/>
          <w:sz w:val="20"/>
        </w:rPr>
        <w:t xml:space="preserve">- In December 2023, the FASB issued ASU 2023-08, </w:t>
      </w:r>
      <w:r>
        <w:rPr>
          <w:rFonts w:ascii="Times New Roman;sans-serif" w:hAnsi="Times New Roman;sans-serif"/>
          <w:b w:val="false"/>
          <w:i/>
          <w:color w:val="000000"/>
          <w:sz w:val="20"/>
        </w:rPr>
        <w:t>Intangibles—Goodwill and Other—Crypto Assets (Subtopic 350-60)</w:t>
      </w:r>
      <w:r>
        <w:rPr>
          <w:rFonts w:ascii="Times New Roman;sans-serif" w:hAnsi="Times New Roman;sans-serif"/>
          <w:b w:val="false"/>
          <w:color w:val="000000"/>
          <w:sz w:val="20"/>
        </w:rPr>
        <w:t>. This ASU requires measurement of in-scope crypto assets at fair value and provides updated guidance on presentation and disclosure requirements for crypto assets. The Company adopted this ASU on January 1, 2025. See above and Note 11 “Digital Assets Held” for details on the impact of the adoption.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Compensation—Stock Compensation </w:t>
      </w:r>
      <w:r>
        <w:rPr>
          <w:rFonts w:ascii="Times New Roman;sans-serif" w:hAnsi="Times New Roman;sans-serif"/>
          <w:b w:val="false"/>
          <w:color w:val="000000"/>
          <w:sz w:val="20"/>
        </w:rPr>
        <w:t xml:space="preserve">- In March 2024, the FASB issued ASU 2024-01, </w:t>
      </w:r>
      <w:r>
        <w:rPr>
          <w:rFonts w:ascii="Times New Roman;sans-serif" w:hAnsi="Times New Roman;sans-serif"/>
          <w:b w:val="false"/>
          <w:i/>
          <w:color w:val="000000"/>
          <w:sz w:val="20"/>
        </w:rPr>
        <w:t>Compensation—Stock Compensation (Topic 718)</w:t>
      </w:r>
      <w:r>
        <w:rPr>
          <w:rFonts w:ascii="Times New Roman;sans-serif" w:hAnsi="Times New Roman;sans-serif"/>
          <w:b w:val="false"/>
          <w:color w:val="000000"/>
          <w:sz w:val="20"/>
        </w:rPr>
        <w:t>. This ASU clarifies ASC 718 scope application for profits interest or similar awards through illustrative examples. The Company adopted this ASU on January 1, 2025, and it did not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ans-serif" w:hAnsi="Times New Roman;sans-serif"/>
          <w:b/>
          <w:i/>
          <w:color w:val="000000"/>
          <w:sz w:val="20"/>
        </w:rPr>
        <w:t xml:space="preserve">Codification Improvements </w:t>
      </w:r>
      <w:r>
        <w:rPr>
          <w:rFonts w:ascii="Times New Roman;sans-serif" w:hAnsi="Times New Roman;sans-serif"/>
          <w:b w:val="false"/>
          <w:color w:val="000000"/>
          <w:sz w:val="20"/>
        </w:rPr>
        <w:t xml:space="preserve">- In March 2024, the FASB issued ASU 2024-02, </w:t>
      </w:r>
      <w:r>
        <w:rPr>
          <w:rFonts w:ascii="Times New Roman;sans-serif" w:hAnsi="Times New Roman;sans-serif"/>
          <w:b w:val="false"/>
          <w:i/>
          <w:color w:val="000000"/>
          <w:sz w:val="20"/>
        </w:rPr>
        <w:t>Codification Improvements.</w:t>
      </w:r>
      <w:r>
        <w:rPr>
          <w:color w:val="000000"/>
        </w:rPr>
        <w:t xml:space="preserve"> </w:t>
      </w:r>
      <w:r>
        <w:rPr>
          <w:rFonts w:ascii="Times New Roman;sans-serif" w:hAnsi="Times New Roman;sans-serif"/>
          <w:b w:val="false"/>
          <w:color w:val="000000"/>
          <w:sz w:val="20"/>
        </w:rPr>
        <w:t>This ASU aims to improve and simplify the language and structure of the Codification by removing references to Concepts Statements. The Company adopted this ASU on January 1, 2025, and it did not have a material impact on its Condensed Consolidated Financial Statements.</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Accounting Pronouncements Not Yet Adopted as of March 31, 2025</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ans-serif" w:hAnsi="Times New Roman;sans-serif"/>
          <w:b/>
          <w:i/>
          <w:color w:val="000000"/>
          <w:sz w:val="20"/>
        </w:rPr>
        <w:t>Income Taxes</w:t>
      </w:r>
      <w:r>
        <w:rPr>
          <w:color w:val="000000"/>
        </w:rPr>
        <w:t xml:space="preserve"> </w:t>
      </w:r>
      <w:r>
        <w:rPr>
          <w:rFonts w:ascii="Times New Roman;sans-serif" w:hAnsi="Times New Roman;sans-serif"/>
          <w:b w:val="false"/>
          <w:color w:val="000000"/>
          <w:sz w:val="20"/>
        </w:rPr>
        <w:t xml:space="preserve">- In December 2023, the FASB issued ASU 2023-09, </w:t>
      </w:r>
      <w:r>
        <w:rPr>
          <w:rFonts w:ascii="Times New Roman;sans-serif" w:hAnsi="Times New Roman;sans-serif"/>
          <w:b w:val="false"/>
          <w:i/>
          <w:color w:val="000000"/>
          <w:sz w:val="20"/>
        </w:rPr>
        <w:t>Income Taxes (Topic 740)</w:t>
      </w:r>
      <w:r>
        <w:rPr>
          <w:rFonts w:ascii="Times New Roman;sans-serif" w:hAnsi="Times New Roman;sans-serif"/>
          <w:b w:val="false"/>
          <w:color w:val="000000"/>
          <w:sz w:val="20"/>
        </w:rPr>
        <w:t>. This ASU requires disclosure of additional information on effective tax rate reconciliation and income taxes paid. This ASU is effective for annual periods beginning after December 15, 2024. The Company is currently evaluating the impact of this ASU but does not expect it to have a material impact on its Condensed Consolidated Financial Statements and related disclosures.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Income Statement—Reporting Comprehensive Income—Expense Disaggregation Disclosures</w:t>
      </w:r>
      <w:r>
        <w:rPr>
          <w:color w:val="000000"/>
        </w:rPr>
        <w:t xml:space="preserve"> </w:t>
      </w:r>
      <w:r>
        <w:rPr>
          <w:rFonts w:ascii="Times New Roman;sans-serif" w:hAnsi="Times New Roman;sans-serif"/>
          <w:b w:val="false"/>
          <w:color w:val="000000"/>
          <w:sz w:val="20"/>
        </w:rPr>
        <w:t xml:space="preserve">- In November 2024 and January 2025, the FASB issued ASU 2024-03 and ASU 2025-01, </w:t>
      </w:r>
      <w:r>
        <w:rPr>
          <w:rFonts w:ascii="Times New Roman;sans-serif" w:hAnsi="Times New Roman;sans-serif"/>
          <w:b w:val="false"/>
          <w:i/>
          <w:color w:val="000000"/>
          <w:sz w:val="20"/>
        </w:rPr>
        <w:t>Income Statement—Reporting Comprehensive Income—Expense Disaggregation Disclosures (Subtopic 220-40).</w:t>
      </w:r>
      <w:r>
        <w:rPr>
          <w:color w:val="000000"/>
        </w:rPr>
        <w:t xml:space="preserve"> </w:t>
      </w:r>
      <w:r>
        <w:rPr>
          <w:rFonts w:ascii="Times New Roman;sans-serif" w:hAnsi="Times New Roman;sans-serif"/>
          <w:b w:val="false"/>
          <w:color w:val="000000"/>
          <w:sz w:val="20"/>
        </w:rPr>
        <w:t>These ASUs require disclosure of disaggregated information of Income Statement expense captions that include certain costs, such as employee compensation, depreciation, and intangible asset amortization. They also require disclosure of the total amounts of selling expenses, along with an entity's definition of selling expenses. The amendments are effective for fiscal years beginning after December 15, 2026 and interim periods within fiscal years beginning after December 15, 2027. The Company is currently evaluating the impact of these ASUs, but does not expect them to have a material impact on its Condensed Consolidated Financial Statements and related disclosures.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3. Business Held for Sale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19, 2024, the Company entered into a Unit Purchase Agreement with MarketAxess Holdings Inc. (“MarketAxess”) pursuant to which the Company has agreed to sell a 49% interest in the multi-asset request-for-quote communication platform JV, RFQ-hub Holdings LLC (“RFQ-hub Holdings,” or collectively with its wholly owned or controlled subsidiaries, “RFQ-hub”, which includes RFQ-hub Americas LLC, or “RAL”). The sale is anticipated to close in 2025 but remains subject to various closing conditions including the receipt of certain regulatory approvals. Upon the closing of the sale, the Company will retain a minority stake in RFQ-hub.</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assets and liabilities of business held for sale is summarized as follows:</w:t>
      </w:r>
    </w:p>
    <w:tbl>
      <w:tblPr>
        <w:tblW w:w="7702" w:type="dxa"/>
        <w:jc w:val="center"/>
        <w:tblInd w:w="0" w:type="dxa"/>
        <w:tblLayout w:type="fixed"/>
        <w:tblCellMar>
          <w:top w:w="28" w:type="dxa"/>
          <w:left w:w="28" w:type="dxa"/>
          <w:bottom w:w="28" w:type="dxa"/>
          <w:right w:w="28" w:type="dxa"/>
        </w:tblCellMar>
      </w:tblPr>
      <w:tblGrid>
        <w:gridCol w:w="1536"/>
        <w:gridCol w:w="1352"/>
        <w:gridCol w:w="1356"/>
        <w:gridCol w:w="109"/>
        <w:gridCol w:w="109"/>
        <w:gridCol w:w="109"/>
        <w:gridCol w:w="264"/>
        <w:gridCol w:w="850"/>
        <w:gridCol w:w="146"/>
        <w:gridCol w:w="109"/>
        <w:gridCol w:w="109"/>
        <w:gridCol w:w="109"/>
        <w:gridCol w:w="308"/>
        <w:gridCol w:w="994"/>
        <w:gridCol w:w="242"/>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assets and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carrying value of RFQ-hub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4. Earnings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contains a reconciliation of Net income before income taxes and noncontrolling interest to Net income available for common stockholders:</w:t>
      </w:r>
    </w:p>
    <w:tbl>
      <w:tblPr>
        <w:tblW w:w="8577" w:type="dxa"/>
        <w:jc w:val="center"/>
        <w:tblInd w:w="0" w:type="dxa"/>
        <w:tblLayout w:type="fixed"/>
        <w:tblCellMar>
          <w:top w:w="28" w:type="dxa"/>
          <w:left w:w="28" w:type="dxa"/>
          <w:bottom w:w="28" w:type="dxa"/>
          <w:right w:w="28" w:type="dxa"/>
        </w:tblCellMar>
      </w:tblPr>
      <w:tblGrid>
        <w:gridCol w:w="1448"/>
        <w:gridCol w:w="1271"/>
        <w:gridCol w:w="1285"/>
        <w:gridCol w:w="109"/>
        <w:gridCol w:w="109"/>
        <w:gridCol w:w="109"/>
        <w:gridCol w:w="109"/>
        <w:gridCol w:w="109"/>
        <w:gridCol w:w="207"/>
        <w:gridCol w:w="207"/>
        <w:gridCol w:w="373"/>
        <w:gridCol w:w="1403"/>
        <w:gridCol w:w="207"/>
        <w:gridCol w:w="109"/>
        <w:gridCol w:w="109"/>
        <w:gridCol w:w="109"/>
        <w:gridCol w:w="196"/>
        <w:gridCol w:w="736"/>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223,736 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189,635 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(89,954)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99,681 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and diluted earnings per share is presented below:</w:t>
      </w:r>
    </w:p>
    <w:tbl>
      <w:tblPr>
        <w:tblW w:w="10205" w:type="dxa"/>
        <w:jc w:val="center"/>
        <w:tblInd w:w="0" w:type="dxa"/>
        <w:tblLayout w:type="fixed"/>
        <w:tblCellMar>
          <w:top w:w="28" w:type="dxa"/>
          <w:left w:w="28" w:type="dxa"/>
          <w:bottom w:w="28" w:type="dxa"/>
          <w:right w:w="28" w:type="dxa"/>
        </w:tblCellMar>
      </w:tblPr>
      <w:tblGrid>
        <w:gridCol w:w="2239"/>
        <w:gridCol w:w="1969"/>
        <w:gridCol w:w="1971"/>
        <w:gridCol w:w="109"/>
        <w:gridCol w:w="109"/>
        <w:gridCol w:w="109"/>
        <w:gridCol w:w="109"/>
        <w:gridCol w:w="109"/>
        <w:gridCol w:w="163"/>
        <w:gridCol w:w="163"/>
        <w:gridCol w:w="356"/>
        <w:gridCol w:w="971"/>
        <w:gridCol w:w="163"/>
        <w:gridCol w:w="109"/>
        <w:gridCol w:w="109"/>
        <w:gridCol w:w="109"/>
        <w:gridCol w:w="223"/>
        <w:gridCol w:w="738"/>
        <w:gridCol w:w="109"/>
        <w:gridCol w:w="109"/>
        <w:gridCol w:w="159"/>
      </w:tblGrid>
      <w:tr>
        <w:trPr/>
        <w:tc>
          <w:tcPr>
            <w:tcW w:w="223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65" w:type="dxa"/>
            <w:gridSpan w:val="8"/>
            <w:tcBorders/>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Dividends and undistributed earnings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 net of dividends and undistributed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93,312 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85,681,015 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88,999,122 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03"/>
        <w:gridCol w:w="2026"/>
        <w:gridCol w:w="2028"/>
        <w:gridCol w:w="130"/>
        <w:gridCol w:w="130"/>
        <w:gridCol w:w="130"/>
        <w:gridCol w:w="130"/>
        <w:gridCol w:w="130"/>
        <w:gridCol w:w="173"/>
        <w:gridCol w:w="129"/>
        <w:gridCol w:w="330"/>
        <w:gridCol w:w="770"/>
        <w:gridCol w:w="129"/>
        <w:gridCol w:w="109"/>
        <w:gridCol w:w="109"/>
        <w:gridCol w:w="109"/>
        <w:gridCol w:w="223"/>
        <w:gridCol w:w="738"/>
        <w:gridCol w:w="109"/>
        <w:gridCol w:w="109"/>
        <w:gridCol w:w="161"/>
      </w:tblGrid>
      <w:tr>
        <w:trPr/>
        <w:tc>
          <w:tcPr>
            <w:tcW w:w="2303"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53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67" w:type="dxa"/>
            <w:gridSpan w:val="8"/>
            <w:tcBorders/>
          </w:tcPr>
          <w:p>
            <w:pPr>
              <w:pStyle w:val="TableContents"/>
              <w:bidi w:val="0"/>
              <w:spacing w:before="0" w:after="283"/>
              <w:jc w:val="left"/>
              <w:rPr>
                <w:sz w:val="4"/>
                <w:szCs w:val="4"/>
              </w:rPr>
            </w:pPr>
            <w:r>
              <w:rPr>
                <w:sz w:val="4"/>
                <w:szCs w:val="4"/>
              </w:rPr>
            </w:r>
          </w:p>
        </w:tc>
      </w:tr>
      <w:tr>
        <w:trPr/>
        <w:tc>
          <w:tcPr>
            <w:tcW w:w="6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earnings per share:</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 net of dividends and undistributed earnings allocated to participating securities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of common stock outstanding:</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Issued and outstanding</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85,681,015 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88,999,122 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Issuable pursuant to Amended and Restated 2015 Management Incentive Plan</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366,543 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86,047,558 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88,999,122 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earnings per share (1)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328" w:type="dxa"/>
            <w:gridSpan w:val="14"/>
            <w:tcBorders/>
          </w:tcPr>
          <w:p>
            <w:pPr>
              <w:pStyle w:val="TableContents"/>
              <w:bidi w:val="0"/>
              <w:spacing w:before="0" w:after="283"/>
              <w:jc w:val="left"/>
              <w:rPr>
                <w:sz w:val="4"/>
                <w:szCs w:val="4"/>
              </w:rPr>
            </w:pPr>
            <w:r>
              <w:rPr>
                <w:sz w:val="4"/>
                <w:szCs w:val="4"/>
              </w:rPr>
            </w:r>
          </w:p>
        </w:tc>
      </w:tr>
      <w:tr>
        <w:trPr/>
        <w:tc>
          <w:tcPr>
            <w:tcW w:w="718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Excluded from the computation of diluted Earnings per share were 45,814 unexercised stock options for the three months ended March 31, 2024, because inclusion of the options would have been anti-dilutive. There were none excluded for the Three months ended March 31, 2025.</w:t>
            </w:r>
          </w:p>
        </w:tc>
        <w:tc>
          <w:tcPr>
            <w:tcW w:w="3025" w:type="dxa"/>
            <w:gridSpan w:val="12"/>
            <w:tcBorders/>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Tax Receivable Agreements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the Company's tax receivable agreements, see Note 5 “Tax Receivable Agreements” in our consolidated financial statements included in Part II, Item 8 of our Annual Report on Form 10-K for the year ended December 31, 2024.</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payments totaling $134.8 million from February 2017 through March 2025 with respect to its TRA obligation. Tax receivable payments are expected to range from approximately $0.1 million to $22.1 million per year over the next 15 years.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and December 31, 2024, the Company’s remaining deferred tax assets that relate to the matters described above were approximately $109.0 million and $114.4 million, respectively, and the Company’s liabilities over the next 15 years pursuant to the tax receivable agreements were approximately $175.8 million and $196.6 million for March 31, 2025 and December 31, 2024, respectively. The amounts recorded as of March 31, 2025 and December 31, 2024 are based on best estimates available at the respective dates and may be subject to change after the filing of the Company’s U.S. federal and state income tax returns for the years in which tax savings were realized.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 As of March 31, 2025 and December 31, 2024, the Company’s total amount of goodwill recorded was $1,148.9 million. No goodwill impairment was recognized during the three months ended March 31, 2025 and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details of goodwill by segment as of March 31, 2025 and December 31, 2024:</w:t>
      </w:r>
    </w:p>
    <w:tbl>
      <w:tblPr>
        <w:tblW w:w="7944" w:type="dxa"/>
        <w:jc w:val="center"/>
        <w:tblInd w:w="0" w:type="dxa"/>
        <w:tblLayout w:type="fixed"/>
        <w:tblCellMar>
          <w:top w:w="28" w:type="dxa"/>
          <w:left w:w="28" w:type="dxa"/>
          <w:bottom w:w="28" w:type="dxa"/>
          <w:right w:w="28" w:type="dxa"/>
        </w:tblCellMar>
      </w:tblPr>
      <w:tblGrid>
        <w:gridCol w:w="667"/>
        <w:gridCol w:w="587"/>
        <w:gridCol w:w="591"/>
        <w:gridCol w:w="109"/>
        <w:gridCol w:w="109"/>
        <w:gridCol w:w="109"/>
        <w:gridCol w:w="234"/>
        <w:gridCol w:w="880"/>
        <w:gridCol w:w="130"/>
        <w:gridCol w:w="109"/>
        <w:gridCol w:w="109"/>
        <w:gridCol w:w="109"/>
        <w:gridCol w:w="274"/>
        <w:gridCol w:w="1029"/>
        <w:gridCol w:w="152"/>
        <w:gridCol w:w="109"/>
        <w:gridCol w:w="109"/>
        <w:gridCol w:w="109"/>
        <w:gridCol w:w="240"/>
        <w:gridCol w:w="497"/>
        <w:gridCol w:w="134"/>
        <w:gridCol w:w="109"/>
        <w:gridCol w:w="109"/>
        <w:gridCol w:w="109"/>
        <w:gridCol w:w="196"/>
        <w:gridCol w:w="87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755,292 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393,634 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1,148,926 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3 “Business Held for Sale”, the Company reclassified an aggregated net carrying amount of $3.5 million ($7.5 million of gross carrying amount net of $4.0 million accumulated amortization) from Intangible assets to Assets of business held for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Company’s total amount of intangible assets recorded was $190.3 million and $203.2 million, respectively. Acquired intangible assets consisted of the following as of March 31, 2025 and December 31, 2024:</w:t>
      </w:r>
    </w:p>
    <w:tbl>
      <w:tblPr>
        <w:tblW w:w="10162"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61"/>
        <w:gridCol w:w="1358"/>
        <w:gridCol w:w="201"/>
        <w:gridCol w:w="109"/>
        <w:gridCol w:w="109"/>
        <w:gridCol w:w="109"/>
        <w:gridCol w:w="387"/>
        <w:gridCol w:w="1509"/>
        <w:gridCol w:w="219"/>
        <w:gridCol w:w="109"/>
        <w:gridCol w:w="109"/>
        <w:gridCol w:w="109"/>
        <w:gridCol w:w="330"/>
        <w:gridCol w:w="1241"/>
        <w:gridCol w:w="183"/>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br/>
              <w:t>(Years) </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479,130 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(293,089)</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186,041 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630,523 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(440,243)</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190,280 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10028"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53"/>
        <w:gridCol w:w="1326"/>
        <w:gridCol w:w="196"/>
        <w:gridCol w:w="109"/>
        <w:gridCol w:w="109"/>
        <w:gridCol w:w="109"/>
        <w:gridCol w:w="363"/>
        <w:gridCol w:w="1505"/>
        <w:gridCol w:w="202"/>
        <w:gridCol w:w="109"/>
        <w:gridCol w:w="109"/>
        <w:gridCol w:w="109"/>
        <w:gridCol w:w="322"/>
        <w:gridCol w:w="1209"/>
        <w:gridCol w:w="179"/>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br/>
              <w:t>(Years)</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479,130 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(281,315)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197,815 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631,648 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(428,460)</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203,188 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7989" w:type="dxa"/>
            <w:gridSpan w:val="30"/>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relating to finite-lived intangible assets was approximately $11.8 million and $14.7 million for the three months ended March 31, 2025 and 2024, respectively. This is included in Amortization of purchased intangibles and acquired capitalized software in the accompanying Condensed Consolidated Statements of Comprehensive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to record amortization expense as follows over the next five subsequent years:</w:t>
      </w:r>
    </w:p>
    <w:tbl>
      <w:tblPr>
        <w:tblW w:w="2792" w:type="dxa"/>
        <w:jc w:val="center"/>
        <w:tblInd w:w="0" w:type="dxa"/>
        <w:tblLayout w:type="fixed"/>
        <w:tblCellMar>
          <w:top w:w="28" w:type="dxa"/>
          <w:left w:w="28" w:type="dxa"/>
          <w:bottom w:w="28" w:type="dxa"/>
          <w:right w:w="28" w:type="dxa"/>
        </w:tblCellMar>
      </w:tblPr>
      <w:tblGrid>
        <w:gridCol w:w="531"/>
        <w:gridCol w:w="468"/>
        <w:gridCol w:w="470"/>
        <w:gridCol w:w="109"/>
        <w:gridCol w:w="109"/>
        <w:gridCol w:w="109"/>
        <w:gridCol w:w="196"/>
        <w:gridCol w:w="64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Receivables from/Payables to Broker-Dealers and Clearing Organizations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receivables from and payables to brokers-dealers and clearing organizations at March 31, 2025 and December 31, 2024:</w:t>
      </w:r>
    </w:p>
    <w:tbl>
      <w:tblPr>
        <w:tblW w:w="8061" w:type="dxa"/>
        <w:jc w:val="center"/>
        <w:tblInd w:w="0" w:type="dxa"/>
        <w:tblLayout w:type="fixed"/>
        <w:tblCellMar>
          <w:top w:w="28" w:type="dxa"/>
          <w:left w:w="28" w:type="dxa"/>
          <w:bottom w:w="28" w:type="dxa"/>
          <w:right w:w="28" w:type="dxa"/>
        </w:tblCellMar>
      </w:tblPr>
      <w:tblGrid>
        <w:gridCol w:w="1665"/>
        <w:gridCol w:w="1466"/>
        <w:gridCol w:w="1473"/>
        <w:gridCol w:w="109"/>
        <w:gridCol w:w="109"/>
        <w:gridCol w:w="109"/>
        <w:gridCol w:w="210"/>
        <w:gridCol w:w="933"/>
        <w:gridCol w:w="116"/>
        <w:gridCol w:w="109"/>
        <w:gridCol w:w="109"/>
        <w:gridCol w:w="109"/>
        <w:gridCol w:w="248"/>
        <w:gridCol w:w="1102"/>
        <w:gridCol w:w="194"/>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from prime brokers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652,207 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226,448 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223,582 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equity with futures commission merchants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199,771 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510,324 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failed to deliver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1,857,854 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1,100,850 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prime brokers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543,790 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583,914 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equity with futures commission merchants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251,036 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failed to receive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94,941 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774,809 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918,566 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6"/>
        </w:rPr>
        <w:t>(1)   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sans-serif" w:hAnsi="Times New Roman;sans-serif"/>
          <w:b w:val="false"/>
          <w:color w:val="000000"/>
          <w:sz w:val="20"/>
        </w:rPr>
        <w: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as a deduction from “Due from prime brokers” and “Net equity with futures commission merchants” is the outstanding principal balance on all of the Company’s prime brokerage credit facilities (described in Note 9 “Borrowings”) of approximately $158.1 million and $123.0 million as of March 31, 2025 and December 31, 2024, respectively. The loan proceeds from the credit facilities are available only to meet the initial margin requirements associated with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Collateralized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permitted to sell or repledge securities received as collateral and use these securities to secure repurchase agreements, enter into securities lending transactions or deliver these securities to counterparties or clearing organizations to cover short positions. At March 31, 2025 and December 31, 2024, substantially all of the securities received as collateral have been repledged.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collateralized transactions at March 31, 2025 and December 31, 2024 are summarized as follows:</w:t>
      </w:r>
    </w:p>
    <w:tbl>
      <w:tblPr>
        <w:tblW w:w="6847" w:type="dxa"/>
        <w:jc w:val="center"/>
        <w:tblInd w:w="0" w:type="dxa"/>
        <w:tblLayout w:type="fixed"/>
        <w:tblCellMar>
          <w:top w:w="28" w:type="dxa"/>
          <w:left w:w="28" w:type="dxa"/>
          <w:bottom w:w="28" w:type="dxa"/>
          <w:right w:w="28" w:type="dxa"/>
        </w:tblCellMar>
      </w:tblPr>
      <w:tblGrid>
        <w:gridCol w:w="1225"/>
        <w:gridCol w:w="1079"/>
        <w:gridCol w:w="1086"/>
        <w:gridCol w:w="109"/>
        <w:gridCol w:w="109"/>
        <w:gridCol w:w="109"/>
        <w:gridCol w:w="210"/>
        <w:gridCol w:w="933"/>
        <w:gridCol w:w="116"/>
        <w:gridCol w:w="109"/>
        <w:gridCol w:w="109"/>
        <w:gridCol w:w="109"/>
        <w:gridCol w:w="248"/>
        <w:gridCol w:w="1102"/>
        <w:gridCol w:w="194"/>
      </w:tblGrid>
      <w:tr>
        <w:trPr/>
        <w:tc>
          <w:tcPr>
            <w:tcW w:w="122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Securities received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2,701,853 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2,222,054 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983,753 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3,854,943 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3,205,807 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pledges qualified securities with clearing organizations to satisfy daily margin and clearing fund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owned and pledged, where the counterparty has the right to repledge, at March 31, 2025 and December 31, 2024 consisted of the following:</w:t>
      </w:r>
    </w:p>
    <w:p>
      <w:pPr>
        <w:pStyle w:val="TextBody"/>
        <w:bidi w:val="0"/>
        <w:spacing w:before="0" w:after="0"/>
        <w:ind w:left="0" w:right="0" w:firstLine="720"/>
        <w:jc w:val="left"/>
        <w:rPr/>
      </w:pPr>
      <w:r>
        <w:rPr/>
      </w:r>
    </w:p>
    <w:tbl>
      <w:tblPr>
        <w:tblW w:w="5152" w:type="dxa"/>
        <w:jc w:val="center"/>
        <w:tblInd w:w="0" w:type="dxa"/>
        <w:tblLayout w:type="fixed"/>
        <w:tblCellMar>
          <w:top w:w="28" w:type="dxa"/>
          <w:left w:w="28" w:type="dxa"/>
          <w:bottom w:w="28" w:type="dxa"/>
          <w:right w:w="28" w:type="dxa"/>
        </w:tblCellMar>
      </w:tblPr>
      <w:tblGrid>
        <w:gridCol w:w="612"/>
        <w:gridCol w:w="540"/>
        <w:gridCol w:w="543"/>
        <w:gridCol w:w="109"/>
        <w:gridCol w:w="109"/>
        <w:gridCol w:w="109"/>
        <w:gridCol w:w="210"/>
        <w:gridCol w:w="933"/>
        <w:gridCol w:w="116"/>
        <w:gridCol w:w="109"/>
        <w:gridCol w:w="109"/>
        <w:gridCol w:w="109"/>
        <w:gridCol w:w="248"/>
        <w:gridCol w:w="1102"/>
        <w:gridCol w:w="194"/>
      </w:tblGrid>
      <w:tr>
        <w:trPr/>
        <w:tc>
          <w:tcPr>
            <w:tcW w:w="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2,411,625 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2,269,299 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2,428,584 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2,282,637 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Short-term Borrowings,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short-term borrowing balances outstanding, net of related debt issuance costs, with each described in further detail below.</w:t>
      </w:r>
    </w:p>
    <w:tbl>
      <w:tblPr>
        <w:tblW w:w="9259" w:type="dxa"/>
        <w:jc w:val="center"/>
        <w:tblInd w:w="0" w:type="dxa"/>
        <w:tblLayout w:type="fixed"/>
        <w:tblCellMar>
          <w:top w:w="28" w:type="dxa"/>
          <w:left w:w="28" w:type="dxa"/>
          <w:bottom w:w="28" w:type="dxa"/>
          <w:right w:w="28" w:type="dxa"/>
        </w:tblCellMar>
      </w:tblPr>
      <w:tblGrid>
        <w:gridCol w:w="770"/>
        <w:gridCol w:w="679"/>
        <w:gridCol w:w="681"/>
        <w:gridCol w:w="109"/>
        <w:gridCol w:w="109"/>
        <w:gridCol w:w="109"/>
        <w:gridCol w:w="344"/>
        <w:gridCol w:w="1294"/>
        <w:gridCol w:w="191"/>
        <w:gridCol w:w="109"/>
        <w:gridCol w:w="109"/>
        <w:gridCol w:w="109"/>
        <w:gridCol w:w="452"/>
        <w:gridCol w:w="1456"/>
        <w:gridCol w:w="251"/>
        <w:gridCol w:w="109"/>
        <w:gridCol w:w="109"/>
        <w:gridCol w:w="109"/>
        <w:gridCol w:w="390"/>
        <w:gridCol w:w="1464"/>
        <w:gridCol w:w="306"/>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Borrowings, net</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(4,077)</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105,923 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bank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116,226 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(4,077)</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112,149 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59" w:type="dxa"/>
        <w:jc w:val="center"/>
        <w:tblInd w:w="0" w:type="dxa"/>
        <w:tblLayout w:type="fixed"/>
        <w:tblCellMar>
          <w:top w:w="28" w:type="dxa"/>
          <w:left w:w="28" w:type="dxa"/>
          <w:bottom w:w="28" w:type="dxa"/>
          <w:right w:w="28" w:type="dxa"/>
        </w:tblCellMar>
      </w:tblPr>
      <w:tblGrid>
        <w:gridCol w:w="770"/>
        <w:gridCol w:w="679"/>
        <w:gridCol w:w="681"/>
        <w:gridCol w:w="109"/>
        <w:gridCol w:w="109"/>
        <w:gridCol w:w="109"/>
        <w:gridCol w:w="376"/>
        <w:gridCol w:w="1243"/>
        <w:gridCol w:w="211"/>
        <w:gridCol w:w="109"/>
        <w:gridCol w:w="109"/>
        <w:gridCol w:w="109"/>
        <w:gridCol w:w="595"/>
        <w:gridCol w:w="1231"/>
        <w:gridCol w:w="333"/>
        <w:gridCol w:w="109"/>
        <w:gridCol w:w="109"/>
        <w:gridCol w:w="109"/>
        <w:gridCol w:w="423"/>
        <w:gridCol w:w="1399"/>
        <w:gridCol w:w="337"/>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Borrowings, net</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bank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38,541 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Broker-Dealer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two secured credit facilities with a financial institution to finance overnight securities positions purchased as part of its ordinary course U.S.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which was amended to $350 million in February 2025, and bear interest at the adjusted SOFR or base rate plus 2.50% per annum. A commitment fee of 0.50% per annum on the average daily unused portion of this facility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 Singapore Pte. Ltd. is a party to a revolving credit facility with a financial institution (the “Overdraft Facility”) to provide a source of short-term financing. The facility has an aggregate borrowing limit of $10 million, and bears interest at the adjusted SOFR or base rate plus 3.5% per annum.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broker-dealer credit facilities’ carrying values, net of unamortized debt issuance costs, where applicable. These balances are included within Short-term borrowings on the Condensed Consolidated Statements of Financial Condition.</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586"/>
        <w:gridCol w:w="516"/>
        <w:gridCol w:w="521"/>
        <w:gridCol w:w="109"/>
        <w:gridCol w:w="109"/>
        <w:gridCol w:w="109"/>
        <w:gridCol w:w="273"/>
        <w:gridCol w:w="273"/>
        <w:gridCol w:w="275"/>
        <w:gridCol w:w="109"/>
        <w:gridCol w:w="109"/>
        <w:gridCol w:w="109"/>
        <w:gridCol w:w="223"/>
        <w:gridCol w:w="992"/>
        <w:gridCol w:w="123"/>
        <w:gridCol w:w="109"/>
        <w:gridCol w:w="109"/>
        <w:gridCol w:w="109"/>
        <w:gridCol w:w="257"/>
        <w:gridCol w:w="967"/>
        <w:gridCol w:w="143"/>
        <w:gridCol w:w="109"/>
        <w:gridCol w:w="109"/>
        <w:gridCol w:w="109"/>
        <w:gridCol w:w="301"/>
        <w:gridCol w:w="936"/>
        <w:gridCol w:w="167"/>
        <w:gridCol w:w="109"/>
        <w:gridCol w:w="109"/>
        <w:gridCol w:w="109"/>
        <w:gridCol w:w="286"/>
        <w:gridCol w:w="1076"/>
        <w:gridCol w:w="158"/>
        <w:gridCol w:w="109"/>
        <w:gridCol w:w="109"/>
        <w:gridCol w:w="109"/>
        <w:gridCol w:w="170"/>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Overdraft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5769" w:type="dxa"/>
            <w:gridSpan w:val="22"/>
            <w:tcBorders/>
          </w:tcPr>
          <w:p>
            <w:pPr>
              <w:pStyle w:val="TableContents"/>
              <w:bidi w:val="0"/>
              <w:spacing w:before="0" w:after="283"/>
              <w:jc w:val="left"/>
              <w:rPr>
                <w:sz w:val="4"/>
                <w:szCs w:val="4"/>
              </w:rPr>
            </w:pPr>
            <w:r>
              <w:rPr>
                <w:sz w:val="4"/>
                <w:szCs w:val="4"/>
              </w:rPr>
            </w:r>
          </w:p>
        </w:tc>
      </w:tr>
      <w:tr>
        <w:trPr/>
        <w:tc>
          <w:tcPr>
            <w:tcW w:w="9708"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Interest rate for Borrowing Base A Loan and Borrowing Base B Loan under the Committed Facility was 5.75% and 7.00%, respectively. There was no balance outstanding under Borrowing Base B Loan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28"/>
        <w:gridCol w:w="553"/>
        <w:gridCol w:w="558"/>
        <w:gridCol w:w="110"/>
        <w:gridCol w:w="110"/>
        <w:gridCol w:w="110"/>
        <w:gridCol w:w="287"/>
        <w:gridCol w:w="287"/>
        <w:gridCol w:w="288"/>
        <w:gridCol w:w="110"/>
        <w:gridCol w:w="110"/>
        <w:gridCol w:w="110"/>
        <w:gridCol w:w="230"/>
        <w:gridCol w:w="1025"/>
        <w:gridCol w:w="127"/>
        <w:gridCol w:w="110"/>
        <w:gridCol w:w="110"/>
        <w:gridCol w:w="110"/>
        <w:gridCol w:w="294"/>
        <w:gridCol w:w="972"/>
        <w:gridCol w:w="164"/>
        <w:gridCol w:w="110"/>
        <w:gridCol w:w="110"/>
        <w:gridCol w:w="110"/>
        <w:gridCol w:w="403"/>
        <w:gridCol w:w="835"/>
        <w:gridCol w:w="225"/>
        <w:gridCol w:w="110"/>
        <w:gridCol w:w="110"/>
        <w:gridCol w:w="110"/>
        <w:gridCol w:w="326"/>
        <w:gridCol w:w="1078"/>
        <w:gridCol w:w="275"/>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2024</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Available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 Outstanding</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 (1)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 (2)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Overdraft facility</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7.99%</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1,060,000 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(1) $0.3 million of deferred debt issuance costs are included within Other assets on the Consolidated Statement of Financial Condition. </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(2) Interest rate for Borrowing Base A Loan and Borrowing Base B Loan under the Committed Facility was 5.75% and 7.00%, respectively. There was no balance outstanding under Borrowing Base B Loan as of December 31, 2024.</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interest expense for the broker-dealer facilities. Interest expense is included within Interest and dividends expense in the accompanying Condensed Consolidated Statements of Comprehensive Income.</w:t>
      </w:r>
    </w:p>
    <w:p>
      <w:pPr>
        <w:pStyle w:val="TextBody"/>
        <w:bidi w:val="0"/>
        <w:spacing w:before="0" w:after="0"/>
        <w:ind w:left="0" w:right="0" w:firstLine="720"/>
        <w:jc w:val="left"/>
        <w:rPr/>
      </w:pPr>
      <w:r>
        <w:rPr/>
      </w:r>
    </w:p>
    <w:tbl>
      <w:tblPr>
        <w:tblW w:w="6705" w:type="dxa"/>
        <w:jc w:val="center"/>
        <w:tblInd w:w="0" w:type="dxa"/>
        <w:tblLayout w:type="fixed"/>
        <w:tblCellMar>
          <w:top w:w="28" w:type="dxa"/>
          <w:left w:w="28" w:type="dxa"/>
          <w:bottom w:w="28" w:type="dxa"/>
          <w:right w:w="28" w:type="dxa"/>
        </w:tblCellMar>
      </w:tblPr>
      <w:tblGrid>
        <w:gridCol w:w="834"/>
        <w:gridCol w:w="735"/>
        <w:gridCol w:w="741"/>
        <w:gridCol w:w="109"/>
        <w:gridCol w:w="109"/>
        <w:gridCol w:w="109"/>
        <w:gridCol w:w="109"/>
        <w:gridCol w:w="109"/>
        <w:gridCol w:w="242"/>
        <w:gridCol w:w="242"/>
        <w:gridCol w:w="436"/>
        <w:gridCol w:w="1237"/>
        <w:gridCol w:w="242"/>
        <w:gridCol w:w="109"/>
        <w:gridCol w:w="109"/>
        <w:gridCol w:w="109"/>
        <w:gridCol w:w="196"/>
        <w:gridCol w:w="556"/>
        <w:gridCol w:w="109"/>
        <w:gridCol w:w="109"/>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451" w:type="dxa"/>
            <w:gridSpan w:val="8"/>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Overdraft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Short-Term Bank Loans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Company’s international securities clearance and settlement activities are funded with operating cash or with short-term bank loans in the form of overdraft facilities. At March 31, 2025 and December 31, 2024, there was </w:t>
      </w:r>
      <w:r>
        <w:rPr>
          <w:rFonts w:ascii="Times New Roman;sans-serif" w:hAnsi="Times New Roman;sans-serif"/>
          <w:b w:val="false"/>
          <w:color w:val="000000"/>
          <w:sz w:val="20"/>
          <w:shd w:fill="FFFFFF" w:val="clear"/>
        </w:rPr>
        <w:t xml:space="preserve">$6.2 million and $28.5 million, respectively, of short-term bank loans </w:t>
      </w:r>
      <w:r>
        <w:rPr>
          <w:rFonts w:ascii="Times New Roman;sans-serif" w:hAnsi="Times New Roman;sans-serif"/>
          <w:b w:val="false"/>
          <w:color w:val="000000"/>
          <w:sz w:val="20"/>
        </w:rPr>
        <w:t>associated with international settlement activities outstanding under these facilities at a weighted average interest rate of approximately 3.4% and 5.0%, respectively. Outstanding short-term bank loan balances are included within Short-term borrowings on the Condensed Consolidated Statements of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November 2024, Virtu Financial Singapore Pte. Ltd. entered into an agreement with a financial institution for a short-term bank loan with a total capacity of </w:t>
      </w:r>
      <w:r>
        <w:rPr>
          <w:rFonts w:ascii="Times New Roman;sans-serif" w:hAnsi="Times New Roman;sans-serif"/>
          <w:b w:val="false"/>
          <w:color w:val="000000"/>
          <w:sz w:val="20"/>
          <w:shd w:fill="FFFFFF" w:val="clear"/>
        </w:rPr>
        <w:t xml:space="preserve">$50.0 million. </w:t>
      </w:r>
      <w:r>
        <w:rPr>
          <w:rFonts w:ascii="Times New Roman;sans-serif" w:hAnsi="Times New Roman;sans-serif"/>
          <w:b w:val="false"/>
          <w:color w:val="000000"/>
          <w:sz w:val="20"/>
        </w:rPr>
        <w:t>At March 31, 2025 and December 31, 2024, there were no balance outstanding under this short-term bank loan.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pStyle w:val="TextBody"/>
        <w:bidi w:val="0"/>
        <w:spacing w:before="0" w:after="0"/>
        <w:ind w:left="0" w:right="0" w:firstLine="720"/>
        <w:jc w:val="left"/>
        <w:rPr/>
      </w:pPr>
      <w:r>
        <w:rPr/>
      </w:r>
    </w:p>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March 31, 2025</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2024</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w:t>
              <w:br/>
              <w:t>Outstanding</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Outstanding borrowings are included with Receivables from/Payables to broker-dealers and clearing organizations within the Condensed Consolidated Statements of Financial Condition.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Interest expense in relation to the facilities was $2.5 million and $2.6 million for the three months ended March 31, 2025 and 2024</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Long-Term Borrowings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long-term borrowings, net of unamortized discount and debt issuance costs, where applicable:</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567"/>
        <w:gridCol w:w="499"/>
        <w:gridCol w:w="502"/>
        <w:gridCol w:w="109"/>
        <w:gridCol w:w="109"/>
        <w:gridCol w:w="109"/>
        <w:gridCol w:w="285"/>
        <w:gridCol w:w="285"/>
        <w:gridCol w:w="287"/>
        <w:gridCol w:w="109"/>
        <w:gridCol w:w="109"/>
        <w:gridCol w:w="109"/>
        <w:gridCol w:w="220"/>
        <w:gridCol w:w="220"/>
        <w:gridCol w:w="221"/>
        <w:gridCol w:w="109"/>
        <w:gridCol w:w="109"/>
        <w:gridCol w:w="109"/>
        <w:gridCol w:w="224"/>
        <w:gridCol w:w="999"/>
        <w:gridCol w:w="124"/>
        <w:gridCol w:w="109"/>
        <w:gridCol w:w="109"/>
        <w:gridCol w:w="109"/>
        <w:gridCol w:w="196"/>
        <w:gridCol w:w="590"/>
        <w:gridCol w:w="109"/>
        <w:gridCol w:w="109"/>
        <w:gridCol w:w="109"/>
        <w:gridCol w:w="109"/>
        <w:gridCol w:w="266"/>
        <w:gridCol w:w="939"/>
        <w:gridCol w:w="148"/>
        <w:gridCol w:w="109"/>
        <w:gridCol w:w="109"/>
        <w:gridCol w:w="109"/>
        <w:gridCol w:w="249"/>
        <w:gridCol w:w="1109"/>
        <w:gridCol w:w="204"/>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March 31, 2025</w:t>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First Lien Term B-2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1,226,096 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Senior Secured First Lien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491,656 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SBI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1,768,340 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(24,481)</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1,741,092 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57"/>
        <w:gridCol w:w="490"/>
        <w:gridCol w:w="493"/>
        <w:gridCol w:w="109"/>
        <w:gridCol w:w="109"/>
        <w:gridCol w:w="109"/>
        <w:gridCol w:w="286"/>
        <w:gridCol w:w="286"/>
        <w:gridCol w:w="288"/>
        <w:gridCol w:w="109"/>
        <w:gridCol w:w="109"/>
        <w:gridCol w:w="109"/>
        <w:gridCol w:w="220"/>
        <w:gridCol w:w="220"/>
        <w:gridCol w:w="221"/>
        <w:gridCol w:w="109"/>
        <w:gridCol w:w="109"/>
        <w:gridCol w:w="109"/>
        <w:gridCol w:w="225"/>
        <w:gridCol w:w="1003"/>
        <w:gridCol w:w="125"/>
        <w:gridCol w:w="109"/>
        <w:gridCol w:w="109"/>
        <w:gridCol w:w="109"/>
        <w:gridCol w:w="196"/>
        <w:gridCol w:w="591"/>
        <w:gridCol w:w="109"/>
        <w:gridCol w:w="109"/>
        <w:gridCol w:w="109"/>
        <w:gridCol w:w="109"/>
        <w:gridCol w:w="268"/>
        <w:gridCol w:w="947"/>
        <w:gridCol w:w="149"/>
        <w:gridCol w:w="109"/>
        <w:gridCol w:w="109"/>
        <w:gridCol w:w="109"/>
        <w:gridCol w:w="251"/>
        <w:gridCol w:w="1116"/>
        <w:gridCol w:w="202"/>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At December 31, 2024</w:t>
            </w:r>
          </w:p>
        </w:tc>
      </w:tr>
      <w:tr>
        <w:trPr/>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Borrowings, net</w:t>
            </w:r>
          </w:p>
        </w:tc>
      </w:tr>
      <w:tr>
        <w:trPr/>
        <w:tc>
          <w:tcPr>
            <w:tcW w:w="1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Lien Term B-1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1,226,882 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Secured First Lien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491,320 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SBI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1,767,265 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(23,922)</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1,740,467 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w:t>
      </w:r>
      <w:r>
        <w:rPr>
          <w:color w:val="000000"/>
        </w:rPr>
        <w:t xml:space="preserve"> </w:t>
      </w:r>
      <w:r>
        <w:rPr>
          <w:rFonts w:ascii="Times New Roman;sans-serif" w:hAnsi="Times New Roman;sans-serif"/>
          <w:b w:val="false"/>
          <w:color w:val="000000"/>
          <w:sz w:val="20"/>
        </w:rPr>
        <w:t>principal</w:t>
      </w:r>
      <w:r>
        <w:rPr>
          <w:color w:val="000000"/>
        </w:rPr>
        <w:t xml:space="preserve"> </w:t>
      </w:r>
      <w:r>
        <w:rPr>
          <w:rFonts w:ascii="Times New Roman;sans-serif" w:hAnsi="Times New Roman;sans-serif"/>
          <w:b w:val="false"/>
          <w:color w:val="000000"/>
          <w:sz w:val="20"/>
        </w:rPr>
        <w:t>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loans amortize in annual installments equal to 1.0% of the original aggregate principal amount of the term loans and the Company repaid $18.0 million on January 13, 2023. On December 12, 2023, the Company made a voluntary prepayment of $55.0 million, and the payment is applied toward subsequent annual amortization installments.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2019, the Company entered into a five-year $525.0 million floating-to-fixed interest rate swap agreement. In January 2020, the Company also entered into a five-year $1,000.0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previous first lien term loan facility in relation to the ITG Acquisition at rates of 4.3% and 4.4% through September 2024 and January 2025, respectively.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respect to the earlier maturing swap arrangement, and 4.6% with respect to the later maturing swap arrangement. In January 2022, in order to align the swap agreements with the Original Credit Agreement, the Company amended each of the swap agreements to align the floating rate term of such swap agreements to SOFR.</w:t>
      </w:r>
      <w:r>
        <w:rPr>
          <w:color w:val="000000"/>
        </w:rPr>
        <w:t xml:space="preserve"> </w:t>
      </w:r>
      <w:r>
        <w:rPr>
          <w:rFonts w:ascii="Times New Roman;sans-serif" w:hAnsi="Times New Roman;sans-serif"/>
          <w:b w:val="false"/>
          <w:color w:val="000000"/>
          <w:sz w:val="20"/>
        </w:rPr>
        <w:t>The effective fixed interest payment obligations remained at 4.5%, with respect to the earlier maturing swap arrangement, and 4.6% with respect to the later maturing swap arrangement.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21, 2024 (the “Amendment No. 1 Effective Date”), the Company entered into Amendment No. 1 to the Original Credit Agreement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its entry into the First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current interest rate swap effectively fixed interest payment obligations on the $1,075.0 million of principal of the Term B-1 Loans at a rate of 7.17% through November 2025, based on the interest rates set forth in the First Amended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19, 2025 (the “Amendment No. 2 Effective Date”), the Company entered into Amendment No. 2 to the First Amended Credit Agreement (“Amendment No. 2”). Amendment No. 2 amends the First Amended Credit Agreement (as amended, the “Credit Agreement”) to, among other things, effect a repricing of the $1,245.0 million in aggregate principal amount of Term B-1 Loans by establishing a new refinancing tranche of $1,245.0 million in aggregate principal amount of Senior Secured First Lien Term B-2 Loans (the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interest rate swap effectively fixes interest payment obligations on the $1,075.0 million of principal of the Term B-2 Loans at a rate of 6.92% through November 2025, based on the interest rates set forth in the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subsidiaries and secured by substantially all of the assets of VFH and the guarantors, in each case, subject to certain exceptions.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$1,245.0 million was outstanding under the current term loans, and there were no amounts outstanding under the first lien revolving facility.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First Lien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Notes and the related guarantees are secured by first-priority perfected liens on substantially all of the Issuers’ and guarantors’ existing and future assets, subject to certain exceptions, including all material personal property, a pledge of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the Credit Agreement on a first-priority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June 15, 2027, we may redeem some or all of the Notes at a redemption price equal to 100% of the principal amount plus accrued and unpaid interest, if any, to (but not including) the date of redemption, plus an applicable “make whole” premium.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pStyle w:val="TextBody"/>
        <w:bidi w:val="0"/>
        <w:spacing w:before="0" w:after="0"/>
        <w:jc w:val="left"/>
        <w:rPr/>
      </w:pPr>
      <w:r>
        <w:rPr/>
      </w:r>
    </w:p>
    <w:tbl>
      <w:tblPr>
        <w:tblW w:w="2772" w:type="dxa"/>
        <w:jc w:val="center"/>
        <w:tblInd w:w="0" w:type="dxa"/>
        <w:tblLayout w:type="fixed"/>
        <w:tblCellMar>
          <w:top w:w="28" w:type="dxa"/>
          <w:left w:w="28" w:type="dxa"/>
          <w:bottom w:w="28" w:type="dxa"/>
          <w:right w:w="28" w:type="dxa"/>
        </w:tblCellMar>
      </w:tblPr>
      <w:tblGrid>
        <w:gridCol w:w="534"/>
        <w:gridCol w:w="471"/>
        <w:gridCol w:w="479"/>
        <w:gridCol w:w="109"/>
        <w:gridCol w:w="109"/>
        <w:gridCol w:w="109"/>
        <w:gridCol w:w="281"/>
        <w:gridCol w:w="281"/>
        <w:gridCol w:w="399"/>
      </w:tblGrid>
      <w:tr>
        <w:trPr/>
        <w:tc>
          <w:tcPr>
            <w:tcW w:w="5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103.750%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101.875%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100.000%</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the occurrence of specified change of control events as defined in the Indenture, we must offer to repurchase the outstanding Notes at 101% of the aggregate principal amount, plus accrued and unpaid interest, if any, to (but excluding) the purchase date.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SBI Bonds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10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2022, the maturity of the SBI Bonds was extended to 2026. The principal balance was ¥3.5 billion ($23.3 million) as of March 31, 2025 and ¥3.5 billion ($22.3 million) as of December 31, 2024. The Company had a loss of $1.1 million and a gain of $1.7 million during the three months ended March 31, 2025 and 2024, respectively, due to changes in foreign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aggregate future required minimum principal payments based on the terms of the long-term borrowings were as follows: </w:t>
      </w:r>
    </w:p>
    <w:p>
      <w:pPr>
        <w:pStyle w:val="TextBody"/>
        <w:bidi w:val="0"/>
        <w:spacing w:before="0" w:after="0"/>
        <w:ind w:left="0" w:right="0" w:firstLine="720"/>
        <w:jc w:val="left"/>
        <w:rPr/>
      </w:pPr>
      <w:r>
        <w:rPr/>
      </w:r>
    </w:p>
    <w:tbl>
      <w:tblPr>
        <w:tblW w:w="4458" w:type="dxa"/>
        <w:jc w:val="center"/>
        <w:tblInd w:w="0" w:type="dxa"/>
        <w:tblLayout w:type="fixed"/>
        <w:tblCellMar>
          <w:top w:w="28" w:type="dxa"/>
          <w:left w:w="28" w:type="dxa"/>
          <w:bottom w:w="28" w:type="dxa"/>
          <w:right w:w="28" w:type="dxa"/>
        </w:tblCellMar>
      </w:tblPr>
      <w:tblGrid>
        <w:gridCol w:w="1052"/>
        <w:gridCol w:w="927"/>
        <w:gridCol w:w="931"/>
        <w:gridCol w:w="109"/>
        <w:gridCol w:w="109"/>
        <w:gridCol w:w="109"/>
        <w:gridCol w:w="196"/>
        <w:gridCol w:w="87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principal of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1,768,340 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10. Financial Assets and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 Measured at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equities, options, on-the-run U.S. government obligations, exchange traded notes and digital assets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other U.S. and non-U.S. government obligations and receivables and payables linked to digital assets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measurements for those items measured on a recurring basis are summarized below as of March 31, 2025:</w:t>
      </w:r>
    </w:p>
    <w:tbl>
      <w:tblPr>
        <w:tblW w:w="10205" w:type="dxa"/>
        <w:jc w:val="center"/>
        <w:tblInd w:w="0" w:type="dxa"/>
        <w:tblLayout w:type="fixed"/>
        <w:tblCellMar>
          <w:top w:w="28" w:type="dxa"/>
          <w:left w:w="28" w:type="dxa"/>
          <w:bottom w:w="28" w:type="dxa"/>
          <w:right w:w="28" w:type="dxa"/>
        </w:tblCellMar>
      </w:tblPr>
      <w:tblGrid>
        <w:gridCol w:w="539"/>
        <w:gridCol w:w="474"/>
        <w:gridCol w:w="477"/>
        <w:gridCol w:w="109"/>
        <w:gridCol w:w="109"/>
        <w:gridCol w:w="109"/>
        <w:gridCol w:w="269"/>
        <w:gridCol w:w="1198"/>
        <w:gridCol w:w="149"/>
        <w:gridCol w:w="109"/>
        <w:gridCol w:w="109"/>
        <w:gridCol w:w="109"/>
        <w:gridCol w:w="244"/>
        <w:gridCol w:w="1088"/>
        <w:gridCol w:w="136"/>
        <w:gridCol w:w="109"/>
        <w:gridCol w:w="109"/>
        <w:gridCol w:w="109"/>
        <w:gridCol w:w="279"/>
        <w:gridCol w:w="923"/>
        <w:gridCol w:w="157"/>
        <w:gridCol w:w="109"/>
        <w:gridCol w:w="109"/>
        <w:gridCol w:w="109"/>
        <w:gridCol w:w="243"/>
        <w:gridCol w:w="1005"/>
        <w:gridCol w:w="135"/>
        <w:gridCol w:w="109"/>
        <w:gridCol w:w="109"/>
        <w:gridCol w:w="109"/>
        <w:gridCol w:w="199"/>
        <w:gridCol w:w="888"/>
        <w:gridCol w:w="167"/>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805,709 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2,799,329 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3,605,038 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955,752 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629,405 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1,585,157 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1,047,092 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1,047,092 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(301,861)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1,766,795 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4,827,463 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(301,861)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6,292,397 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pledged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1,626,860 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784,765 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2,411,625 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1,626,861 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801,723 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2,428,584 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44,378 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129,387 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linked to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108,358 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108,358 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2,317,340 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2,674,529 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4,991,869 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1,595,659 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1,630,575 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1,388,449 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1,388,449 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(301,972)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2,357,543 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6,061,285 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(301,972)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8,116,856 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linked to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199,920 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199,920 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measurements for those items measured on a recurring basis are summarized below as of December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39"/>
        <w:gridCol w:w="474"/>
        <w:gridCol w:w="477"/>
        <w:gridCol w:w="109"/>
        <w:gridCol w:w="109"/>
        <w:gridCol w:w="109"/>
        <w:gridCol w:w="269"/>
        <w:gridCol w:w="1198"/>
        <w:gridCol w:w="149"/>
        <w:gridCol w:w="109"/>
        <w:gridCol w:w="109"/>
        <w:gridCol w:w="109"/>
        <w:gridCol w:w="244"/>
        <w:gridCol w:w="1088"/>
        <w:gridCol w:w="136"/>
        <w:gridCol w:w="109"/>
        <w:gridCol w:w="109"/>
        <w:gridCol w:w="109"/>
        <w:gridCol w:w="279"/>
        <w:gridCol w:w="923"/>
        <w:gridCol w:w="157"/>
        <w:gridCol w:w="109"/>
        <w:gridCol w:w="109"/>
        <w:gridCol w:w="109"/>
        <w:gridCol w:w="243"/>
        <w:gridCol w:w="1005"/>
        <w:gridCol w:w="135"/>
        <w:gridCol w:w="109"/>
        <w:gridCol w:w="109"/>
        <w:gridCol w:w="109"/>
        <w:gridCol w:w="199"/>
        <w:gridCol w:w="888"/>
        <w:gridCol w:w="167"/>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w:t>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686,827 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2,471,450 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3,158,277 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348,761 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908,625 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1,257,386 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967,377 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967,377 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716,970 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(676,905)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1,091,896 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5,105,024 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(676,905)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5,520,015 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1,639,404 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629,895 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2,269,299 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1,639,404 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643,233 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2,282,637 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82,483 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158,326 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linked to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51,595 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51,595 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51,595 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1,837,195 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1,854,883 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3,692,078 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1,313,955 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1,249,413 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1,249,413 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1,949,495 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5,173,354 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(681,878)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6,440,971 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linked to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136,736 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136,736 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JNX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minority investment (the “JNX Investment”) in Japannext Co., Ltd. (“JNX”), formerly known as SBI Japannext Co., Ltd., a proprietary trading system based in Tokyo. In connection with the JNX Investment, the Company issued the SBI Bonds (as described in Note 9 “Borrowings”) and used the proceeds to partially finance the transaction. The JNX Investment is included within Level 3 of the fair value hierarchy. As of March 31, 2025 and December 31, 2024,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information on the valuation techniques, significant unobservable inputs and their ranges for the JNX Investment: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53"/>
        <w:gridCol w:w="343"/>
        <w:gridCol w:w="345"/>
        <w:gridCol w:w="109"/>
        <w:gridCol w:w="109"/>
        <w:gridCol w:w="109"/>
        <w:gridCol w:w="315"/>
        <w:gridCol w:w="293"/>
        <w:gridCol w:w="78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5.0% - 5.0%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16.0% - 16.0%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enterprise value/ EBITDA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6.8x - 17.4x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14.2x</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53"/>
        <w:gridCol w:w="343"/>
        <w:gridCol w:w="345"/>
        <w:gridCol w:w="109"/>
        <w:gridCol w:w="109"/>
        <w:gridCol w:w="109"/>
        <w:gridCol w:w="315"/>
        <w:gridCol w:w="293"/>
        <w:gridCol w:w="78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5.0% - 5.0%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16.4% - 16.4%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enterprise value/ EBITDA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7.5x - 18.0x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13.2x</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the JNX Investment are included within Other, net in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changes in the Company’s Level 3 financial instruments measured at fair value on a recurring basis:</w:t>
      </w:r>
    </w:p>
    <w:tbl>
      <w:tblPr>
        <w:tblW w:w="496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6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8"/>
        <w:gridCol w:w="685"/>
        <w:gridCol w:w="115"/>
        <w:gridCol w:w="109"/>
        <w:gridCol w:w="109"/>
        <w:gridCol w:w="109"/>
        <w:gridCol w:w="227"/>
        <w:gridCol w:w="471"/>
        <w:gridCol w:w="128"/>
        <w:gridCol w:w="109"/>
        <w:gridCol w:w="109"/>
        <w:gridCol w:w="109"/>
        <w:gridCol w:w="228"/>
        <w:gridCol w:w="650"/>
        <w:gridCol w:w="128"/>
        <w:gridCol w:w="109"/>
        <w:gridCol w:w="109"/>
        <w:gridCol w:w="109"/>
        <w:gridCol w:w="240"/>
        <w:gridCol w:w="498"/>
        <w:gridCol w:w="134"/>
        <w:gridCol w:w="109"/>
        <w:gridCol w:w="109"/>
        <w:gridCol w:w="109"/>
        <w:gridCol w:w="240"/>
        <w:gridCol w:w="497"/>
        <w:gridCol w:w="134"/>
        <w:gridCol w:w="109"/>
        <w:gridCol w:w="109"/>
        <w:gridCol w:w="109"/>
        <w:gridCol w:w="205"/>
        <w:gridCol w:w="678"/>
        <w:gridCol w:w="114"/>
        <w:gridCol w:w="109"/>
        <w:gridCol w:w="109"/>
        <w:gridCol w:w="109"/>
        <w:gridCol w:w="266"/>
        <w:gridCol w:w="757"/>
        <w:gridCol w:w="220"/>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 (Losses) on Investments still held at March 31, 2025</w:t>
            </w:r>
          </w:p>
        </w:tc>
      </w:tr>
      <w:tr>
        <w:trPr/>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75,843 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9,166 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Total realized and unrealized gains/(losses) includes gains and losses due to fluctuations in currency rates as well as gains and losses recognized on changes in the fair value of the JNX Investment.</w:t>
            </w:r>
          </w:p>
        </w:tc>
      </w:tr>
    </w:tbl>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8"/>
        <w:gridCol w:w="685"/>
        <w:gridCol w:w="115"/>
        <w:gridCol w:w="109"/>
        <w:gridCol w:w="109"/>
        <w:gridCol w:w="109"/>
        <w:gridCol w:w="227"/>
        <w:gridCol w:w="471"/>
        <w:gridCol w:w="128"/>
        <w:gridCol w:w="109"/>
        <w:gridCol w:w="109"/>
        <w:gridCol w:w="109"/>
        <w:gridCol w:w="228"/>
        <w:gridCol w:w="650"/>
        <w:gridCol w:w="128"/>
        <w:gridCol w:w="109"/>
        <w:gridCol w:w="109"/>
        <w:gridCol w:w="109"/>
        <w:gridCol w:w="240"/>
        <w:gridCol w:w="498"/>
        <w:gridCol w:w="134"/>
        <w:gridCol w:w="109"/>
        <w:gridCol w:w="109"/>
        <w:gridCol w:w="109"/>
        <w:gridCol w:w="240"/>
        <w:gridCol w:w="497"/>
        <w:gridCol w:w="134"/>
        <w:gridCol w:w="109"/>
        <w:gridCol w:w="109"/>
        <w:gridCol w:w="109"/>
        <w:gridCol w:w="205"/>
        <w:gridCol w:w="678"/>
        <w:gridCol w:w="114"/>
        <w:gridCol w:w="109"/>
        <w:gridCol w:w="109"/>
        <w:gridCol w:w="109"/>
        <w:gridCol w:w="266"/>
        <w:gridCol w:w="757"/>
        <w:gridCol w:w="220"/>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Net Unrealized Gains / (Losses) on Investments still held at March 31, 2024</w:t>
            </w:r>
          </w:p>
        </w:tc>
      </w:tr>
      <w:tr>
        <w:trPr/>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81,805 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84,587 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Total realized and unrealized gains/(losses) includes gains and losses due to fluctuations in currency rates as well as gains and losses recognized on changes in the fair value of the JNX Investment.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Instruments Not Measured at Fair Value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financial assets and liabilities not carried at fair value on a recurring basis as of March 31, 2025:</w:t>
      </w:r>
    </w:p>
    <w:tbl>
      <w:tblPr>
        <w:tblW w:w="10205" w:type="dxa"/>
        <w:jc w:val="center"/>
        <w:tblInd w:w="0" w:type="dxa"/>
        <w:tblLayout w:type="fixed"/>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316"/>
        <w:gridCol w:w="1193"/>
        <w:gridCol w:w="179"/>
        <w:gridCol w:w="109"/>
        <w:gridCol w:w="109"/>
        <w:gridCol w:w="109"/>
        <w:gridCol w:w="241"/>
        <w:gridCol w:w="1074"/>
        <w:gridCol w:w="134"/>
        <w:gridCol w:w="109"/>
        <w:gridCol w:w="109"/>
        <w:gridCol w:w="109"/>
        <w:gridCol w:w="355"/>
        <w:gridCol w:w="737"/>
        <w:gridCol w:w="28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w:t>
            </w:r>
          </w:p>
        </w:tc>
      </w:tr>
      <w:tr>
        <w:trPr/>
        <w:tc>
          <w:tcPr>
            <w:tcW w:w="1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723,650 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723,650 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2,780,405 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2,780,405 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1,749,496 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1,749,496 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6,675,343 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6,675,343 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780,217 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5,895,126 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1,741,092 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1,785,993 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2,827,025 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2,827,025 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1,461,415 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1,461,415 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574,889 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574,889 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6,822,736 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6,871,714 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6,871,714 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cash collateral and deposits, and interest and dividends receivables.</w:t>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516" w:type="dxa"/>
            <w:gridSpan w:val="30"/>
            <w:tcBorders/>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Includes deposits, interest and dividends payable.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financial assets and liabilities not carried at fair value on a recurring basis as of December 31, 2024:</w:t>
      </w:r>
    </w:p>
    <w:tbl>
      <w:tblPr>
        <w:tblW w:w="10205" w:type="dxa"/>
        <w:jc w:val="center"/>
        <w:tblInd w:w="0" w:type="dxa"/>
        <w:tblLayout w:type="fixed"/>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316"/>
        <w:gridCol w:w="1193"/>
        <w:gridCol w:w="179"/>
        <w:gridCol w:w="109"/>
        <w:gridCol w:w="109"/>
        <w:gridCol w:w="109"/>
        <w:gridCol w:w="241"/>
        <w:gridCol w:w="1074"/>
        <w:gridCol w:w="134"/>
        <w:gridCol w:w="109"/>
        <w:gridCol w:w="109"/>
        <w:gridCol w:w="109"/>
        <w:gridCol w:w="355"/>
        <w:gridCol w:w="737"/>
        <w:gridCol w:w="28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 </w:t>
            </w:r>
          </w:p>
        </w:tc>
      </w:tr>
      <w:tr>
        <w:trPr/>
        <w:tc>
          <w:tcPr>
            <w:tcW w:w="1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872,513 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872,513 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2,294,529 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2,294,529 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983,941 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983,941 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1,049,255 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1,049,255 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5,423,246 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5,423,246 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925,112 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4,498,134 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1,740,467 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1,788,719 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2,431,878 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2,431,878 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1,271,788 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1,271,788 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781,830 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781,830 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6,336,730 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6,384,982 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6,384,982 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Includes cash collateral and deposits, and interest and dividends receivables.</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 Includes deposits, interest and dividends payable.</w:t>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516"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Offsetting of Financial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gross and net presentation of certain financial assets and financial liabilities as of March 31, 2025 and December 31, 2024:</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07"/>
        <w:gridCol w:w="358"/>
        <w:gridCol w:w="360"/>
        <w:gridCol w:w="109"/>
        <w:gridCol w:w="109"/>
        <w:gridCol w:w="109"/>
        <w:gridCol w:w="207"/>
        <w:gridCol w:w="922"/>
        <w:gridCol w:w="116"/>
        <w:gridCol w:w="109"/>
        <w:gridCol w:w="109"/>
        <w:gridCol w:w="109"/>
        <w:gridCol w:w="212"/>
        <w:gridCol w:w="822"/>
        <w:gridCol w:w="118"/>
        <w:gridCol w:w="109"/>
        <w:gridCol w:w="109"/>
        <w:gridCol w:w="109"/>
        <w:gridCol w:w="216"/>
        <w:gridCol w:w="960"/>
        <w:gridCol w:w="120"/>
        <w:gridCol w:w="109"/>
        <w:gridCol w:w="109"/>
        <w:gridCol w:w="109"/>
        <w:gridCol w:w="201"/>
        <w:gridCol w:w="914"/>
        <w:gridCol w:w="112"/>
        <w:gridCol w:w="112"/>
        <w:gridCol w:w="112"/>
        <w:gridCol w:w="112"/>
        <w:gridCol w:w="345"/>
        <w:gridCol w:w="688"/>
        <w:gridCol w:w="112"/>
        <w:gridCol w:w="109"/>
        <w:gridCol w:w="109"/>
        <w:gridCol w:w="109"/>
        <w:gridCol w:w="203"/>
        <w:gridCol w:w="671"/>
        <w:gridCol w:w="170"/>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Assets Presented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2,780,405 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2,780,405 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(2,701,853)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(1,153,090)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(301,861)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4,252,414 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(301,861)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3,950,553 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(3,854,943)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(43,784)</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51,826 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50"/>
        <w:gridCol w:w="357"/>
        <w:gridCol w:w="359"/>
        <w:gridCol w:w="109"/>
        <w:gridCol w:w="109"/>
        <w:gridCol w:w="109"/>
        <w:gridCol w:w="206"/>
        <w:gridCol w:w="920"/>
        <w:gridCol w:w="116"/>
        <w:gridCol w:w="109"/>
        <w:gridCol w:w="109"/>
        <w:gridCol w:w="109"/>
        <w:gridCol w:w="208"/>
        <w:gridCol w:w="804"/>
        <w:gridCol w:w="116"/>
        <w:gridCol w:w="109"/>
        <w:gridCol w:w="109"/>
        <w:gridCol w:w="109"/>
        <w:gridCol w:w="209"/>
        <w:gridCol w:w="931"/>
        <w:gridCol w:w="116"/>
        <w:gridCol w:w="109"/>
        <w:gridCol w:w="109"/>
        <w:gridCol w:w="109"/>
        <w:gridCol w:w="200"/>
        <w:gridCol w:w="907"/>
        <w:gridCol w:w="111"/>
        <w:gridCol w:w="111"/>
        <w:gridCol w:w="111"/>
        <w:gridCol w:w="111"/>
        <w:gridCol w:w="344"/>
        <w:gridCol w:w="681"/>
        <w:gridCol w:w="112"/>
        <w:gridCol w:w="109"/>
        <w:gridCol w:w="109"/>
        <w:gridCol w:w="109"/>
        <w:gridCol w:w="233"/>
        <w:gridCol w:w="663"/>
        <w:gridCol w:w="194"/>
      </w:tblGrid>
      <w:tr>
        <w:trPr/>
        <w:tc>
          <w:tcPr>
            <w:tcW w:w="4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Liabilities Presented in the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 </w:t>
            </w:r>
          </w:p>
        </w:tc>
      </w:tr>
      <w:tr>
        <w:trPr/>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2,827,025 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2,827,025 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(2,782,163)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1,461,415 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1,461,415 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(1,461,415)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4,597,886 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(301,972)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4,295,914 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(4,243,578)</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(43,719)</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07"/>
        <w:gridCol w:w="358"/>
        <w:gridCol w:w="360"/>
        <w:gridCol w:w="109"/>
        <w:gridCol w:w="109"/>
        <w:gridCol w:w="109"/>
        <w:gridCol w:w="207"/>
        <w:gridCol w:w="922"/>
        <w:gridCol w:w="116"/>
        <w:gridCol w:w="109"/>
        <w:gridCol w:w="109"/>
        <w:gridCol w:w="109"/>
        <w:gridCol w:w="212"/>
        <w:gridCol w:w="822"/>
        <w:gridCol w:w="118"/>
        <w:gridCol w:w="109"/>
        <w:gridCol w:w="109"/>
        <w:gridCol w:w="109"/>
        <w:gridCol w:w="216"/>
        <w:gridCol w:w="960"/>
        <w:gridCol w:w="120"/>
        <w:gridCol w:w="109"/>
        <w:gridCol w:w="109"/>
        <w:gridCol w:w="109"/>
        <w:gridCol w:w="201"/>
        <w:gridCol w:w="914"/>
        <w:gridCol w:w="112"/>
        <w:gridCol w:w="112"/>
        <w:gridCol w:w="112"/>
        <w:gridCol w:w="112"/>
        <w:gridCol w:w="345"/>
        <w:gridCol w:w="688"/>
        <w:gridCol w:w="112"/>
        <w:gridCol w:w="109"/>
        <w:gridCol w:w="109"/>
        <w:gridCol w:w="109"/>
        <w:gridCol w:w="203"/>
        <w:gridCol w:w="671"/>
        <w:gridCol w:w="170"/>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Assets Presented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2,294,529 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2,294,529 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(2,222,054)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983,941 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983,941 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(983,753)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716,970 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(676,905)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4,050,863 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(676,905)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3,373,958 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(3,205,807)</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(94,732)</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73,419 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52"/>
        <w:gridCol w:w="359"/>
        <w:gridCol w:w="361"/>
        <w:gridCol w:w="109"/>
        <w:gridCol w:w="109"/>
        <w:gridCol w:w="109"/>
        <w:gridCol w:w="207"/>
        <w:gridCol w:w="923"/>
        <w:gridCol w:w="116"/>
        <w:gridCol w:w="109"/>
        <w:gridCol w:w="109"/>
        <w:gridCol w:w="109"/>
        <w:gridCol w:w="210"/>
        <w:gridCol w:w="813"/>
        <w:gridCol w:w="117"/>
        <w:gridCol w:w="109"/>
        <w:gridCol w:w="109"/>
        <w:gridCol w:w="109"/>
        <w:gridCol w:w="211"/>
        <w:gridCol w:w="941"/>
        <w:gridCol w:w="117"/>
        <w:gridCol w:w="109"/>
        <w:gridCol w:w="109"/>
        <w:gridCol w:w="109"/>
        <w:gridCol w:w="200"/>
        <w:gridCol w:w="910"/>
        <w:gridCol w:w="111"/>
        <w:gridCol w:w="111"/>
        <w:gridCol w:w="111"/>
        <w:gridCol w:w="111"/>
        <w:gridCol w:w="344"/>
        <w:gridCol w:w="685"/>
        <w:gridCol w:w="112"/>
        <w:gridCol w:w="109"/>
        <w:gridCol w:w="109"/>
        <w:gridCol w:w="109"/>
        <w:gridCol w:w="203"/>
        <w:gridCol w:w="671"/>
        <w:gridCol w:w="174"/>
      </w:tblGrid>
      <w:tr>
        <w:trPr/>
        <w:tc>
          <w:tcPr>
            <w:tcW w:w="45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Offset in the Condensed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of Liabilities Presented in the Consolidated Statement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Not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2,431,878 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2,431,878 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(2,375,372)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1,271,788 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1,271,788 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(1,271,573)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4,393,356 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(681,878)</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3,711,478 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(3,646,945)</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obligations for securities sold under agreements to repurchase and for securities lending transactions by remaining contractual maturity and the class of collateral pledged as of March 31, 2025 and December 31,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13"/>
        <w:gridCol w:w="540"/>
        <w:gridCol w:w="543"/>
        <w:gridCol w:w="109"/>
        <w:gridCol w:w="109"/>
        <w:gridCol w:w="109"/>
        <w:gridCol w:w="234"/>
        <w:gridCol w:w="1040"/>
        <w:gridCol w:w="130"/>
        <w:gridCol w:w="109"/>
        <w:gridCol w:w="109"/>
        <w:gridCol w:w="109"/>
        <w:gridCol w:w="219"/>
        <w:gridCol w:w="723"/>
        <w:gridCol w:w="121"/>
        <w:gridCol w:w="109"/>
        <w:gridCol w:w="109"/>
        <w:gridCol w:w="109"/>
        <w:gridCol w:w="196"/>
        <w:gridCol w:w="736"/>
        <w:gridCol w:w="109"/>
        <w:gridCol w:w="109"/>
        <w:gridCol w:w="109"/>
        <w:gridCol w:w="109"/>
        <w:gridCol w:w="196"/>
        <w:gridCol w:w="646"/>
        <w:gridCol w:w="109"/>
        <w:gridCol w:w="109"/>
        <w:gridCol w:w="109"/>
        <w:gridCol w:w="109"/>
        <w:gridCol w:w="238"/>
        <w:gridCol w:w="493"/>
        <w:gridCol w:w="132"/>
        <w:gridCol w:w="109"/>
        <w:gridCol w:w="109"/>
        <w:gridCol w:w="109"/>
        <w:gridCol w:w="196"/>
        <w:gridCol w:w="871"/>
        <w:gridCol w:w="158"/>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Contractual Maturity</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1,011,415 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1,011,415 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1,111,415 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1,461,415 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2,827,025 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2,827,025 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2,827,025 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2,827,025 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99"/>
        <w:gridCol w:w="528"/>
        <w:gridCol w:w="531"/>
        <w:gridCol w:w="109"/>
        <w:gridCol w:w="109"/>
        <w:gridCol w:w="109"/>
        <w:gridCol w:w="231"/>
        <w:gridCol w:w="1030"/>
        <w:gridCol w:w="128"/>
        <w:gridCol w:w="109"/>
        <w:gridCol w:w="109"/>
        <w:gridCol w:w="109"/>
        <w:gridCol w:w="211"/>
        <w:gridCol w:w="795"/>
        <w:gridCol w:w="117"/>
        <w:gridCol w:w="109"/>
        <w:gridCol w:w="109"/>
        <w:gridCol w:w="109"/>
        <w:gridCol w:w="196"/>
        <w:gridCol w:w="736"/>
        <w:gridCol w:w="109"/>
        <w:gridCol w:w="109"/>
        <w:gridCol w:w="109"/>
        <w:gridCol w:w="109"/>
        <w:gridCol w:w="196"/>
        <w:gridCol w:w="646"/>
        <w:gridCol w:w="109"/>
        <w:gridCol w:w="109"/>
        <w:gridCol w:w="109"/>
        <w:gridCol w:w="109"/>
        <w:gridCol w:w="235"/>
        <w:gridCol w:w="488"/>
        <w:gridCol w:w="130"/>
        <w:gridCol w:w="109"/>
        <w:gridCol w:w="109"/>
        <w:gridCol w:w="109"/>
        <w:gridCol w:w="196"/>
        <w:gridCol w:w="871"/>
        <w:gridCol w:w="161"/>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Contractual Maturity</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821,788 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821,788 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821,788 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1,271,788 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2,431,878 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2,431,878 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2,431,878 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2,431,878 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Digital Assets Held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Digital assets held at March 31, 2025 and December 31, 2024:</w:t>
      </w:r>
    </w:p>
    <w:tbl>
      <w:tblPr>
        <w:tblW w:w="7961"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478"/>
        <w:gridCol w:w="483"/>
        <w:gridCol w:w="161"/>
        <w:gridCol w:w="109"/>
        <w:gridCol w:w="109"/>
        <w:gridCol w:w="109"/>
        <w:gridCol w:w="196"/>
        <w:gridCol w:w="646"/>
        <w:gridCol w:w="109"/>
        <w:gridCol w:w="109"/>
        <w:gridCol w:w="109"/>
        <w:gridCol w:w="109"/>
        <w:gridCol w:w="196"/>
        <w:gridCol w:w="646"/>
        <w:gridCol w:w="109"/>
        <w:gridCol w:w="109"/>
        <w:gridCol w:w="109"/>
        <w:gridCol w:w="109"/>
        <w:gridCol w:w="304"/>
        <w:gridCol w:w="1002"/>
        <w:gridCol w:w="239"/>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Basis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Carrying Value</w:t>
            </w:r>
            <w:r>
              <w:rPr>
                <w:color w:val="000000"/>
              </w:rPr>
              <w:t xml:space="preserve"> </w:t>
            </w:r>
            <w:r>
              <w:rPr>
                <w:rFonts w:ascii="Times New Roman;sans-serif" w:hAnsi="Times New Roman;sans-serif"/>
                <w:b/>
                <w:color w:val="000000"/>
                <w:sz w:val="10"/>
              </w:rPr>
              <w:t>(1)</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Bitcoin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59,925 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Ethereum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PYTH tokens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75,121,251 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Digital assets 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82,796 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75.0 million PYTH tokens were recorded at a carrying value of $1.1 million at cost in Intangibles as of December 31, 2024.</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75.0 million PYTH tokens with a fair value of $10.5 million are subject to selling restrictions. The time-based selling restrictions will unlock annually between 2025 and 2027.</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12. Derivative Instruments</w:t>
      </w:r>
    </w:p>
    <w:p>
      <w:pPr>
        <w:pStyle w:val="TextBody"/>
        <w:bidi w:val="0"/>
        <w:spacing w:before="120" w:after="283"/>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derivative instruments on a gross basis consisted of the following at March 31, 2025 and December 31,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04"/>
        <w:gridCol w:w="704"/>
        <w:gridCol w:w="712"/>
        <w:gridCol w:w="109"/>
        <w:gridCol w:w="109"/>
        <w:gridCol w:w="109"/>
        <w:gridCol w:w="762"/>
        <w:gridCol w:w="559"/>
        <w:gridCol w:w="562"/>
        <w:gridCol w:w="109"/>
        <w:gridCol w:w="109"/>
        <w:gridCol w:w="109"/>
        <w:gridCol w:w="196"/>
        <w:gridCol w:w="675"/>
        <w:gridCol w:w="109"/>
        <w:gridCol w:w="109"/>
        <w:gridCol w:w="109"/>
        <w:gridCol w:w="109"/>
        <w:gridCol w:w="196"/>
        <w:gridCol w:w="871"/>
        <w:gridCol w:w="109"/>
        <w:gridCol w:w="109"/>
        <w:gridCol w:w="109"/>
        <w:gridCol w:w="109"/>
        <w:gridCol w:w="234"/>
        <w:gridCol w:w="521"/>
        <w:gridCol w:w="131"/>
        <w:gridCol w:w="109"/>
        <w:gridCol w:w="109"/>
        <w:gridCol w:w="109"/>
        <w:gridCol w:w="196"/>
        <w:gridCol w:w="871"/>
        <w:gridCol w:w="158"/>
      </w:tblGrid>
      <w:tr>
        <w:trPr/>
        <w:tc>
          <w:tcPr>
            <w:tcW w:w="10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r>
      <w:tr>
        <w:trPr/>
        <w:tc>
          <w:tcPr>
            <w:tcW w:w="2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1,069,167 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5,610,161 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4,559,333 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5,211,677 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income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808,189 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716,970 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42,202,047 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r>
      <w:tr>
        <w:trPr/>
        <w:tc>
          <w:tcPr>
            <w:tcW w:w="2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Equities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1,774,043 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2,232,543 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income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820,023 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34,679,910 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42,184,501 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Amounts included in receivables from and payables to broker-dealers and clearing organizations represent net variation margin on long and short futures contracts as well as amounts receivable or payable on interest rate swaps.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months ended March 31, 2025 and 2024.</w:t>
      </w:r>
    </w:p>
    <w:tbl>
      <w:tblPr>
        <w:tblW w:w="10205" w:type="dxa"/>
        <w:jc w:val="center"/>
        <w:tblInd w:w="0" w:type="dxa"/>
        <w:tblLayout w:type="fixed"/>
        <w:tblCellMar>
          <w:top w:w="28" w:type="dxa"/>
          <w:left w:w="28" w:type="dxa"/>
          <w:bottom w:w="28" w:type="dxa"/>
          <w:right w:w="28" w:type="dxa"/>
        </w:tblCellMar>
      </w:tblPr>
      <w:tblGrid>
        <w:gridCol w:w="1153"/>
        <w:gridCol w:w="1015"/>
        <w:gridCol w:w="1021"/>
        <w:gridCol w:w="109"/>
        <w:gridCol w:w="109"/>
        <w:gridCol w:w="109"/>
        <w:gridCol w:w="965"/>
        <w:gridCol w:w="862"/>
        <w:gridCol w:w="865"/>
        <w:gridCol w:w="109"/>
        <w:gridCol w:w="109"/>
        <w:gridCol w:w="109"/>
        <w:gridCol w:w="109"/>
        <w:gridCol w:w="109"/>
        <w:gridCol w:w="169"/>
        <w:gridCol w:w="169"/>
        <w:gridCol w:w="304"/>
        <w:gridCol w:w="1096"/>
        <w:gridCol w:w="169"/>
        <w:gridCol w:w="109"/>
        <w:gridCol w:w="109"/>
        <w:gridCol w:w="109"/>
        <w:gridCol w:w="196"/>
        <w:gridCol w:w="646"/>
        <w:gridCol w:w="109"/>
        <w:gridCol w:w="109"/>
        <w:gridCol w:w="158"/>
      </w:tblGrid>
      <w:tr>
        <w:trPr/>
        <w:tc>
          <w:tcPr>
            <w:tcW w:w="115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5" w:type="dxa"/>
            <w:gridSpan w:val="8"/>
            <w:tcBorders/>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 on term loans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Terminated interest rate swaps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64,468 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instruments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The Company entered into a two-year $1,525 million floating-to-fixed interest rate agreement in December 2023 (the “December 2023 Swap”). The two-year interest rate swap met the criteria to be considered as a qualifying cash flow hedge under ASC 815 as of December 2023, and the mark-to-market gains (losses) on the instrument was deferred within Other comprehensive income on the Condensed Consolidated Statements of Comprehensive Income. In June 2024, the Company partially terminated and dedesignated a portion of our ongoing December 2023 Swap to an updated notional of $1,075 million, and recorded a gain of $5.7 million in Other, net. See Note 9 “Borrowings” for further details.</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The Company records the amortization of AOCI balances related to its previously terminated interest rate swaps in Financing interest expense on long-term borrowings on the Condensed Consolidated Statements of Comprehensive Income. See Note 9 “Borrowings” for further details on the terminated swaps.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Variable Interest Entities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interest in a joint venture (“JV”) that builds and maintains communication networks and related assets globally. The Company and its JV partners each pay monthly fees for the use of the communication networks in connection with their respective trading activities, and the JV may sell excess bandwidth that is not utilized by the JV members to third parties. As of March 31, 2025, the Company held a noncontrolling interest of 50.0% in the JV.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previously held a noncontrolling interest of 12.5% in another JV that also builds and maintains communication networks and related assets and followed a similar fee arrangement. As of September 1, 2024, the Company had disposed of its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a JV that offers derivatives trading technology and execution services to broker-dealers, professional traders and select hedge funds. As of March 31, 2025, the Company held approximately a 9.8% noncontrolling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a JV that operates a member-owned equities exchange with the goal of increasing competition and transparency, while reducing fixed costs and simplifying execution of equity trading in the U.S. As of March 31, 2025, the Company held approximately a 13.1% noncontrolling interest in this JV.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a JV that was formed for the purpose of developing and operating a cryptocurrency trading platform with the goal of increasing competition and transparency, while improving trading performance and reducing operational risk. As of March 31, 2025, the Company held approximately a 9.1% noncontrolling interest in this JV.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JVs noted above meet the criteria to be considered VIEs, which it does not consolidate. The Company records its interest in the JVs under the equity method of accounting and records its investment in the JVs within Other assets and its amounts payable for communication services provided by the telecommunication JVs within Accounts payable, accrued expenses and other liabilities on the Statements of Financial Condition as applicable.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exposure to the obligations of these VIEs is generally limited to its interests in each respective JV, which is the carrying value of the equity investment in each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nonconsolidated VIEs at March 31, 2025:</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66,848 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351,336 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nonconsolidated VIEs at December 31, 2024: </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66,970 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345,235 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formed a JV to support the growth and expansion of a multi-asset request-for-quote communication platform in 2022. As of March 31, 2025, the Company held a 51% controlling interest in this entity. This JV meets the criteria to be considered a VIE, and based on the standard for control set forth above, the Company consolidates this entity and records the interest that the Company does not own as noncontrolling interest in the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19, 2024, the Company entered into an agreement to sell a 49% interest in the multi-asset request-for-quote communication platform JV. The sale is subject to various closing conditions including the receipt of certain regulatory approvals. Upon the closing of the sale, the Company will retain a minority stake in the JV. See Note 3 “Business Held for Sale” for further details.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14. Revenues from Contracts with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on revenue recognition and the nature of services provided, see Note 2 "Summary of Significant Accounting Policies" and Note 13 "Revenues from Contracts with Customers" to the Consolidated Financial Statements of the Company's 2024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 disaggregated by service, and timing of revenue recognition, reconciled to the Company’s segments, for the three months ended March 31, 2025 and 2024:</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tbl>
      <w:tblPr>
        <w:tblW w:w="9174"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8"/>
        <w:gridCol w:w="562"/>
        <w:gridCol w:w="111"/>
        <w:gridCol w:w="109"/>
        <w:gridCol w:w="109"/>
        <w:gridCol w:w="109"/>
        <w:gridCol w:w="196"/>
        <w:gridCol w:w="73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97,434 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133,995 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673,860 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691,172 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141,008 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691,172 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123,068 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17,940 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691,172 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141,008 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9174"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8"/>
        <w:gridCol w:w="562"/>
        <w:gridCol w:w="111"/>
        <w:gridCol w:w="109"/>
        <w:gridCol w:w="109"/>
        <w:gridCol w:w="109"/>
        <w:gridCol w:w="196"/>
        <w:gridCol w:w="73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Workflow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23,918 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111,409 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sources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513,806 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117,788 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100,137 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transferred 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17,651 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521,008 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117,788 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 and Revenue Recognized from Past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2024, the aggregate amount of the transaction price allocated to the performance obligations relating to workflow technology and analytics revenues that are unsatisfied (or partially unsatisfied) was not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Contract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related to revenues from contracts with customers amounted to $72.6 million and $62.1 million as of March 31, 2025 and December 31, 2024, respectively. The Company did not identify any contract assets. There were no impairment losses on receivables as of March 31,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primarily relates to deferred commissions allocated to analytics products and subscription fees billed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advance of satisfying the performance obligations. Deferred revenue related to contracts with customers was $10.0 million and $8.1 million as of March 31, 2025 and December 31, 2024, respectively. The Company recognized the full amount of revenue </w:t>
      </w:r>
      <w:r>
        <w:rPr>
          <w:rFonts w:ascii="Times New Roman;sans-serif" w:hAnsi="Times New Roman;sans-serif"/>
          <w:b w:val="false"/>
          <w:color w:val="000000"/>
          <w:sz w:val="20"/>
          <w:shd w:fill="FFFFFF" w:val="clear"/>
        </w:rPr>
        <w:t xml:space="preserve">during the three months ended March 31, 2025 and 2024, </w:t>
      </w:r>
      <w:r>
        <w:rPr>
          <w:rFonts w:ascii="Times New Roman;sans-serif" w:hAnsi="Times New Roman;sans-serif"/>
          <w:b w:val="false"/>
          <w:color w:val="000000"/>
          <w:sz w:val="20"/>
        </w:rPr>
        <w:t>that had been recorded as deferred revenue in the respective prior 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identified any costs to obtain or fulfill its contracts under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The Company is subject to U.S. federal, state and local income tax at the rate applicable to corporations for the share of income that is not attributable to the noncontrolling interest in Virtu Financial. These noncontrolling interests are subject to U.S. taxation at the partner level. Accordingly, for the three months ended March 31, 2025 and 2024,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$34.1 million, and 15.2%, and $28.5 million, and 20.4% for the </w:t>
      </w:r>
      <w:r>
        <w:rPr>
          <w:rFonts w:ascii="Times New Roman;sans-serif" w:hAnsi="Times New Roman;sans-serif"/>
          <w:b w:val="false"/>
          <w:color w:val="000000"/>
          <w:sz w:val="20"/>
          <w:shd w:fill="FFFFFF" w:val="clear"/>
        </w:rPr>
        <w:t>three months ended</w:t>
      </w:r>
      <w:r>
        <w:rPr>
          <w:color w:val="000000"/>
        </w:rPr>
        <w:t xml:space="preserve"> </w:t>
      </w:r>
      <w:r>
        <w:rPr>
          <w:rFonts w:ascii="Times New Roman;sans-serif" w:hAnsi="Times New Roman;sans-serif"/>
          <w:b w:val="false"/>
          <w:color w:val="000000"/>
          <w:sz w:val="20"/>
        </w:rPr>
        <w:t>March 31, 2025 and 2024, respectively. Income tax expense is also affected by the differing effective tax rates in foreign, state and local jurisdictions where certain of the Company’s subsidiaries are subject to corporate taxation.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assets on the Condensed Consolidated Statements of Financial Condition at March 31, 2025 and December 31, 2024 are current income tax receivables of $27.6 million and $13.2 million, respectively. The balances at March 31, 2025 and December 31, 2024 primarily comprised prepayments of income tax and income tax benefits due to the Company from federal, state, local, and foreign tax jurisdictions based on income before taxes. Included in Accounts payable, accrued expenses and other liabilities on the Condensed Consolidated Statements of Financial Condition at March 31, 2025 and December 31, 2024 are current tax liabilities of $40.4 million and $22.5 million, respectively. The balances at March 31, 2025 and December 31, 2024 primarily comprise income taxes owed to federal, state and local, and foreign tax jurisdictions based on income before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arise primarily due to the amortization of the deferred tax assets recognized in connection with the IPO (see Note 5 “Tax Receivable Agreements”), differences in the valuation of financial assets and liabilities, and other temporary differences arising from the deductibility of compensation, depreciation, and other expenses in different time periods for book and income tax return purposes.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March 31, 2025 and December 31, 2024, the Company did not have any U.S. federal, state or local net operating loss carryforwards and therefore the Company did not record a deferred tax asset related to any federal net operating loss carryforwards.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non-U.S. net operating losses at March 31, 2025 and December 31, 2024, of $56.5 million and $58.2 million, respectively, and has recorded related deferred tax assets of $10.0 million and $10.3 million, respectively. A full valuation allowance was recorded against these deferred tax assets at March 31, 2025 and December 31, 2024 as it is more likely than not that these deferred tax assets will not be realized. No valuation allowance against the remaining deferred taxes was recorded as of March 31, 2025 and December 31, 2024 because it is more likely than not that these deferred tax assets will be fully realized.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taxation in U.S. federal, state, local and foreign jurisdictions. As of March 31, 2025, the Company’s tax years for 2015 through 2023 and 2017 through 2023 are subject to examination by U.S. and non-U.S. tax authorities, respectively. In addition, the Company is subject to state and local income tax examinations in various jurisdictions for the tax years 2013 through 2023. The final outcome of these examinations is not yet determinable. However, the Company anticipates that adjustments related to these examinations, if any, will not result in a material change to its financial condition, results of operations and cash flows.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$23.0 million of unrecognized tax benefits as of March 31, 2025, all of which would affect the Company’s effective tax rate if recognized. The Company has determined that there are no uncertain tax positions that would have a material impact on the Company’s financial position as of March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16. Commitments, Contingencies and Guarantees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Legal and Regulatory Proceedings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As previously disclosed in prior regulatory filings, the U.S. Securities and Exchange Commission undertook an investigation of aspects of the Company’s internal information access barriers. The Company cooperated with this civil investigation and engaged in settlement discussions but has been unable to reach a settlement. In September 2023, the SEC filed an action against the Company alleging violations of federal securities laws with respect to the Company’s information barriers policies and procedures for a specified time period in and around January 2018 to April 2019 and related statements made by the Company during such period. The Company believes it has meritorious defenses and is defending itself vigorously.</w:t>
      </w:r>
      <w:r>
        <w:rPr>
          <w:color w:val="000000"/>
        </w:rPr>
        <w:t xml:space="preserve"> </w:t>
      </w:r>
      <w:r>
        <w:rPr>
          <w:rFonts w:ascii="Times New Roman;sans-serif" w:hAnsi="Times New Roman;sans-serif"/>
          <w:b w:val="false"/>
          <w:color w:val="000000"/>
          <w:sz w:val="20"/>
        </w:rPr>
        <w:t>Specifically, the Company is asserting, among other defenses, that it maintained reasonable policies, procedures and controls to protect data during the period consistent with applicable law, that related statements made to clients and investors were true and accurate, and that the statute of limitations has expired with respect to certain claims.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In matters related to the SEC investigation noted above, the Company and certain of its current and former executive officers were named as defendants on May 19, 2023 in </w:t>
      </w:r>
      <w:r>
        <w:rPr>
          <w:rFonts w:ascii="Times New Roman;sans-serif" w:hAnsi="Times New Roman;sans-serif"/>
          <w:b w:val="false"/>
          <w:i/>
          <w:color w:val="000000"/>
          <w:sz w:val="20"/>
        </w:rPr>
        <w:t xml:space="preserve">Hiebert v. Virtu Financial, Inc., </w:t>
      </w:r>
      <w:r>
        <w:rPr>
          <w:rFonts w:ascii="Times New Roman;sans-serif" w:hAnsi="Times New Roman;sans-serif"/>
          <w:b w:val="false"/>
          <w:color w:val="000000"/>
          <w:sz w:val="20"/>
        </w:rPr>
        <w:t>No. 23-cv-03770 and on October 31, 2023 in</w:t>
      </w:r>
      <w:r>
        <w:rPr>
          <w:color w:val="000000"/>
        </w:rPr>
        <w:t xml:space="preserve"> </w:t>
      </w:r>
      <w:r>
        <w:rPr>
          <w:rFonts w:ascii="Times New Roman;sans-serif" w:hAnsi="Times New Roman;sans-serif"/>
          <w:b w:val="false"/>
          <w:i/>
          <w:color w:val="000000"/>
          <w:sz w:val="20"/>
        </w:rPr>
        <w:t xml:space="preserve">City of Birmingham Retirement and Relief System v. Virtu Financial, Inc., </w:t>
      </w:r>
      <w:r>
        <w:rPr>
          <w:rFonts w:ascii="Times New Roman;sans-serif" w:hAnsi="Times New Roman;sans-serif"/>
          <w:b w:val="false"/>
          <w:color w:val="000000"/>
          <w:sz w:val="20"/>
        </w:rPr>
        <w:t xml:space="preserve">No. 23-cv-08123. The complaints were each filed by purported stockholders in the Eastern District of New York on behalf of a putative class and assert that the Company made materially false and misleading statements and omissions in its public filings in violation of federal securities laws. The complaints were subsequently consolidated and recaptioned in </w:t>
      </w:r>
      <w:r>
        <w:rPr>
          <w:rFonts w:ascii="Times New Roman;sans-serif" w:hAnsi="Times New Roman;sans-serif"/>
          <w:b w:val="false"/>
          <w:i/>
          <w:color w:val="000000"/>
          <w:sz w:val="20"/>
        </w:rPr>
        <w:t>re Virtu Financial, Inc. Securities Litigation</w:t>
      </w:r>
      <w:r>
        <w:rPr>
          <w:rFonts w:ascii="Times New Roman;sans-serif" w:hAnsi="Times New Roman;sans-serif"/>
          <w:b w:val="false"/>
          <w:color w:val="000000"/>
          <w:sz w:val="20"/>
        </w:rPr>
        <w:t xml:space="preserve">, No. 23-cv-03770. The Company believes it has meritorious defenses against claims that its public disclosures were inadequate or misleading. The Company maintains that such disclosures were true and accurate and compliant with applicable law and will defend itself vigorously. The Company also has received requests for information related to the SEC investigation pursuant to Section 220 of the Delaware General Corporation Law from counsel for purported stockholders. On March 26, 2025, members of the Company’s Board of Directors and certain current and former executives were named in a derivative complaint in </w:t>
      </w:r>
      <w:r>
        <w:rPr>
          <w:rFonts w:ascii="Times New Roman;sans-serif" w:hAnsi="Times New Roman;sans-serif"/>
          <w:b w:val="false"/>
          <w:i/>
          <w:color w:val="000000"/>
          <w:sz w:val="20"/>
        </w:rPr>
        <w:t>Adams v. Viola et al.</w:t>
      </w:r>
      <w:r>
        <w:rPr>
          <w:rFonts w:ascii="Times New Roman;sans-serif" w:hAnsi="Times New Roman;sans-serif"/>
          <w:b w:val="false"/>
          <w:color w:val="000000"/>
          <w:sz w:val="20"/>
        </w:rPr>
        <w:t xml:space="preserve">, No. 1:25-cv-1688 filed on behalf of the Company in which it is asserted that the defendants breached fiduciary duties to the Company related to the FS matter. A similar derivative complaint was filed on April 9, 2025 in </w:t>
      </w:r>
      <w:r>
        <w:rPr>
          <w:rFonts w:ascii="Times New Roman;sans-serif" w:hAnsi="Times New Roman;sans-serif"/>
          <w:b w:val="false"/>
          <w:i/>
          <w:color w:val="000000"/>
          <w:sz w:val="20"/>
        </w:rPr>
        <w:t>Deisz v. Viola et al.</w:t>
      </w:r>
      <w:r>
        <w:rPr>
          <w:rFonts w:ascii="Times New Roman;sans-serif" w:hAnsi="Times New Roman;sans-serif"/>
          <w:b w:val="false"/>
          <w:color w:val="000000"/>
          <w:sz w:val="20"/>
        </w:rPr>
        <w:t>, 25-CV-1958 in the Eastern District of New York against current and former members of the Board of Directors and executives. The defendants deny that they breached any fiduciary duties related to the FS matter and intend on defending themselves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November 30, 2020, the Company was named as a defendant in </w:t>
      </w:r>
      <w:r>
        <w:rPr>
          <w:rFonts w:ascii="Times New Roman;sans-serif" w:hAnsi="Times New Roman;sans-serif"/>
          <w:b w:val="false"/>
          <w:i/>
          <w:color w:val="000000"/>
          <w:sz w:val="20"/>
        </w:rPr>
        <w:t>In re United States Oil Fund, LP Securities Litigation</w:t>
      </w:r>
      <w:r>
        <w:rPr>
          <w:rFonts w:ascii="Times New Roman;sans-serif" w:hAnsi="Times New Roman;sans-serif"/>
          <w:b w:val="false"/>
          <w:color w:val="000000"/>
          <w:sz w:val="20"/>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is fully briefed and pending before the court. The Company believes that the claims are without merit and is defending itself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March 7, 2022, the Company was named as a defendant in </w:t>
      </w:r>
      <w:r>
        <w:rPr>
          <w:rFonts w:ascii="Times New Roman;sans-serif" w:hAnsi="Times New Roman;sans-serif"/>
          <w:b w:val="false"/>
          <w:i/>
          <w:color w:val="000000"/>
          <w:sz w:val="20"/>
        </w:rPr>
        <w:t>Iron Workers Local No. 55 Pension Fund v. Virtu Financial, Inc.</w:t>
      </w:r>
      <w:r>
        <w:rPr>
          <w:rFonts w:ascii="Times New Roman;sans-serif" w:hAnsi="Times New Roman;sans-serif"/>
          <w:b w:val="false"/>
          <w:color w:val="000000"/>
          <w:sz w:val="20"/>
        </w:rPr>
        <w:t>, No. 2022-0211-PAF pending in the Court of Chancery of the State of Delaware. The complaint, filed by a purported stockholder, seeks to compel the inspection of certain Company books and records pursuant to Section 220 of the Delaware General Corporation Law. The complaint (the “220 Complaint”) alleged that the stockholder sought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made substantial productions of documents and other information in response to plaintiff's requests. In January 2025, the plaintiff voluntarily dismissed the 220 Complaint and filed a complaint in the Court of Chancery of the State of Delaware naming the Company and its directors, officers, and controlling stockholder as defendants, alleging breaches of fiduciary duties which purportedly have caused harm to holders of the Company’s Class A common stock. The Company believes the allegations are without merit and intends to defend against them vigorously.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October 17, 2022, the Company’s subsidiary, along with several other parties, was named as a defendant in </w:t>
      </w:r>
      <w:r>
        <w:rPr>
          <w:rFonts w:ascii="Times New Roman;sans-serif" w:hAnsi="Times New Roman;sans-serif"/>
          <w:b w:val="false"/>
          <w:i/>
          <w:color w:val="000000"/>
          <w:sz w:val="20"/>
        </w:rPr>
        <w:t>Mallinckrodt PLC, et al. (Reorganized Debtors); Opioid Master Disbursement Trust II v. Argos Capital Appreciation Master Fund LP et al</w:t>
      </w:r>
      <w:r>
        <w:rPr>
          <w:color w:val="000000"/>
        </w:rPr>
        <w:t xml:space="preserve"> </w:t>
      </w:r>
      <w:r>
        <w:rPr>
          <w:rFonts w:ascii="Times New Roman;sans-serif" w:hAnsi="Times New Roman;sans-serif"/>
          <w:b w:val="false"/>
          <w:color w:val="000000"/>
          <w:sz w:val="20"/>
        </w:rPr>
        <w:t>No. 20-12522. The complaint alleges that Mallinckrodt PLC engaged in a share repurchase program from 2015 through 2018 pursuant to which it repurchased its own shares in various open market transactions, a period during which it was allegedly insolvent. The debtor plaintiff is seeking to unwind the transactions consummated under the program, alleging such transactions constituted fraudulent transfers by the debtor. The Company believes it has meritorious defenses against any unwinding of transactions, and the court granted its motion to dismiss in March 2025. The debtor plaintiff is appealing the dismissal as of April 2025. The Company will continue to defend itself vigorously.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December 1, 2022, the Company’s subsidiary, along with several other parties, was named as a defendant in N</w:t>
      </w:r>
      <w:r>
        <w:rPr>
          <w:rFonts w:ascii="Times New Roman;sans-serif" w:hAnsi="Times New Roman;sans-serif"/>
          <w:b w:val="false"/>
          <w:i/>
          <w:color w:val="000000"/>
          <w:sz w:val="20"/>
        </w:rPr>
        <w:t xml:space="preserve">orthwest Biotherapeutics, Inc. v. Canaccord Genuity LLC, et al </w:t>
      </w:r>
      <w:r>
        <w:rPr>
          <w:rFonts w:ascii="Times New Roman;sans-serif" w:hAnsi="Times New Roman;sans-serif"/>
          <w:b w:val="false"/>
          <w:color w:val="000000"/>
          <w:sz w:val="20"/>
        </w:rPr>
        <w:t>No. 1:22-cv-10185. The initial complaint alleged that defendants engaged in market manipulation in the plaintiff’s stock during a period from 2018 to 2022. A first amended complaint was filed on April 10, 2023, bringing substantially the same allegations as the initial complaint. The first amended complaint was dismissed with leave to amend on February 14, 2024. Plaintiff filed a second amended complaint on March 18, 2024. Neither the operative complaint nor prior iterations specify the amount of alleged damages. The Company believes that the claims are without merit and is defending itself vigorously.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October 7, 2024, the Company and its 50% owned subsidiary, NLN Holdings, LLC, along with several other defendants, were named in a lawsuit brought by Skywave Networks, LLC in the United States District Court for the Northern District of Illinois, </w:t>
      </w:r>
      <w:r>
        <w:rPr>
          <w:rFonts w:ascii="Times New Roman;sans-serif" w:hAnsi="Times New Roman;sans-serif"/>
          <w:b w:val="false"/>
          <w:i/>
          <w:color w:val="000000"/>
          <w:sz w:val="20"/>
        </w:rPr>
        <w:t>Skywave Networks, LLC v. DiSomma, et al.,</w:t>
      </w:r>
      <w:r>
        <w:rPr>
          <w:color w:val="000000"/>
        </w:rPr>
        <w:t xml:space="preserve"> </w:t>
      </w:r>
      <w:r>
        <w:rPr>
          <w:rFonts w:ascii="Times New Roman;sans-serif" w:hAnsi="Times New Roman;sans-serif"/>
          <w:b w:val="false"/>
          <w:color w:val="000000"/>
          <w:sz w:val="20"/>
        </w:rPr>
        <w:t>1:24-cv-09650 (N.D.Ill.). The complaint alleges that defendants engaged in violations of federal law, 18 U.S.C. sec. 1962, in connection with the application for and utilization of various licenses issued by the Federal Communications Commission, purportedly harming plaintiffs’ attempts to offer certain network communications capacity on a commercial basis. The complaint does not specify any amount of alleged damages. On February 13, 2025, the plaintiffs filed a First Amended Complaint which does not specify any amount of alleged damages. The Company believes that the claims are without merit and intends to defend itself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Legal and Regulatory Matters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In 2022 and 2023, the SEC under the prior administration proposed several rule changes focused on equity market structure reform, certain of which have been adopted while others remain pending. The SEC has recently (i) adopted rule amendments to minimum pricing increments under Rule 612 of Regulation NMS, access fee caps under Rule 610 of Regulation NMS, acceleration of the implementation of certain Market Data Infrastructure Rules, and an amendment to the odd-lot information definition adopted under the MDI rules (collectively referred to as the “tick size, access fees and infostructure rule proposals”) which have a compliance date commencing in November 2025, though are currently subject to ongoing legal challenge, (ii) adopted amendments to Rule 605 of Regulation NMS, which has a compliance date on or about December 15, 2025, (iii) approved a funding model submitted by several exchanges in relation to the Consolidated Audit Trail (CAT) which provides for fee collection commencing in November but is currently subject to legal challenge, and (iv) adopted rules to amend the definitions of “dealer” and “government securities dealer” within the Exchange Act, which would have broadened the scope of these registrant categories, though this rule was recently vacated by a United States district court. The remaining pending proposals include, but are not limited to, (i) Proposed Rule 615 of Regulation NMS, which proposes to dramatically change U.S. equities market structure, the routing, handling and potentially the amount, character and cost of retail order flow, (ii) Regulation Best Execution, which would impose best execution requirements on broker-dealers which would be distinct from, but overlapping with, FINRA’s existing best execution rule (Rule 5310), (iii) a series of amendments to the definition of Exchange and Alternative Trading Systems (ATS), which would expand the scope of exchange and ATS registration and compliance requirements, (iv) proposed amendments to expand and update Regulation Systems Compliance and Integrity (SCI), and (v) a proposal to restrict volume based tiered pricing by equity exchanges in certain cases. Further, on April 23, 2024, the Federal Trade Commission (FTC) announced a final rule banning most non-compete clauses in employer-employee contracts. The final rule was scheduled to become effective on September 4, 2024, but it was enjoined by a federal district court in September 2024 on the grounds that the rule exceeds the FTC's authority. The FTC is appealing the ruling and therefore its implementation has not yet been definitively resolved. These pending or potential rule changes, to the extent adopted, along with those that have recently been adopted, could adversely affect the Company’s business or the Company’s industry.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 Additional information regarding legal and regulatory risks is described within the “Risk Factors” section under the sub header of “Legal and Regulatory Risks” in the Company’s Annual Report on Form 10-K for the year ended December 31, 2024.</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Representations and Warranties; Indemnification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its operating agreement. The overall maximum amount of the obligations (if any) cannot reasonably be estimated as it will depend on the facts and circumstances that give rise to any future claims.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17.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primarily enters into lessee arrangements for corporate office space, data centers, and technology equipment. For more information on lease accounting, see Note 2 “Summary of Significant Accounting Policies” and Note 16 “Leases” to the Consolidated Financial Statements of the Company’s 2024 Annual Report on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and liabilities are summarized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87"/>
        <w:gridCol w:w="780"/>
        <w:gridCol w:w="782"/>
        <w:gridCol w:w="109"/>
        <w:gridCol w:w="109"/>
        <w:gridCol w:w="109"/>
        <w:gridCol w:w="1326"/>
        <w:gridCol w:w="1324"/>
        <w:gridCol w:w="1330"/>
        <w:gridCol w:w="109"/>
        <w:gridCol w:w="109"/>
        <w:gridCol w:w="109"/>
        <w:gridCol w:w="236"/>
        <w:gridCol w:w="888"/>
        <w:gridCol w:w="131"/>
        <w:gridCol w:w="109"/>
        <w:gridCol w:w="109"/>
        <w:gridCol w:w="109"/>
        <w:gridCol w:w="277"/>
        <w:gridCol w:w="1041"/>
        <w:gridCol w:w="222"/>
      </w:tblGrid>
      <w:tr>
        <w:trPr/>
        <w:tc>
          <w:tcPr>
            <w:tcW w:w="88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175,046 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42,915 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and discount rate are as follows:</w:t>
      </w:r>
    </w:p>
    <w:p>
      <w:pPr>
        <w:pStyle w:val="TextBody"/>
        <w:bidi w:val="0"/>
        <w:spacing w:before="0" w:after="0"/>
        <w:ind w:left="0" w:right="0" w:firstLine="720"/>
        <w:jc w:val="center"/>
        <w:rPr/>
      </w:pPr>
      <w:r>
        <w:rPr/>
      </w:r>
    </w:p>
    <w:tbl>
      <w:tblPr>
        <w:tblW w:w="6308" w:type="dxa"/>
        <w:jc w:val="center"/>
        <w:tblInd w:w="0" w:type="dxa"/>
        <w:tblLayout w:type="fixed"/>
        <w:tblCellMar>
          <w:top w:w="28" w:type="dxa"/>
          <w:left w:w="28" w:type="dxa"/>
          <w:bottom w:w="28" w:type="dxa"/>
          <w:right w:w="28" w:type="dxa"/>
        </w:tblCellMar>
      </w:tblPr>
      <w:tblGrid>
        <w:gridCol w:w="1032"/>
        <w:gridCol w:w="907"/>
        <w:gridCol w:w="911"/>
        <w:gridCol w:w="109"/>
        <w:gridCol w:w="109"/>
        <w:gridCol w:w="109"/>
        <w:gridCol w:w="299"/>
        <w:gridCol w:w="299"/>
        <w:gridCol w:w="662"/>
        <w:gridCol w:w="109"/>
        <w:gridCol w:w="109"/>
        <w:gridCol w:w="109"/>
        <w:gridCol w:w="333"/>
        <w:gridCol w:w="333"/>
        <w:gridCol w:w="878"/>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 years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years</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5.97 </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p>
      <w:pPr>
        <w:pStyle w:val="TextBody"/>
        <w:bidi w:val="0"/>
        <w:spacing w:before="0" w:after="0"/>
        <w:ind w:left="0" w:right="0" w:firstLine="720"/>
        <w:jc w:val="left"/>
        <w:rPr/>
      </w:pPr>
      <w:r>
        <w:rPr/>
      </w:r>
    </w:p>
    <w:tbl>
      <w:tblPr>
        <w:tblW w:w="6507" w:type="dxa"/>
        <w:jc w:val="center"/>
        <w:tblInd w:w="0" w:type="dxa"/>
        <w:tblLayout w:type="fixed"/>
        <w:tblCellMar>
          <w:top w:w="28" w:type="dxa"/>
          <w:left w:w="28" w:type="dxa"/>
          <w:bottom w:w="28" w:type="dxa"/>
          <w:right w:w="28" w:type="dxa"/>
        </w:tblCellMar>
      </w:tblPr>
      <w:tblGrid>
        <w:gridCol w:w="733"/>
        <w:gridCol w:w="644"/>
        <w:gridCol w:w="647"/>
        <w:gridCol w:w="109"/>
        <w:gridCol w:w="109"/>
        <w:gridCol w:w="109"/>
        <w:gridCol w:w="109"/>
        <w:gridCol w:w="109"/>
        <w:gridCol w:w="223"/>
        <w:gridCol w:w="223"/>
        <w:gridCol w:w="402"/>
        <w:gridCol w:w="1326"/>
        <w:gridCol w:w="223"/>
        <w:gridCol w:w="109"/>
        <w:gridCol w:w="109"/>
        <w:gridCol w:w="109"/>
        <w:gridCol w:w="196"/>
        <w:gridCol w:w="646"/>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1" w:type="dxa"/>
            <w:gridSpan w:val="8"/>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17,531 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ROU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18,987 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ROU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605" cy="14605"/>
                <wp:effectExtent l="0" t="0" r="0" b="0"/>
                <wp:wrapNone/>
                <wp:docPr id="38" name="Frame3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operating and finance leases with non-cancelable lease terms, as of March 31, 2025, are as follows:</w:t>
      </w:r>
    </w:p>
    <w:p>
      <w:pPr>
        <w:pStyle w:val="TextBody"/>
        <w:bidi w:val="0"/>
        <w:spacing w:before="0" w:after="0"/>
        <w:jc w:val="left"/>
        <w:rPr/>
      </w:pPr>
      <w:r>
        <w:rPr/>
      </w:r>
    </w:p>
    <w:tbl>
      <w:tblPr>
        <w:tblW w:w="4824" w:type="dxa"/>
        <w:jc w:val="center"/>
        <w:tblInd w:w="0" w:type="dxa"/>
        <w:tblLayout w:type="fixed"/>
        <w:tblCellMar>
          <w:top w:w="28" w:type="dxa"/>
          <w:left w:w="28" w:type="dxa"/>
          <w:bottom w:w="28" w:type="dxa"/>
          <w:right w:w="28" w:type="dxa"/>
        </w:tblCellMar>
      </w:tblPr>
      <w:tblGrid>
        <w:gridCol w:w="570"/>
        <w:gridCol w:w="502"/>
        <w:gridCol w:w="503"/>
        <w:gridCol w:w="109"/>
        <w:gridCol w:w="109"/>
        <w:gridCol w:w="109"/>
        <w:gridCol w:w="257"/>
        <w:gridCol w:w="965"/>
        <w:gridCol w:w="143"/>
        <w:gridCol w:w="109"/>
        <w:gridCol w:w="109"/>
        <w:gridCol w:w="109"/>
        <w:gridCol w:w="242"/>
        <w:gridCol w:w="798"/>
        <w:gridCol w:w="190"/>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557"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56,391 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28,791 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21,456 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2030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248,455 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(32,141)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216,314 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18. Cash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together with restricted or segregated cash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reported within the Condensed Consolidated Statements of Financial Condition to the sum of the same such amounts shown in the Condensed Consolidated Statements of Cash Flows.</w:t>
      </w:r>
    </w:p>
    <w:p>
      <w:pPr>
        <w:pStyle w:val="TextBody"/>
        <w:bidi w:val="0"/>
        <w:spacing w:before="0" w:after="0"/>
        <w:jc w:val="left"/>
        <w:rPr/>
      </w:pPr>
      <w:r>
        <w:rPr/>
      </w:r>
    </w:p>
    <w:tbl>
      <w:tblPr>
        <w:tblW w:w="9398" w:type="dxa"/>
        <w:jc w:val="center"/>
        <w:tblInd w:w="0" w:type="dxa"/>
        <w:tblLayout w:type="fixed"/>
        <w:tblCellMar>
          <w:top w:w="28" w:type="dxa"/>
          <w:left w:w="28" w:type="dxa"/>
          <w:bottom w:w="28" w:type="dxa"/>
          <w:right w:w="28" w:type="dxa"/>
        </w:tblCellMar>
      </w:tblPr>
      <w:tblGrid>
        <w:gridCol w:w="2146"/>
        <w:gridCol w:w="1892"/>
        <w:gridCol w:w="1901"/>
        <w:gridCol w:w="109"/>
        <w:gridCol w:w="109"/>
        <w:gridCol w:w="109"/>
        <w:gridCol w:w="237"/>
        <w:gridCol w:w="891"/>
        <w:gridCol w:w="132"/>
        <w:gridCol w:w="109"/>
        <w:gridCol w:w="109"/>
        <w:gridCol w:w="109"/>
        <w:gridCol w:w="279"/>
        <w:gridCol w:w="1047"/>
        <w:gridCol w:w="219"/>
      </w:tblGrid>
      <w:tr>
        <w:trPr/>
        <w:tc>
          <w:tcPr>
            <w:tcW w:w="214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723,650 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872,513 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 shown in the statement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771,014 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913,991 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19. Capital 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87.0% of the combined voting power of our common stock as a result of its ownership of our Class A, Class C and Class D Common Stock. The Company holds approximately a 57.4% interest in Virtu Financial at March 31,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March 31, 2025 and December 31, 2024, there were 3,627,621 and 3,994,744 Virtu Financial Units outstanding held by Employee Holdco, respectively, and 367,123 and none of such Virtu Financial Units and corresponding Class C Common Stock were exchanged into Class A Common Stock, forfeited or repurchased during the three months ended March 31, 2025 and 2024,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Amended and Restated 2015 Management Incentive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Board of Directors and stockholders adopted the 2015 Management Incentive Plan, which became effective upon consummation of the IPO, and was subsequently amended and restated following receipt of approval from the Company’s stockholders on June 30, 2017, June 5, 2020 and June 2, 2022. The Amended and Restated 2015 Management Incentive Plan provides for the grant of stock options, restricted stock units, and other awards based on an aggregate of 26,000,000 shares of Class A Common Stock, subject to additional sublimits, including limits on the total option grant to any one participant in a single year and the total performance award to any one participant in a single year.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which was subsequently extended through December 31, 2024. On April 24, 2024, the Company’s Board of Directors authorized the expansion of the program by an additional $500 million to $1,720 million and extended the duration through April 24, 2026.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2025, the Company repurchased approximately 51.6 million shares of Class A Common Stock and Virtu Financial Units for approximately $1,330.0 million. As of March 31, 2025, the Company has approximately $390.0 million remaining capacity for future purchases of shares of Class A Common Stock and Virtu Financial Units under the program.</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Employee Exchanges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pursuant to the exchange agreement by and among the Company, Virtu Financial and holders of Virtu Financial Units, certain current and former employees elected to exchange 350,858 units in Virtu Financial held directly or on their behalf by Virtu Employee Holdco LLC (“Employee Holdco”) on a one-for-one basis for shares of Class A Common Stock. There were no employee exchanges during the three months ended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Other Comprehensive Income for the three months ended March 31, 2025 and 2024:</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91"/>
        <w:gridCol w:w="764"/>
        <w:gridCol w:w="767"/>
        <w:gridCol w:w="128"/>
        <w:gridCol w:w="128"/>
        <w:gridCol w:w="128"/>
        <w:gridCol w:w="311"/>
        <w:gridCol w:w="1027"/>
        <w:gridCol w:w="173"/>
        <w:gridCol w:w="128"/>
        <w:gridCol w:w="128"/>
        <w:gridCol w:w="128"/>
        <w:gridCol w:w="284"/>
        <w:gridCol w:w="806"/>
        <w:gridCol w:w="157"/>
        <w:gridCol w:w="128"/>
        <w:gridCol w:w="128"/>
        <w:gridCol w:w="128"/>
        <w:gridCol w:w="424"/>
        <w:gridCol w:w="1339"/>
        <w:gridCol w:w="235"/>
        <w:gridCol w:w="128"/>
        <w:gridCol w:w="128"/>
        <w:gridCol w:w="128"/>
        <w:gridCol w:w="291"/>
        <w:gridCol w:w="960"/>
        <w:gridCol w:w="240"/>
      </w:tblGrid>
      <w:tr>
        <w:trPr/>
        <w:tc>
          <w:tcPr>
            <w:tcW w:w="89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Beginning Balance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recorded</w:t>
              <w:br/>
              <w:t>in AOCI</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 to income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Ending Balance</w:t>
            </w:r>
          </w:p>
        </w:tc>
      </w:tr>
      <w:tr>
        <w:trPr/>
        <w:tc>
          <w:tcPr>
            <w:tcW w:w="2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change in unrealized cash flow hedges gains (losses) (1)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exchange translation adjustment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(7,063)</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(5,554)</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Amounts reclassified from AOCI to income are included within Financing interest expense on long-term borrowings on the Condensed Consolidated Statements of Comprehensive Income. As of March 31, 2025, the Company expects approximately $0.4 million to be reclassified from AOCI into earnings over the next 12 months. The timing of the reclassification is based on the interest payment schedule of the long-term borrowings.</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Beginning Balance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recorded</w:t>
              <w:br/>
              <w:t>in AOCI</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 to income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AOCI Ending Balance</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cash flow hedges gains (losses) (1)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23,416 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(8,788)</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exchange translation adjustment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17,047 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(8,788)</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15,904 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 Amounts reclassified from AOCI to income are included within Financing interest expense on long-term borrowings on the Consolidated Statements of Comprehensive Income.</w:t>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5888" w:type="dxa"/>
            <w:gridSpan w:val="18"/>
            <w:tcBorders/>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7783"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20. 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2015 Management Incentive Plan as described in Note 19 “Capital Structure”, and in connection with the IPO, non-qualified stock options to purchase shares of Class A Common Stock were granted, each of which vests in equal annual installments over a period of 4 years from grant date and expires not later than 10 years from the date of grant.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related to stock options for the three months ended March 31, 2025 and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18"/>
        <w:gridCol w:w="368"/>
        <w:gridCol w:w="369"/>
        <w:gridCol w:w="499"/>
        <w:gridCol w:w="419"/>
        <w:gridCol w:w="331"/>
        <w:gridCol w:w="109"/>
        <w:gridCol w:w="109"/>
        <w:gridCol w:w="109"/>
        <w:gridCol w:w="402"/>
        <w:gridCol w:w="1141"/>
        <w:gridCol w:w="223"/>
        <w:gridCol w:w="109"/>
        <w:gridCol w:w="109"/>
        <w:gridCol w:w="109"/>
        <w:gridCol w:w="647"/>
        <w:gridCol w:w="647"/>
        <w:gridCol w:w="649"/>
        <w:gridCol w:w="109"/>
        <w:gridCol w:w="109"/>
        <w:gridCol w:w="109"/>
        <w:gridCol w:w="499"/>
        <w:gridCol w:w="419"/>
        <w:gridCol w:w="331"/>
        <w:gridCol w:w="109"/>
        <w:gridCol w:w="109"/>
        <w:gridCol w:w="109"/>
        <w:gridCol w:w="329"/>
        <w:gridCol w:w="937"/>
        <w:gridCol w:w="26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Exercisable</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br/>
              <w:t>Per Share</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2023</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March 31, 2024</w:t>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1,511,776 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2024</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813,750 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813,750 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 or expired</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March 31, 2025</w:t>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693,750 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693,750 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Class A Common Stock, Restricted Stock Units and Restricted Stock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2015 Management Incentive Plan as described in Note 19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three months ended March 31, 2025 and 2024, respectively, there were 528,221 and 878,091 shares of immediately vested Class A Common Stock granted as part of year-end compensation. In addition, the Company accrued compensation expense of $7.2 million and $4.9 million for the three months ended March 31, 2025 and 2024,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related to RSUs and RSAs for the three months ended March 31, 2025 and 2024:</w:t>
      </w:r>
    </w:p>
    <w:tbl>
      <w:tblPr>
        <w:tblW w:w="10205" w:type="dxa"/>
        <w:jc w:val="center"/>
        <w:tblInd w:w="0" w:type="dxa"/>
        <w:tblLayout w:type="fixed"/>
        <w:tblCellMar>
          <w:top w:w="28" w:type="dxa"/>
          <w:left w:w="28" w:type="dxa"/>
          <w:bottom w:w="28" w:type="dxa"/>
          <w:right w:w="28" w:type="dxa"/>
        </w:tblCellMar>
      </w:tblPr>
      <w:tblGrid>
        <w:gridCol w:w="1085"/>
        <w:gridCol w:w="953"/>
        <w:gridCol w:w="957"/>
        <w:gridCol w:w="1319"/>
        <w:gridCol w:w="1173"/>
        <w:gridCol w:w="1178"/>
        <w:gridCol w:w="210"/>
        <w:gridCol w:w="210"/>
        <w:gridCol w:w="210"/>
        <w:gridCol w:w="627"/>
        <w:gridCol w:w="1783"/>
        <w:gridCol w:w="500"/>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RSUs and RSAs</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Fair Value </w:t>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367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367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367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vAlign w:val="center"/>
          </w:tcPr>
          <w:p>
            <w:pPr>
              <w:pStyle w:val="TableContents"/>
              <w:bidi w:val="0"/>
              <w:spacing w:before="0" w:after="283"/>
              <w:jc w:val="left"/>
              <w:rPr>
                <w:sz w:val="4"/>
                <w:szCs w:val="4"/>
              </w:rPr>
            </w:pPr>
            <w:r>
              <w:rPr>
                <w:sz w:val="4"/>
                <w:szCs w:val="4"/>
              </w:rPr>
            </w:r>
          </w:p>
        </w:tc>
        <w:tc>
          <w:tcPr>
            <w:tcW w:w="367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2023</w:t>
            </w:r>
          </w:p>
        </w:tc>
        <w:tc>
          <w:tcPr>
            <w:tcW w:w="2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4,903,174 </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 (1)</w:t>
            </w:r>
          </w:p>
        </w:tc>
        <w:tc>
          <w:tcPr>
            <w:tcW w:w="2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2,492,452 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2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(68,049)</w:t>
            </w:r>
          </w:p>
        </w:tc>
        <w:tc>
          <w:tcPr>
            <w:tcW w:w="1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2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(2,596,226)</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March 31, 2024</w:t>
            </w:r>
          </w:p>
        </w:tc>
        <w:tc>
          <w:tcPr>
            <w:tcW w:w="2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4,731,351 </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December 31, 2024</w:t>
            </w:r>
          </w:p>
        </w:tc>
        <w:tc>
          <w:tcPr>
            <w:tcW w:w="2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5,564,532 </w:t>
            </w:r>
          </w:p>
        </w:tc>
        <w:tc>
          <w:tcPr>
            <w:tcW w:w="1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2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2,745,479 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2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(84,404)</w:t>
            </w:r>
          </w:p>
        </w:tc>
        <w:tc>
          <w:tcPr>
            <w:tcW w:w="1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2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(2,650,096)</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24.96 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At March 31, 2025</w:t>
            </w:r>
          </w:p>
        </w:tc>
        <w:tc>
          <w:tcPr>
            <w:tcW w:w="24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5,575,511 </w:t>
            </w:r>
          </w:p>
        </w:tc>
        <w:tc>
          <w:tcPr>
            <w:tcW w:w="1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28.97 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Excluded in the number of RSUs and RSAs are 600,000 and 487,500 participating RSAs for three months ended March 31, 2025 and 2024, where the grant date has not been achieved because the performance conditions have not been met.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$15.4 million and $10.2 million for the three months ended March 31, 2025 and 2024, respectively, of compensation expense in relation to RSUs. As of March 31, 2025 and December 31, 2024, total unrecognized share-based compensation expense related to unvested RSUs was $118.0 million and $53.5 million, respectively, and this amount is to be recognized over a weighted average period of 1.6 years and 0.9 years, respectively. Awards in which the specific performance conditions have not been met are not included in unrecognized share-based compensation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21. Regulatory Requirement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 Subsidiary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broker-dealer subsidiaries VAL and RFQ-hub Americas LLC (“RAL”, which is currently held for sale, as described in Note 3 “Business Held for Sale”), are subject to the SEC Uniform Net Capital Rule 15c3-1, which requires the maintenance of minimum net capital as detailed in the table below. RAL became a U.S. broker-dealer in June 2023. Pursuant to New York Stock Exchange (“NYSE”) rules, VAL was also required to maintain $1.0 million of capital in connection with the operation of its designated market maker (“DMM”) business as of March 31, 2025. The required amount is determined under the exchange rules as the greater of (i) $1.0 million or (ii) $75,000 for every 0.1% of NYSE transaction dollar volume in each of the securities for which the Company is registered as the DMM.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capital and regulatory capital requirements of the Company’s U.S. subsidiaries as of March 31, 2025 was as follows:</w:t>
      </w:r>
    </w:p>
    <w:tbl>
      <w:tblPr>
        <w:tblW w:w="8869" w:type="dxa"/>
        <w:jc w:val="center"/>
        <w:tblInd w:w="0" w:type="dxa"/>
        <w:tblLayout w:type="fixed"/>
        <w:tblCellMar>
          <w:top w:w="28" w:type="dxa"/>
          <w:left w:w="28" w:type="dxa"/>
          <w:bottom w:w="28" w:type="dxa"/>
          <w:right w:w="28" w:type="dxa"/>
        </w:tblCellMar>
      </w:tblPr>
      <w:tblGrid>
        <w:gridCol w:w="656"/>
        <w:gridCol w:w="578"/>
        <w:gridCol w:w="581"/>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459,273 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457,817 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RFQ-hub Americas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As of March 31, 2025, VAL</w:t>
      </w:r>
      <w:r>
        <w:rPr>
          <w:color w:val="000000"/>
        </w:rPr>
        <w:t xml:space="preserve"> </w:t>
      </w:r>
      <w:r>
        <w:rPr>
          <w:rFonts w:ascii="Times New Roman;sans-serif" w:hAnsi="Times New Roman;sans-serif"/>
          <w:b w:val="false"/>
          <w:color w:val="000000"/>
          <w:sz w:val="20"/>
        </w:rPr>
        <w:t xml:space="preserve">had $40.7 million of cash in special reserve bank accounts for the benefit of customers pursuant to SEC Rule 15c3-3, </w:t>
      </w:r>
      <w:r>
        <w:rPr>
          <w:rFonts w:ascii="Times New Roman;sans-serif" w:hAnsi="Times New Roman;sans-serif"/>
          <w:b w:val="false"/>
          <w:i/>
          <w:color w:val="000000"/>
          <w:sz w:val="20"/>
        </w:rPr>
        <w:t xml:space="preserve">Computation for Determination of Reserve Requirements, </w:t>
      </w:r>
      <w:r>
        <w:rPr>
          <w:rFonts w:ascii="Times New Roman;sans-serif" w:hAnsi="Times New Roman;sans-serif"/>
          <w:b w:val="false"/>
          <w:color w:val="000000"/>
          <w:sz w:val="20"/>
        </w:rPr>
        <w:t>and $6.4 million of cash in reserve bank accounts for the benefit of proprietary accounts of brokers. The balances are included within Cash restricted or segregated under regulations and other on the Condensed Consolidated Statements of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capital and regulatory capital requirements of the Company’s U.S. subsidiaries as of December 31, 2024 was as follows:</w:t>
      </w:r>
    </w:p>
    <w:tbl>
      <w:tblPr>
        <w:tblW w:w="8869" w:type="dxa"/>
        <w:jc w:val="center"/>
        <w:tblInd w:w="0" w:type="dxa"/>
        <w:tblLayout w:type="fixed"/>
        <w:tblCellMar>
          <w:top w:w="28" w:type="dxa"/>
          <w:left w:w="28" w:type="dxa"/>
          <w:bottom w:w="28" w:type="dxa"/>
          <w:right w:w="28" w:type="dxa"/>
        </w:tblCellMar>
      </w:tblPr>
      <w:tblGrid>
        <w:gridCol w:w="656"/>
        <w:gridCol w:w="578"/>
        <w:gridCol w:w="581"/>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455,678 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454,146 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RFQ-hub Americas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As of December 31, 2024, VAL had $34.9 million of cash in special reserve bank accounts for the benefit of customers pursuant to SEC Rule 15c3-3, </w:t>
      </w:r>
      <w:r>
        <w:rPr>
          <w:rFonts w:ascii="Times New Roman;sans-serif" w:hAnsi="Times New Roman;sans-serif"/>
          <w:b w:val="false"/>
          <w:i/>
          <w:color w:val="000000"/>
          <w:sz w:val="20"/>
        </w:rPr>
        <w:t xml:space="preserve">Computation for Determination of Reserve Requirements, </w:t>
      </w:r>
      <w:r>
        <w:rPr>
          <w:rFonts w:ascii="Times New Roman;sans-serif" w:hAnsi="Times New Roman;sans-serif"/>
          <w:b w:val="false"/>
          <w:color w:val="000000"/>
          <w:sz w:val="20"/>
        </w:rPr>
        <w:t>and $6.4 million of cash in reserve bank accounts for the benefit of proprietary accounts of brokers.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Foreign Subsidiaries</w:t>
      </w:r>
      <w:r>
        <w:rPr>
          <w:color w:val="000000"/>
        </w:rPr>
        <w: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foreign subsidiaries are subject to regulatory capital requirements set by local regulatory bodies, including the Canadian Investment Regulatory Organization (“CIRO”), the Central Bank of Ireland (“CBI”), the Financial Conduct Authority (“FCA”) in the United Kingdom, the Australian Securities and Investments Commission (“ASIC”), the Securities and Futures Commission in Hong Kong (“SFC”), and the Monetary Authority of Singapore (“MAS”).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net capital balances and regulatory capital requirements applicable to the Company’s foreign subsidiaries as of March 31, 2025 were as follows:</w:t>
      </w:r>
    </w:p>
    <w:tbl>
      <w:tblPr>
        <w:tblW w:w="9588" w:type="dxa"/>
        <w:jc w:val="center"/>
        <w:tblInd w:w="0" w:type="dxa"/>
        <w:tblLayout w:type="fixed"/>
        <w:tblCellMar>
          <w:top w:w="28" w:type="dxa"/>
          <w:left w:w="28" w:type="dxa"/>
          <w:bottom w:w="28" w:type="dxa"/>
          <w:right w:w="28" w:type="dxa"/>
        </w:tblCellMar>
      </w:tblPr>
      <w:tblGrid>
        <w:gridCol w:w="916"/>
        <w:gridCol w:w="807"/>
        <w:gridCol w:w="811"/>
        <w:gridCol w:w="109"/>
        <w:gridCol w:w="109"/>
        <w:gridCol w:w="109"/>
        <w:gridCol w:w="312"/>
        <w:gridCol w:w="1029"/>
        <w:gridCol w:w="173"/>
        <w:gridCol w:w="109"/>
        <w:gridCol w:w="109"/>
        <w:gridCol w:w="109"/>
        <w:gridCol w:w="670"/>
        <w:gridCol w:w="1442"/>
        <w:gridCol w:w="377"/>
        <w:gridCol w:w="109"/>
        <w:gridCol w:w="109"/>
        <w:gridCol w:w="109"/>
        <w:gridCol w:w="407"/>
        <w:gridCol w:w="1343"/>
        <w:gridCol w:w="320"/>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2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Canada Corp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Europe Trading Limited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27,332 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32,174 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Ireland Limited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79,868 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31,092 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48,776 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Virtu ITG UK Limited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Australia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12,715 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15,011 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Singapore Pte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117,407 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 Preliminary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7054"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Virtu Europe Trading Limited had $0.1 million of segregated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net capital balances and regulatory capital requirements applicable to the Company’s foreign subsidiaries as of December 31, 2024 were as follows:</w:t>
      </w:r>
    </w:p>
    <w:tbl>
      <w:tblPr>
        <w:tblW w:w="10205" w:type="dxa"/>
        <w:jc w:val="center"/>
        <w:tblInd w:w="0" w:type="dxa"/>
        <w:tblLayout w:type="fixed"/>
        <w:tblCellMar>
          <w:top w:w="28" w:type="dxa"/>
          <w:left w:w="28" w:type="dxa"/>
          <w:bottom w:w="28" w:type="dxa"/>
          <w:right w:w="28" w:type="dxa"/>
        </w:tblCellMar>
      </w:tblPr>
      <w:tblGrid>
        <w:gridCol w:w="938"/>
        <w:gridCol w:w="825"/>
        <w:gridCol w:w="829"/>
        <w:gridCol w:w="137"/>
        <w:gridCol w:w="137"/>
        <w:gridCol w:w="137"/>
        <w:gridCol w:w="345"/>
        <w:gridCol w:w="1139"/>
        <w:gridCol w:w="191"/>
        <w:gridCol w:w="137"/>
        <w:gridCol w:w="137"/>
        <w:gridCol w:w="137"/>
        <w:gridCol w:w="682"/>
        <w:gridCol w:w="1468"/>
        <w:gridCol w:w="383"/>
        <w:gridCol w:w="137"/>
        <w:gridCol w:w="137"/>
        <w:gridCol w:w="137"/>
        <w:gridCol w:w="425"/>
        <w:gridCol w:w="1404"/>
        <w:gridCol w:w="343"/>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Capital Requirement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Regulatory Capital</w:t>
            </w:r>
          </w:p>
        </w:tc>
      </w:tr>
      <w:tr>
        <w:trPr/>
        <w:tc>
          <w:tcPr>
            <w:tcW w:w="2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Canada</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Canada Corp</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Canada ULC (1)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Ireland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Europe Trading Limited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31,475 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Ireland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29,764 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46,693 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United Kingdom</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UK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Asia Pacific</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Australia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Hong Kong Limited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ITG Singapore Pte Limited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Virtu Financial Singapore Pte. Ltd.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219,817 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136,891 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82,926 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(1) Virtu Financial Canada ULC has resigned from membership with the Canadian Investment Regulatory Organization (“CIRO”) effective January 22, 2025, and its regulatory capital requirement as of December 31, 2024 was waived by CIRO. </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Virtu Europe Trading Limited had $37 thousand of segregated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22. Geographic Information and Business Segments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segments: (i) Market Making and (ii) Execution Services; and one non-operating segment: 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Making segment principally consists of market making in the cash, futures, and options markets across global equities, fixed income, currencies, cryptocurrencies,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Execution Services segment comprises client-based trading and trading venues, offering execution services in global equities, options, futures and fixed income on behalf of institutions, banks and broker-dealers. The Company earns commissions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Corporate segment contains the Company’s investments, principally in strategic trading-related opportunities and maintains corporate overhead expenses and all other income and expenses that are not attributable to the Company’s other segments. The segment is not considered a reportable operating segment as its results are not regularly reviewed by the Company’s Chief Operating Decisions Makers (“CODMs”).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accounting policies of the segments are the same as those described in Note 2 “Summary of Significant Accounting Policies”. The Company’s CODMs are the Chief Executive Officer and the Chief Operating Officers. The CODMs use a top-line approach in regards to evaluating segment performance and making business decisions on resource allocations, focusing on each segment's trading-related activities. Revenues, including breakdown of key trading-driven components of revenues, trading-related operating expenses, and pre-tax earnings by segment are regularly provided to the CODMs. The CODMs review trading-related results by monitoring period-over-period trends and considering variances between actuals and expectations. Corporate overhead and other shared expenses, as well as assets and liabilities by segment are not used for evaluating segment performance or in deciding how to allocate resources to segments.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total revenues, operating expenses, and income (loss) before income taxes and noncontrolling interest (“Pre-tax earnings”) by segment for the three months ended March 31, 2025 and 2024 are summarized in the following table:</w:t>
      </w:r>
    </w:p>
    <w:p>
      <w:pPr>
        <w:pStyle w:val="TextBody"/>
        <w:bidi w:val="0"/>
        <w:spacing w:before="0" w:after="0"/>
        <w:jc w:val="center"/>
        <w:rPr/>
      </w:pPr>
      <w:r>
        <w:rPr/>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70"/>
        <w:gridCol w:w="1218"/>
        <w:gridCol w:w="1220"/>
        <w:gridCol w:w="109"/>
        <w:gridCol w:w="109"/>
        <w:gridCol w:w="109"/>
        <w:gridCol w:w="223"/>
        <w:gridCol w:w="839"/>
        <w:gridCol w:w="124"/>
        <w:gridCol w:w="109"/>
        <w:gridCol w:w="109"/>
        <w:gridCol w:w="109"/>
        <w:gridCol w:w="252"/>
        <w:gridCol w:w="946"/>
        <w:gridCol w:w="139"/>
        <w:gridCol w:w="109"/>
        <w:gridCol w:w="109"/>
        <w:gridCol w:w="109"/>
        <w:gridCol w:w="239"/>
        <w:gridCol w:w="680"/>
        <w:gridCol w:w="134"/>
        <w:gridCol w:w="109"/>
        <w:gridCol w:w="109"/>
        <w:gridCol w:w="109"/>
        <w:gridCol w:w="253"/>
        <w:gridCol w:w="953"/>
        <w:gridCol w:w="207"/>
      </w:tblGrid>
      <w:tr>
        <w:trPr/>
        <w:tc>
          <w:tcPr>
            <w:tcW w:w="147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Total</w:t>
            </w:r>
          </w:p>
        </w:tc>
      </w:tr>
      <w:tr>
        <w:trPr/>
        <w:tc>
          <w:tcPr>
            <w:tcW w:w="3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691,172 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837,869 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221,875 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131,328 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segment items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260,930 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501,992 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111,083 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614,133 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189,180 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223,736 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642,839 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139,799 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126,028 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segment items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153,031 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394,055 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108,545 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503,019 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126,953 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9,243 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139,820 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908" w:type="dxa"/>
            <w:gridSpan w:val="3"/>
            <w:tcBorders/>
            <w:vAlign w:val="center"/>
          </w:tcPr>
          <w:p>
            <w:pPr>
              <w:pStyle w:val="TableContents"/>
              <w:bidi w:val="0"/>
              <w:spacing w:before="0" w:after="283"/>
              <w:jc w:val="left"/>
              <w:rPr>
                <w:sz w:val="4"/>
                <w:szCs w:val="4"/>
              </w:rPr>
            </w:pPr>
            <w:r>
              <w:rPr>
                <w:sz w:val="4"/>
                <w:szCs w:val="4"/>
              </w:rPr>
            </w:r>
          </w:p>
        </w:tc>
        <w:tc>
          <w:tcPr>
            <w:tcW w:w="6297"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6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(1) Corporate is a non-operating segment. The Company presents its information as a part of reconciliation to Consolidated Totals.</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Other segment items for both reportable segments include: Communication and data processing, Employee compensation and payroll taxes, Operations and administrative, Depreciation and amortization, Financing interest expense on long-term borrowings, and Debt issue cost related to debt refinancing, prepayment and commitment fees.</w:t>
      </w:r>
    </w:p>
    <w:p>
      <w:pPr>
        <w:pStyle w:val="TextBody"/>
        <w:bidi w:val="0"/>
        <w:spacing w:before="0" w:after="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months ended March 31, 2025 and 2024</w:t>
      </w:r>
      <w:r>
        <w:rPr>
          <w:rFonts w:ascii="Times New Roman;sans-serif" w:hAnsi="Times New Roman;sans-serif"/>
          <w:b w:val="false"/>
          <w:color w:val="000000"/>
          <w:sz w:val="18"/>
        </w:rPr>
        <w:t>:</w:t>
      </w:r>
    </w:p>
    <w:tbl>
      <w:tblPr>
        <w:tblW w:w="278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gridSpan w:val="1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5713" w:type="dxa"/>
        <w:jc w:val="center"/>
        <w:tblInd w:w="0" w:type="dxa"/>
        <w:tblLayout w:type="fixed"/>
        <w:tblCellMar>
          <w:top w:w="28" w:type="dxa"/>
          <w:left w:w="28" w:type="dxa"/>
          <w:bottom w:w="28" w:type="dxa"/>
          <w:right w:w="28" w:type="dxa"/>
        </w:tblCellMar>
      </w:tblPr>
      <w:tblGrid>
        <w:gridCol w:w="412"/>
        <w:gridCol w:w="363"/>
        <w:gridCol w:w="365"/>
        <w:gridCol w:w="109"/>
        <w:gridCol w:w="109"/>
        <w:gridCol w:w="109"/>
        <w:gridCol w:w="109"/>
        <w:gridCol w:w="109"/>
        <w:gridCol w:w="207"/>
        <w:gridCol w:w="207"/>
        <w:gridCol w:w="373"/>
        <w:gridCol w:w="1403"/>
        <w:gridCol w:w="207"/>
        <w:gridCol w:w="109"/>
        <w:gridCol w:w="109"/>
        <w:gridCol w:w="109"/>
        <w:gridCol w:w="196"/>
        <w:gridCol w:w="736"/>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709,109 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84,695 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44,065 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837,869 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23. Related Party Transactions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incurs expenses and maintains balances with its affiliates in the ordinary course of business. As of March 31, 2025 and December 31, 2024 the Company had net payables to its affiliates of $1.7 million and $0.1 million,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held a minority interest in JNX since 2016 (see Note 10 “Financial Assets and Liabilities”). The Company pays exchange fees to JNX for the trading activities conducted on its proprietary trading system. The Company paid $2.5 million and $2.2 million for the three months ended March 31, 2025 and 2024, respectively, to JNX for these trading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pays monthly use fees to a JV in which it holds an interest (see Note 13 “Variable Interest Entities”). These monthly fees are for the use of communication networks operated by the JV and are recorded within Communications and data processing on the Condensed Consolidated Statements of Comprehensive Income. The Company previously held a similar arrangement with another telecommunication JV and paid a monthly use fee, and the Company disposed of its interests in this JV and ended the monthly fee arrangement as of September 1, 2024. The Company made payments to these JVs of $7.2 million and $7.4 million for the three months ended March 31, 2025 and 2024,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interest in Members Exchange, a member-owned equities exchange. The Company pays regulatory and transaction fees and receives rebates from trading activities. The Company made payments of $2.7 million and $1.5 million for the three months ended March 31, 2025 and 2024, respectively.</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24.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22, 2025, the Company’s Board of Directors authorized the addition of 7,500,000 shares of Class A Common Stock, along with certain other limited changes to the Amended and Restated 2015 Management Incentive Plan, subject to stockholder approval at the Company’s upcoming annual meeting on June 2,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23, 2025, the Company’s Board of Directors declared a dividend of $0.24 per share of Class A Common Stock and Class B Common Stock and per participating Restricted Stock Unit and Restricted Stock Award that will be paid on June 16, 2025 to holders of record as of May 30,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management’s discussion and analysis covers the three months ended March 31, 2025 and 2024 should be read in conjunction with the Condensed Consolidated Financial Statements and accompanying notes for the period ended March 31, 2025, which are included in Part I, Item 1 of this Quarterly Report on Form 10-Q, and the audited consolidated financial statements and accompanying notes and MD&amp;A for the year ended December 31, 2024, which are included in Item 8 and 7, respectively, of the Company’s Annual Report on Form 10-K for the year ended December 31, 2024. This management’s discussion and analysis contains forward-looking statements that involve risks and uncertainties. Our actual results could differ materially from those discussed below. Unless otherwise stated, all amounts are presented in thousands of dollars.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2024, as filed with the Securities and Exchange Commission (“SEC”) on February 21, 2025 (the “2024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2024 Form 10-K, could affect our actual financial results or results of operations and cash flows, and could cause actual results to differ materially from those in such forward-looking statements, including but not limited to:</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volatility in levels of overall trading activity;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upon trading counterparties, clients and clearing houses performing their obligations to us;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failures of our customized trading platform;</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inherent to the electronic market making business and trading generally;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SEC proposals under the prior administration focused on equity markets which may, if adopted, materially change U.S. equity market structure, including by reducing overall trading volumes, reducing off-exchange trading and market making opportunities, requiring additional tools, platforms and services to register as an ATS or exchange, and generally increasing the implicit and explicit cost as well as the complexity of the U.S. equities eco-system for all participants;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additionally, enhanced regulatory, congressional, and media scrutiny, including attention to electronic trading, wholesale market making and off-exchange trading, payment for order flow, and other market structure topics may result in additional potential changes in regulation or law which could have an adverse effect on our business as well as adversely impact the public’s perception of us or of companies in our industry;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increased competition in market making activities and execution services;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on continued access to sources of liquidity;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self-clearing and other operational elements of our business, including but limited to risks related to funding and liquidity;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obligations to comply with applicable regulatory capital requirements;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litigation or other legal and regulatory-based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obligations to comply with laws and regulations applicable to our operations in the U.S. and abroad;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need to maintain and continue developing proprietary technologies;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capacity constraints, system failures, and delays;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dependence on third-party infrastructure or systems;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use of open source software;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or enforce our intellectual property rights in our proprietary technology;</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confidential and proprietary information;</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failure to protect our systems from internal or external cyber threats that could result in damage to our computer systems, business interruption, loss of data, monetary payment demands or other consequences;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international operations and expansion, including failed acquisitions or dispositions;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tariff, monetary, fiscal and tax policies in international markets), political conditions (such as military actions and terrorist activities), and other global events such as fires, geopolitical conflicts, natural disasters, pandemics or extreme weather;</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potential growth and associated corporate actions;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inability to access, or delay in accessing, the capital markets to sell shares or raise additional capital;</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loss of key executives and failure to recruit and retain qualified personnel;</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losing access to a significant exchange or other trading venue; and</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risks associated with changes in governmental administrations and agencies.</w:t>
      </w:r>
    </w:p>
    <w:p>
      <w:pPr>
        <w:pStyle w:val="TextBody"/>
        <w:bidi w:val="0"/>
        <w:spacing w:before="0" w:after="0"/>
        <w:ind w:left="0" w:right="0" w:firstLine="18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two operating segments: Market Making and Execution Services, and one non-operating segment: Corporate. Our management allocates resources, assesses performance and manages our business according to these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Market Making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250 venues, in 40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Execution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segment contains investments principally in strategic financial services-oriented opportunities and maintains corporate overhead expenses and all other income and expenses that are not attributable to our other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21, 2024 (the “Amendment No. 1 Effective Date”), the Company entered into Amendment No. 1 to the Original Credit Agreement (as amended,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19, 2025 (the “Amendment No. 2 Effective Date”), the Company entered into Amendment No. 2 to the First Amended Credit Agreement (“Amendment No. 2”). Amendment No. 2 amends the First Amended Credit Agreement (as amended, the “Credit Agreement”) to, among other things, effect a repricing of the $1,245.0 million in aggregate principal amount of Term B-1 Loans by establishing a new refinancing tranche of $1,245.0 million in aggregate principal amount of Senior Secured First Lien Term B-2 Loans (the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interest rate swap effectively fixes interest payment obligations on the $1,075.0 million of principal of the Term B-2 Loans at a rate of 6.92% through November 2025, based on the interest rates set forth in the Credit Agreement.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Indenture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Amended and Restated 2015 Management Incentive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to an aggregate of 21,000,000 shares of Class A Common Stock. On April 22, 2022, the Company’s Board of Directors adopted another amendment to the Company’s Amended and Restated 2015 Management Incentive Plan to increase the number of shares to an aggregate of 26,000,000 shares of Class A Common Stock and the amendment was approved by the Company’s shareholders at the Company’s annual meeting of shareholders on June 2,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March 31, 2025, options to purchase 1,646,500 shares in the aggregate were forfeited and 6,887,750 options were exercised. The fair value of the stock option grants was determined through the application of the Black-Scholes-Merton model and was recognized on a straight-line basis over the vesting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Parent Company Financial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material differences between our condensed consolidated financial statements and the financial statements of Virtu Financial except as follows: (i) cash and cash equivalents reflected on our Condensed Consolidated Statements of Financial Condition as of March 31, 2025 in the amount of $68.5 million; (ii) deferred tax assets reflected on our Condensed Consolidated Statements of Financial Condition as of March 31, 2025 in the amount of $122.3 million and tax receivable agreement obligation in the amount of $175.8 million, in each case as described in greater detail in Note 5 “Tax Receivable Agreements” of Part I Item 1 “Financial Statements” of this Quarterly Report on Form 10-Q; (iii) a portion of the member’s equity of Virtu Financial is represented as noncontrolling interest on our Condensed Consolidated Statements of Financial Condition as of March 31, 2025; and (iv) provision for corporate income tax in the amount of $20.9 million and $20.9 million reflected on our Condensed Consolidated Statements of Comprehensive Income for the three months ended March 31,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i) Total revenue, ii) Total operating expenses, and iii) Income before income taxes and noncontrolling interest by segment for the three months ended March 31, 2025 and 2024:</w:t>
      </w:r>
    </w:p>
    <w:p>
      <w:pPr>
        <w:pStyle w:val="TextBody"/>
        <w:bidi w:val="0"/>
        <w:spacing w:before="0" w:after="0"/>
        <w:ind w:left="0" w:right="0" w:firstLine="360"/>
        <w:jc w:val="left"/>
        <w:rPr/>
      </w:pPr>
      <w:r>
        <w:rPr/>
      </w:r>
    </w:p>
    <w:tbl>
      <w:tblPr>
        <w:tblW w:w="8997" w:type="dxa"/>
        <w:jc w:val="center"/>
        <w:tblInd w:w="0" w:type="dxa"/>
        <w:tblLayout w:type="fixed"/>
        <w:tblCellMar>
          <w:top w:w="28" w:type="dxa"/>
          <w:left w:w="28" w:type="dxa"/>
          <w:bottom w:w="28" w:type="dxa"/>
          <w:right w:w="28" w:type="dxa"/>
        </w:tblCellMar>
      </w:tblPr>
      <w:tblGrid>
        <w:gridCol w:w="1603"/>
        <w:gridCol w:w="1408"/>
        <w:gridCol w:w="1413"/>
        <w:gridCol w:w="109"/>
        <w:gridCol w:w="109"/>
        <w:gridCol w:w="109"/>
        <w:gridCol w:w="109"/>
        <w:gridCol w:w="109"/>
        <w:gridCol w:w="207"/>
        <w:gridCol w:w="207"/>
        <w:gridCol w:w="373"/>
        <w:gridCol w:w="1403"/>
        <w:gridCol w:w="207"/>
        <w:gridCol w:w="109"/>
        <w:gridCol w:w="109"/>
        <w:gridCol w:w="109"/>
        <w:gridCol w:w="196"/>
        <w:gridCol w:w="736"/>
        <w:gridCol w:w="109"/>
        <w:gridCol w:w="109"/>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691,172 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501,992 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189,180 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141,008 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111,083 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837,869 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614,133 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223,736 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our results of operations for the three months ended March 31, 2025 and 2024: </w:t>
      </w:r>
    </w:p>
    <w:p>
      <w:pPr>
        <w:pStyle w:val="TextBody"/>
        <w:bidi w:val="0"/>
        <w:spacing w:before="0" w:after="0"/>
        <w:ind w:left="0" w:right="0" w:firstLine="72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tbl>
      <w:tblPr>
        <w:tblW w:w="10166" w:type="dxa"/>
        <w:jc w:val="center"/>
        <w:tblInd w:w="0" w:type="dxa"/>
        <w:tblLayout w:type="fixed"/>
        <w:tblCellMar>
          <w:top w:w="28" w:type="dxa"/>
          <w:left w:w="28" w:type="dxa"/>
          <w:bottom w:w="28" w:type="dxa"/>
          <w:right w:w="28" w:type="dxa"/>
        </w:tblCellMar>
      </w:tblPr>
      <w:tblGrid>
        <w:gridCol w:w="1974"/>
        <w:gridCol w:w="1739"/>
        <w:gridCol w:w="1746"/>
        <w:gridCol w:w="109"/>
        <w:gridCol w:w="109"/>
        <w:gridCol w:w="109"/>
        <w:gridCol w:w="109"/>
        <w:gridCol w:w="109"/>
        <w:gridCol w:w="188"/>
        <w:gridCol w:w="188"/>
        <w:gridCol w:w="338"/>
        <w:gridCol w:w="1270"/>
        <w:gridCol w:w="415"/>
        <w:gridCol w:w="109"/>
        <w:gridCol w:w="109"/>
        <w:gridCol w:w="109"/>
        <w:gridCol w:w="196"/>
        <w:gridCol w:w="736"/>
        <w:gridCol w:w="241"/>
        <w:gridCol w:w="109"/>
        <w:gridCol w:w="154"/>
      </w:tblGrid>
      <w:tr>
        <w:trPr/>
        <w:tc>
          <w:tcPr>
            <w:tcW w:w="197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763" w:type="dxa"/>
            <w:gridSpan w:val="8"/>
            <w:tcBorders/>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589,983 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408,095 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109,053 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151,307 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(12,474)</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837,869 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221,875 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Communication and data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59,803 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119,356 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131,328 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Operations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22,136 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29,891 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614,133 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503,019 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223,736 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34,101 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189,635 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Selected Operating 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GAAP Net income Margin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ans-serif" w:hAnsi="Times New Roman;sans-serif"/>
          <w:b w:val="false"/>
          <w:color w:val="000000"/>
          <w:sz w:val="16"/>
        </w:rPr>
      </w:pPr>
      <w:r>
        <w:rPr>
          <w:rFonts w:ascii="Times New Roman;sans-serif" w:hAnsi="Times New Roman;sans-serif"/>
          <w:b w:val="false"/>
          <w:color w:val="000000"/>
          <w:sz w:val="16"/>
        </w:rPr>
        <w:t>(1)Calculated by dividing Net income by Total revenue.</w:t>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stockholders and basic and diluted earnings per share are presented below:</w:t>
      </w:r>
    </w:p>
    <w:tbl>
      <w:tblPr>
        <w:tblW w:w="8307" w:type="dxa"/>
        <w:jc w:val="center"/>
        <w:tblInd w:w="0" w:type="dxa"/>
        <w:tblLayout w:type="fixed"/>
        <w:tblCellMar>
          <w:top w:w="28" w:type="dxa"/>
          <w:left w:w="28" w:type="dxa"/>
          <w:bottom w:w="28" w:type="dxa"/>
          <w:right w:w="28" w:type="dxa"/>
        </w:tblCellMar>
      </w:tblPr>
      <w:tblGrid>
        <w:gridCol w:w="1342"/>
        <w:gridCol w:w="1181"/>
        <w:gridCol w:w="1182"/>
        <w:gridCol w:w="109"/>
        <w:gridCol w:w="109"/>
        <w:gridCol w:w="109"/>
        <w:gridCol w:w="109"/>
        <w:gridCol w:w="109"/>
        <w:gridCol w:w="207"/>
        <w:gridCol w:w="207"/>
        <w:gridCol w:w="373"/>
        <w:gridCol w:w="1403"/>
        <w:gridCol w:w="207"/>
        <w:gridCol w:w="109"/>
        <w:gridCol w:w="109"/>
        <w:gridCol w:w="109"/>
        <w:gridCol w:w="202"/>
        <w:gridCol w:w="759"/>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60" w:type="dxa"/>
            <w:gridSpan w:val="8"/>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189,635 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(89,954)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99,681 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85,681,015 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88,999,122 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86,047,558 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88,999,122 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Trading income, net.</w:t>
      </w:r>
      <w:r>
        <w:rPr>
          <w:color w:val="000000"/>
        </w:rPr>
        <w:t xml:space="preserve"> </w:t>
      </w:r>
      <w:r>
        <w:rPr>
          <w:rFonts w:ascii="Times New Roman;sans-serif" w:hAnsi="Times New Roman;sans-serif"/>
          <w:b w:val="false"/>
          <w:color w:val="000000"/>
          <w:sz w:val="20"/>
        </w:rPr>
        <w:t>Trading income, net represents revenue earned from bid/ask spreads. Trading income is generated in the normal course of our market making activities and is typically 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70% and 63% of our total revenues for the three months ended March 31, 2025 and 2024, respectively.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Interest and dividends income.</w:t>
      </w:r>
      <w:r>
        <w:rPr>
          <w:color w:val="000000"/>
        </w:rPr>
        <w:t xml:space="preserve"> </w:t>
      </w:r>
      <w:r>
        <w:rPr>
          <w:rFonts w:ascii="Times New Roman;sans-serif" w:hAnsi="Times New Roman;sans-serif"/>
          <w:b w:val="false"/>
          <w:color w:val="000000"/>
          <w:sz w:val="20"/>
        </w:rPr>
        <w:t>Our market making activities require us to hold securities on a regular basis, and we generate revenues in the form of 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Commissions, net and technology services.</w:t>
      </w:r>
      <w:r>
        <w:rPr>
          <w:color w:val="000000"/>
        </w:rPr>
        <w:t xml:space="preserve"> </w:t>
      </w:r>
      <w:r>
        <w:rPr>
          <w:rFonts w:ascii="Times New Roman;sans-serif" w:hAnsi="Times New Roman;sans-serif"/>
          <w:b w:val="false"/>
          <w:color w:val="000000"/>
          <w:sz w:val="20"/>
        </w:rPr>
        <w:t xml:space="preserve">We earn revenues on transactions for which we charge explicit commissions, 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Other, net.</w:t>
      </w:r>
      <w:r>
        <w:rPr>
          <w:color w:val="000000"/>
        </w:rPr>
        <w:t xml:space="preserve"> </w:t>
      </w:r>
      <w:r>
        <w:rPr>
          <w:rFonts w:ascii="Times New Roman;sans-serif" w:hAnsi="Times New Roman;sans-serif"/>
          <w:b w:val="false"/>
          <w:color w:val="000000"/>
          <w:sz w:val="20"/>
        </w:rPr>
        <w:t>We have interests in multiple strategic investments and telecommunications joint ventures (“JVs”). We record our pro-rata share of our JVs’ earnings or losses within Other, net, while fees related to the use of communication services provided by the JVs are recorded within Communications and data processing.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net can also include gains on sales of strategic investments and businesses, settlement fund recoveries, remeasurement gains or losses on certain digital assets held, as well as revenues from service agreements related to the sale of businesses.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Brokerage, exchange, clearance fees and payments for order flow, net.</w:t>
      </w:r>
      <w:r>
        <w:rPr>
          <w:color w:val="000000"/>
        </w:rPr>
        <w:t xml:space="preserve"> </w:t>
      </w:r>
      <w:r>
        <w:rPr>
          <w:rFonts w:ascii="Times New Roman;sans-serif" w:hAnsi="Times New Roman;sans-serif"/>
          <w:b w:val="false"/>
          <w:color w:val="000000"/>
          <w:sz w:val="20"/>
        </w:rPr>
        <w:t xml:space="preserve">Brokerage, exchange, clearance fees and payments for order flow are our most 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Communication and data processing.</w:t>
      </w:r>
      <w:r>
        <w:rPr>
          <w:color w:val="000000"/>
        </w:rPr>
        <w:t xml:space="preserve"> </w:t>
      </w:r>
      <w:r>
        <w:rPr>
          <w:rFonts w:ascii="Times New Roman;sans-serif" w:hAnsi="Times New Roman;sans-serif"/>
          <w:b w:val="false"/>
          <w:color w:val="000000"/>
          <w:sz w:val="20"/>
        </w:rPr>
        <w:t>Communication and data processing represent primarily fixed expenses for data center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Employee compensation and payroll taxes.</w:t>
      </w:r>
      <w:r>
        <w:rPr>
          <w:color w:val="000000"/>
        </w:rPr>
        <w:t xml:space="preserve"> </w:t>
      </w:r>
      <w:r>
        <w:rPr>
          <w:rFonts w:ascii="Times New Roman;sans-serif" w:hAnsi="Times New Roman;sans-serif"/>
          <w:b w:val="false"/>
          <w:color w:val="000000"/>
          <w:sz w:val="20"/>
        </w:rPr>
        <w:t xml:space="preserve">Employee compensation and payroll taxes include employee salaries, cash and non-cash incentive compensation, employee benefits, payroll taxes, severance and other employee related costs. Employee compensation and payroll taxes also includes non-cash compensation expenses with respect to restricted stock units and restricted stock awards pursuant to the Amended and Restated 2015 Management Incentive Plan.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Interest and dividends expense.</w:t>
      </w:r>
      <w:r>
        <w:rPr>
          <w:color w:val="000000"/>
        </w:rPr>
        <w:t xml:space="preserve"> </w:t>
      </w:r>
      <w:r>
        <w:rPr>
          <w:rFonts w:ascii="Times New Roman;sans-serif" w:hAnsi="Times New Roman;sans-serif"/>
          <w:b w:val="false"/>
          <w:color w:val="000000"/>
          <w:sz w:val="20"/>
        </w:rPr>
        <w:t>We incur interest expense from loaning certain equity securities in the general course of our market making activities pursuant to collateralized lending transactions. Typically, dividends expense is incurred when a dividend is paid on securities sold short.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Operations and administrative.</w:t>
      </w:r>
      <w:r>
        <w:rPr>
          <w:color w:val="000000"/>
        </w:rPr>
        <w:t xml:space="preserve"> </w:t>
      </w:r>
      <w:r>
        <w:rPr>
          <w:rFonts w:ascii="Times New Roman;sans-serif" w:hAnsi="Times New Roman;sans-serif"/>
          <w:b w:val="false"/>
          <w:color w:val="000000"/>
          <w:sz w:val="20"/>
        </w:rPr>
        <w:t>Operations and administrative expense represents occupancy, recruiting, travel and related expense, professional fees and other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Depreciation and amortization.</w:t>
      </w:r>
      <w:r>
        <w:rPr>
          <w:color w:val="000000"/>
        </w:rPr>
        <w:t xml:space="preserve"> </w:t>
      </w:r>
      <w:r>
        <w:rPr>
          <w:rFonts w:ascii="Times New Roman;sans-serif" w:hAnsi="Times New Roman;sans-serif"/>
          <w:b w:val="false"/>
          <w:color w:val="000000"/>
          <w:sz w:val="20"/>
        </w:rPr>
        <w:t>Depreciation and amortization expense results from the depreciation of fixed assets and leased equipment, such as 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Amortization of purchased intangibles and acquired capitalized software.</w:t>
      </w:r>
      <w:r>
        <w:rPr>
          <w:color w:val="000000"/>
        </w:rPr>
        <w:t xml:space="preserve"> </w:t>
      </w:r>
      <w:r>
        <w:rPr>
          <w:rFonts w:ascii="Times New Roman;sans-serif" w:hAnsi="Times New Roman;sans-serif"/>
          <w:b w:val="false"/>
          <w:color w:val="000000"/>
          <w:sz w:val="20"/>
        </w:rPr>
        <w:t>Amortization of purchased intangibles and acquired capitalized software represents the amortization of finite lived intangible assets acquired in connection with the Acquisition of KCG and the ITG Acquisition. These assets are amortized over their useful lives, ranging from 1 to 15 years, except for certain assets which were categorized as having indefinite useful lives.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Termination of office leases. </w:t>
      </w:r>
      <w:r>
        <w:rPr>
          <w:rFonts w:ascii="Times New Roman;sans-serif" w:hAnsi="Times New Roman;sans-serif"/>
          <w:b w:val="false"/>
          <w:color w:val="000000"/>
          <w:sz w:val="20"/>
        </w:rPr>
        <w:t>Termination of office leases represents the write-off expense and asset retirement obligations related to certain office space we ceased use of as part of the effort to integrate and consolidate office space. The aggregate write-off amount includes the impairment of operating lease right-of-use assets, leasehold improvements and fixed assets, and dilapidation charges.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Debt issue cost related to debt refinancing, prepayment and commitment fees.</w:t>
      </w:r>
      <w:r>
        <w:rPr>
          <w:color w:val="000000"/>
        </w:rPr>
        <w:t xml:space="preserve"> </w:t>
      </w:r>
      <w:r>
        <w:rPr>
          <w:rFonts w:ascii="Times New Roman;sans-serif" w:hAnsi="Times New Roman;sans-serif"/>
          <w:b w:val="false"/>
          <w:color w:val="000000"/>
          <w:sz w:val="20"/>
        </w:rPr>
        <w:t xml:space="preserve">As a result of the refinancing or early termination of our long-term borrowings, we accelerate the capitalized debt issue cost and the discount on the term loan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would otherwise be amortized or accreted over the life of the term loan. Premium paid in connection with retiring outstanding bonds, and commitment fees paid for lines of credit are also included in this category.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Transaction advisory fees and expenses.</w:t>
      </w:r>
      <w:r>
        <w:rPr>
          <w:color w:val="000000"/>
        </w:rPr>
        <w:t xml:space="preserve"> </w:t>
      </w:r>
      <w:r>
        <w:rPr>
          <w:rFonts w:ascii="Times New Roman;sans-serif" w:hAnsi="Times New Roman;sans-serif"/>
          <w:b w:val="false"/>
          <w:color w:val="000000"/>
          <w:sz w:val="20"/>
        </w:rPr>
        <w:t>Transaction advisory fees and expenses primarily reflect professional fees incurred by us in connection with one or more acquisitions or dispositions.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Financing interest expense on long-term borrowings.</w:t>
      </w:r>
      <w:r>
        <w:rPr>
          <w:color w:val="000000"/>
        </w:rPr>
        <w:t xml:space="preserve"> </w:t>
      </w:r>
      <w:r>
        <w:rPr>
          <w:rFonts w:ascii="Times New Roman;sans-serif" w:hAnsi="Times New Roman;sans-serif"/>
          <w:b w:val="false"/>
          <w:color w:val="000000"/>
          <w:sz w:val="20"/>
        </w:rPr>
        <w:t>Financing interest expense reflects interest accrued on outstanding indebtedness under our long-term borrowing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U.S. federal, state and local income tax at the rate applicable to corporations less the rate attributable to the noncontrolling interest in Virtu Financial. Our non-U.S. operations are also subject to foreign income tax at the applicable corporate rates.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15 “Income Taxes” of Part I Item 1 “Financial Statements” of this Quarterly Report on Form 10-Q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 and Other Items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Condensed Consolidated Financial Statements presented in accordance with generally accepted accounting principles in the United States (“U.S. GAAP”), we use the following non-U.S. GAAP (“Non-GAAP”) financial measures of financial performance:</w:t>
      </w:r>
    </w:p>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and as daily averages by dividing Adjusted Net Trading Income by the number of trading days in a given period. Starting in the fourth quarter of 2024, we began counting days on which U.S. equities exchanges close early or otherwise operate for less than a full trading day as half-days, whereas previously such days were counted as whole days. Prior periods have not been restated as the impact of the change is immaterial in relation to our average daily Adjusted Net Trading Income.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the sales of businesses, and other income.</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Operating Margins, which are calculated by dividing net income, EBITDA, and Adjusted EBITDA by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they do not reflect every cash expenditure, future requirements for capital expenditures or contractual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our EBITDA-based measures do not reflect the significant interest expense or the cash requirements necessary to service interest or principal payment on our debt;</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they are not adjusted for all non-cash income or expense items that are reflected in our consolidated statements of cash flows;</w:t>
      </w:r>
    </w:p>
    <w:p>
      <w:pPr>
        <w:pStyle w:val="TextBody"/>
        <w:bidi w:val="0"/>
        <w:spacing w:lineRule="auto" w:line="288" w:before="0" w:after="120"/>
        <w:ind w:left="0" w:right="0" w:hanging="270"/>
        <w:jc w:val="left"/>
        <w:rPr/>
      </w:pPr>
      <w:r>
        <w:rPr>
          <w:color w:val="000000"/>
        </w:rPr>
        <w:t>•</w:t>
      </w:r>
      <w:r>
        <w:rPr>
          <w:rFonts w:ascii="Times New Roman;sans-serif" w:hAnsi="Times New Roman;sans-serif"/>
          <w:b w:val="false"/>
          <w:color w:val="000000"/>
          <w:sz w:val="20"/>
        </w:rPr>
        <w:t>they do not reflect the impact of earnings or charges resulting from matters we consider not to be indicative of our ongoing operations; and</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they do not reflect limitations on our costs related to transferring earnings from our subsidiaries to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Condensed Consolidated Statements of Comprehensive Income to arrive at Adjusted Net Trading Income, EBITDA, Adjusted EBITDA, and Operating Margins for the three months ended March 31, 2025 and 2024.</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83"/>
        <w:gridCol w:w="1750"/>
        <w:gridCol w:w="1765"/>
        <w:gridCol w:w="109"/>
        <w:gridCol w:w="109"/>
        <w:gridCol w:w="109"/>
        <w:gridCol w:w="109"/>
        <w:gridCol w:w="109"/>
        <w:gridCol w:w="187"/>
        <w:gridCol w:w="187"/>
        <w:gridCol w:w="337"/>
        <w:gridCol w:w="1269"/>
        <w:gridCol w:w="414"/>
        <w:gridCol w:w="109"/>
        <w:gridCol w:w="109"/>
        <w:gridCol w:w="109"/>
        <w:gridCol w:w="196"/>
        <w:gridCol w:w="736"/>
        <w:gridCol w:w="241"/>
        <w:gridCol w:w="109"/>
        <w:gridCol w:w="159"/>
      </w:tblGrid>
      <w:tr>
        <w:trPr/>
        <w:tc>
          <w:tcPr>
            <w:tcW w:w="1983"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768" w:type="dxa"/>
            <w:gridSpan w:val="8"/>
            <w:tcBorders/>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Trading income, net to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589,983 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408,095 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109,053 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151,307 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(221,875)</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(139,799)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(131,328)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497,140 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366,871 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Net Income to EBITDA and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189,635 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29,891 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15,932 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11,783 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34,101 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283,023 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195,509 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319,939 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202,832 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Selected Operating 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GAAP Net income Margin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Non-GAAP Net income Margin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EBITDA Margin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Margin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(1)Calculated by dividing Net Income by Total Revenue.</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(2)Calculated by dividing Net Income by Adjusted Net Trading Income.</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(3)Calculated by dividing EBITDA by Adjusted Net Trading Income.</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(4)Calculated by dividing Adjusted EBITDA by Adjusted Net Trading Income.</w:t>
      </w:r>
    </w:p>
    <w:p>
      <w:pPr>
        <w:pStyle w:val="TextBody"/>
        <w:bidi w:val="0"/>
        <w:spacing w:before="0" w:after="200"/>
        <w:ind w:left="0" w:right="0" w:firstLine="72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to arrive at Normalized Adjusted Net Income before income taxes, Normalized provision for income taxes, Normalized Adjusted Net Income and Normalized Adjusted EPS for the three months ended March 31, 2025 and 2024:</w:t>
      </w:r>
    </w:p>
    <w:tbl>
      <w:tblPr>
        <w:tblW w:w="10197" w:type="dxa"/>
        <w:jc w:val="center"/>
        <w:tblInd w:w="0" w:type="dxa"/>
        <w:tblLayout w:type="fixed"/>
        <w:tblCellMar>
          <w:top w:w="28" w:type="dxa"/>
          <w:left w:w="28" w:type="dxa"/>
          <w:bottom w:w="28" w:type="dxa"/>
          <w:right w:w="28" w:type="dxa"/>
        </w:tblCellMar>
      </w:tblPr>
      <w:tblGrid>
        <w:gridCol w:w="1994"/>
        <w:gridCol w:w="1752"/>
        <w:gridCol w:w="1759"/>
        <w:gridCol w:w="109"/>
        <w:gridCol w:w="109"/>
        <w:gridCol w:w="109"/>
        <w:gridCol w:w="109"/>
        <w:gridCol w:w="109"/>
        <w:gridCol w:w="207"/>
        <w:gridCol w:w="207"/>
        <w:gridCol w:w="373"/>
        <w:gridCol w:w="1403"/>
        <w:gridCol w:w="207"/>
        <w:gridCol w:w="109"/>
        <w:gridCol w:w="109"/>
        <w:gridCol w:w="109"/>
        <w:gridCol w:w="221"/>
        <w:gridCol w:w="830"/>
        <w:gridCol w:w="109"/>
        <w:gridCol w:w="109"/>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750" w:type="dxa"/>
            <w:gridSpan w:val="8"/>
            <w:tcBorders/>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Net Income to Normalized 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189,635 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223,736 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274,116 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provision for income taxes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65,787 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208,329 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Adjusted shares outstanding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160,301,753 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162,842,086 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Normalized Adjusted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(1)Reflects U.S. federal, state, and local income tax rate applicable to corporations of approximately 24% for all periods presented.</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the dilutive impact of options, restricted stock units and restricted stock awards outstanding under the Amended and Restated 2015 Management Incentive Plan and the Amended and Restated ITG 2007 Equity Plan during the three months ended March 31, 2025 and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Trading income, net to Adjusted Net Trading Income by segment for the three months ended March 31, 2025 and 2024:</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95"/>
        <w:gridCol w:w="1370"/>
        <w:gridCol w:w="1376"/>
        <w:gridCol w:w="109"/>
        <w:gridCol w:w="109"/>
        <w:gridCol w:w="109"/>
        <w:gridCol w:w="227"/>
        <w:gridCol w:w="856"/>
        <w:gridCol w:w="126"/>
        <w:gridCol w:w="109"/>
        <w:gridCol w:w="109"/>
        <w:gridCol w:w="109"/>
        <w:gridCol w:w="261"/>
        <w:gridCol w:w="981"/>
        <w:gridCol w:w="144"/>
        <w:gridCol w:w="109"/>
        <w:gridCol w:w="109"/>
        <w:gridCol w:w="109"/>
        <w:gridCol w:w="240"/>
        <w:gridCol w:w="497"/>
        <w:gridCol w:w="134"/>
        <w:gridCol w:w="109"/>
        <w:gridCol w:w="109"/>
        <w:gridCol w:w="109"/>
        <w:gridCol w:w="196"/>
        <w:gridCol w:w="736"/>
        <w:gridCol w:w="158"/>
      </w:tblGrid>
      <w:tr>
        <w:trPr/>
        <w:tc>
          <w:tcPr>
            <w:tcW w:w="15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582,622 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589,983 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133,995 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(130,051)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382,018 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115,122 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497,140 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99"/>
        <w:gridCol w:w="1374"/>
        <w:gridCol w:w="1380"/>
        <w:gridCol w:w="109"/>
        <w:gridCol w:w="109"/>
        <w:gridCol w:w="109"/>
        <w:gridCol w:w="227"/>
        <w:gridCol w:w="856"/>
        <w:gridCol w:w="126"/>
        <w:gridCol w:w="109"/>
        <w:gridCol w:w="109"/>
        <w:gridCol w:w="109"/>
        <w:gridCol w:w="283"/>
        <w:gridCol w:w="933"/>
        <w:gridCol w:w="156"/>
        <w:gridCol w:w="109"/>
        <w:gridCol w:w="109"/>
        <w:gridCol w:w="109"/>
        <w:gridCol w:w="240"/>
        <w:gridCol w:w="497"/>
        <w:gridCol w:w="134"/>
        <w:gridCol w:w="109"/>
        <w:gridCol w:w="109"/>
        <w:gridCol w:w="109"/>
        <w:gridCol w:w="196"/>
        <w:gridCol w:w="736"/>
        <w:gridCol w:w="160"/>
      </w:tblGrid>
      <w:tr>
        <w:trPr/>
        <w:tc>
          <w:tcPr>
            <w:tcW w:w="159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4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403,698 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408,095 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(115,866)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273,678 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93,193 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366,871 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Adjusted Net Trading Income and average daily Adjusted Net Trading Income by segment for the three months ended March 31, 2025 and 2024:</w:t>
      </w:r>
    </w:p>
    <w:tbl>
      <w:tblPr>
        <w:tblW w:w="23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3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84"/>
        <w:gridCol w:w="425"/>
        <w:gridCol w:w="427"/>
        <w:gridCol w:w="118"/>
        <w:gridCol w:w="118"/>
        <w:gridCol w:w="118"/>
        <w:gridCol w:w="213"/>
        <w:gridCol w:w="803"/>
        <w:gridCol w:w="118"/>
        <w:gridCol w:w="118"/>
        <w:gridCol w:w="118"/>
        <w:gridCol w:w="118"/>
        <w:gridCol w:w="233"/>
        <w:gridCol w:w="663"/>
        <w:gridCol w:w="129"/>
        <w:gridCol w:w="118"/>
        <w:gridCol w:w="118"/>
        <w:gridCol w:w="118"/>
        <w:gridCol w:w="303"/>
        <w:gridCol w:w="303"/>
        <w:gridCol w:w="263"/>
        <w:gridCol w:w="118"/>
        <w:gridCol w:w="118"/>
        <w:gridCol w:w="118"/>
        <w:gridCol w:w="213"/>
        <w:gridCol w:w="803"/>
        <w:gridCol w:w="118"/>
        <w:gridCol w:w="118"/>
        <w:gridCol w:w="118"/>
        <w:gridCol w:w="118"/>
        <w:gridCol w:w="224"/>
        <w:gridCol w:w="637"/>
        <w:gridCol w:w="124"/>
        <w:gridCol w:w="118"/>
        <w:gridCol w:w="118"/>
        <w:gridCol w:w="118"/>
        <w:gridCol w:w="303"/>
        <w:gridCol w:w="303"/>
        <w:gridCol w:w="263"/>
        <w:gridCol w:w="109"/>
        <w:gridCol w:w="109"/>
        <w:gridCol w:w="109"/>
        <w:gridCol w:w="109"/>
        <w:gridCol w:w="109"/>
        <w:gridCol w:w="18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4"/>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 by Segment: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 Daily (1)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Daily</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Making</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382,018 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Execution Services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Net Trading Income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497,140 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366,871 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9476"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Effective fourth quarter 2024, we began counting days on which U.S. equities exchanges close early or otherwise operate for less than a full trading day as half-days. Prior periods have not been restated as the impact of the change is immaterial in relation to our average daily Adjusted Net Trading Income. There were no half-days during the three months ended March 31, 2025.</w:t>
            </w:r>
          </w:p>
        </w:tc>
        <w:tc>
          <w:tcPr>
            <w:tcW w:w="729"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 Compared to Three Months Ended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Total Revenues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revenues increased $195.1 million, or 30.4%, to $837.9 million for the three months ended March 31, 2025, compared to $642.8 million for the three months ended March 31, 2024. The increase was primarily driven by an increase of $181.9 million in Trading income, net due to higher trading volumes and increased opportunities across global markets and an increase of $32.7 million in Commissions, net and technology services due to strengthened institutional engagement, offset by a decrease of $22.6 million in Other, net, as a result of remeasurement losses on certain digital assets held recorded during the three months ended March 31, 2025 and gains on settlement fund recoveries received during the three months ended March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total revenues by segment for the three months ended March 31, 2025 and 2024.</w:t>
      </w:r>
    </w:p>
    <w:tbl>
      <w:tblPr>
        <w:tblW w:w="7024" w:type="dxa"/>
        <w:jc w:val="center"/>
        <w:tblInd w:w="0" w:type="dxa"/>
        <w:tblLayout w:type="fixed"/>
        <w:tblCellMar>
          <w:top w:w="28" w:type="dxa"/>
          <w:left w:w="28" w:type="dxa"/>
          <w:bottom w:w="28" w:type="dxa"/>
          <w:right w:w="28" w:type="dxa"/>
        </w:tblCellMar>
      </w:tblPr>
      <w:tblGrid>
        <w:gridCol w:w="1104"/>
        <w:gridCol w:w="967"/>
        <w:gridCol w:w="974"/>
        <w:gridCol w:w="109"/>
        <w:gridCol w:w="109"/>
        <w:gridCol w:w="109"/>
        <w:gridCol w:w="196"/>
        <w:gridCol w:w="736"/>
        <w:gridCol w:w="109"/>
        <w:gridCol w:w="109"/>
        <w:gridCol w:w="109"/>
        <w:gridCol w:w="109"/>
        <w:gridCol w:w="196"/>
        <w:gridCol w:w="736"/>
        <w:gridCol w:w="109"/>
        <w:gridCol w:w="109"/>
        <w:gridCol w:w="109"/>
        <w:gridCol w:w="109"/>
        <w:gridCol w:w="268"/>
        <w:gridCol w:w="268"/>
        <w:gridCol w:w="380"/>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for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140.4%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revenues from Market Making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Execution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revenues from Execution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from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30.3%</w:t>
            </w:r>
          </w:p>
        </w:tc>
      </w:tr>
    </w:tbl>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i/>
          <w:color w:val="000000"/>
          <w:sz w:val="20"/>
        </w:rPr>
        <w:t xml:space="preserve">Trading income, net. </w:t>
      </w:r>
      <w:r>
        <w:rPr>
          <w:rFonts w:ascii="Times New Roman;sans-serif" w:hAnsi="Times New Roman;sans-serif"/>
          <w:b w:val="false"/>
          <w:color w:val="000000"/>
          <w:sz w:val="20"/>
        </w:rPr>
        <w:t>Trading income, net was primarily earned by our Market Making segment. Trading income, net increased $181.9 million, or 44.6% to $590.0 million for the three months ended March 31, 2025, compared to $408.1 million for the three months ended March 31, 2024. The increase was largely a result of higher trading volumes and increased opportunities across global markets during the three months ended March 31, 2025 compared to the same period in 2024.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i/>
          <w:color w:val="000000"/>
          <w:sz w:val="20"/>
        </w:rPr>
        <w:t>Interest and dividends income.</w:t>
      </w:r>
      <w:r>
        <w:rPr>
          <w:color w:val="000000"/>
        </w:rPr>
        <w:t xml:space="preserve"> </w:t>
      </w:r>
      <w:r>
        <w:rPr>
          <w:rFonts w:ascii="Times New Roman;sans-serif" w:hAnsi="Times New Roman;sans-serif"/>
          <w:b w:val="false"/>
          <w:color w:val="000000"/>
          <w:sz w:val="20"/>
        </w:rPr>
        <w:t>Interest and dividends income was primarily earned by our Market Making segment. Interest and dividends income increased $3.1 million, or 2.9%, to $109.1 million for the three months ended March 31, 2025, compared to $106.0 million for the three months ended March 31, 2024. This increase was primarily attributable to higher interest income earned on cash collateral posted driven by an increase in securities borrowing transactions for the period compared to the same period during the prior year. As indicated above, rather than analyzing interest and dividends income in isolation, we evaluate it in the broader context of our Adjusted Net Trading Income.</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i/>
          <w:color w:val="000000"/>
          <w:sz w:val="20"/>
        </w:rPr>
        <w:t>Commissions, net and technology services.</w:t>
      </w:r>
      <w:r>
        <w:rPr>
          <w:color w:val="000000"/>
        </w:rPr>
        <w:t xml:space="preserve"> </w:t>
      </w:r>
      <w:r>
        <w:rPr>
          <w:rFonts w:ascii="Times New Roman;sans-serif" w:hAnsi="Times New Roman;sans-serif"/>
          <w:b w:val="false"/>
          <w:color w:val="000000"/>
          <w:sz w:val="20"/>
        </w:rPr>
        <w:t>Commissions, net and technology services revenues were primarily earned by our Execution Services segment. Commissions, net and technology services revenues increased $32.7 million, or 27.6%, to $151.3 million for the three months ended March 31, 2025, compared to $118.6 million for the three months ended March 31, 2024. This increase was driven by higher client volumes and increasing institutional engagement compared to the same period in 2024. As indicated above, rather than analyzing interest and dividends income in isolation, we evaluate it in the broader context of our Adjusted Net Trading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Other, net. </w:t>
      </w:r>
      <w:r>
        <w:rPr>
          <w:rFonts w:ascii="Times New Roman;sans-serif" w:hAnsi="Times New Roman;sans-serif"/>
          <w:b w:val="false"/>
          <w:color w:val="000000"/>
          <w:sz w:val="20"/>
        </w:rPr>
        <w:t xml:space="preserve">Other, net decreased $22.6 million, to $(12.5) million for the three months ended March 31, 2025, compared to $10.1 million for the three months ended March 31, 2024. The three months ended March 31, 2025 included remeasurement losses on certain digital assets held during the period. The three months ended March 31, 2024 included gains on settlement fund recoveries in which we are eligible to participate based on our transactions in the applicable products.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Trading Income, which is a non-GAAP measure, increased $130.3 million, or 35.5%, to $497.1 million for the three months ended March 31, 2025, compared to $366.9 million for the three months ended March 31, 2024. This increase was primarily attributable to higher Trading income, net due to higher trading volumes and increased opportunities during the three months ended March 31, 2025 compared to the same period in 2024, as noted above, partially offset by higher Brokerage, exchange, clearance fees and payments for order flow, net as described below. Average daily Adjusted Net Trading Income increased $2.3 million, or 38.3%, to $8.3 million for the three months ended March 31, 2025, compared to $6.0 million for the three months ended March 31, 2024.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increased $111.1 million, or 22.1%, to $614.1 million for the three months ended March 31, 2025, compared to $503.0 million for the three months ended March 31, 2024. The increase in operating expenses is primarily due to an increase in Brokerage, exchange, clearance fees and payments for order flow, net and Employee compensation and payroll taxes, described in more detail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Brokerage, exchange, clearance fees and payments for order flow, net. </w:t>
      </w:r>
      <w:r>
        <w:rPr>
          <w:rFonts w:ascii="Times New Roman;sans-serif" w:hAnsi="Times New Roman;sans-serif"/>
          <w:b w:val="false"/>
          <w:color w:val="000000"/>
          <w:sz w:val="20"/>
        </w:rPr>
        <w:t xml:space="preserve">Brokerage exchange, clearance fees and payments for order flow, net, increased $82.1 million, or 58.7%, to $221.9 million for the three months ended March 31, 2025, compared to $139.8 million for the three months ended March 31, 2024. These costs vary period to period based upon the level and composition of our trading activities. We evaluate this category representing direct costs associated with transacting business, in the broader context of our Adjusted Net Trading Income.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Communication and data processing. </w:t>
      </w:r>
      <w:r>
        <w:rPr>
          <w:rFonts w:ascii="Times New Roman;sans-serif" w:hAnsi="Times New Roman;sans-serif"/>
          <w:b w:val="false"/>
          <w:color w:val="000000"/>
          <w:sz w:val="20"/>
        </w:rPr>
        <w:t>Communication and data processing expense increased $1.6 million, or 2.7%, to $59.8 million for the three months ended March 31, 2025, compared to $58.2 million for the three months ended March 31, 2024. This increase was primarily due to slightly increased spending on market data, software, and colocation services.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Employee compensation and payroll taxes. </w:t>
      </w:r>
      <w:r>
        <w:rPr>
          <w:rFonts w:ascii="Times New Roman;sans-serif" w:hAnsi="Times New Roman;sans-serif"/>
          <w:b w:val="false"/>
          <w:color w:val="000000"/>
          <w:sz w:val="20"/>
        </w:rPr>
        <w:t>Employee compensation and payroll taxes increased $18.6 million, or 18.5%, to $119.4 million for the three months ended March 31, 2025, compared to $100.8 million for the three months ended March 31, 2024.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capitalized and therefore excluded employee compensation and benefits related to software development of $11.4 million and $10.2 million for the three months ended March 31, 2025, and 2024, respectively.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Interest and dividends expense. </w:t>
      </w:r>
      <w:r>
        <w:rPr>
          <w:rFonts w:ascii="Times New Roman;sans-serif" w:hAnsi="Times New Roman;sans-serif"/>
          <w:b w:val="false"/>
          <w:color w:val="000000"/>
          <w:sz w:val="20"/>
        </w:rPr>
        <w:t>Interest and dividends expense increased $5.3 million, or 4.2%, to $131.3 million for the three months ended March 31, 2025, compared to $126.0 million for the three months ended March 31, 2024. This increase was primarily attributable to higher interest expense incurred on cash collateral received driven by an increase in securities lending transactions for the period compared to the same period during the prior year. As indicated above, rather than analyzing interest and dividends expense in isolation, we evaluate it in the broader context of our Adjusted Net Trading Income.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i/>
          <w:color w:val="000000"/>
          <w:sz w:val="20"/>
        </w:rPr>
        <w:t xml:space="preserve">Operations and administrative. </w:t>
      </w:r>
      <w:r>
        <w:rPr>
          <w:rFonts w:ascii="Times New Roman;sans-serif" w:hAnsi="Times New Roman;sans-serif"/>
          <w:b w:val="false"/>
          <w:color w:val="000000"/>
          <w:sz w:val="20"/>
        </w:rPr>
        <w:t>Operations and administrative expense decreased $0.2 million, or 0.9%, to $22.1 million for the three months ended March 31, 2025, compared to $22.3 million for the three months ended March 31, 2024. This decrease was primarily driven by a decrease in professional expense.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Depreciation and amortization. </w:t>
      </w:r>
      <w:r>
        <w:rPr>
          <w:rFonts w:ascii="Times New Roman;sans-serif" w:hAnsi="Times New Roman;sans-serif"/>
          <w:b w:val="false"/>
          <w:color w:val="000000"/>
          <w:sz w:val="20"/>
        </w:rPr>
        <w:t xml:space="preserve">Depreciation and amortization decreased $0.2 million, or 1.2%, to $15.9 million for the three months ended March 31, 2025, compared to $16.1 million for the three months ended March 31, 2024. The decrease was driven primarily by a decrease in amortization of computer equipment compared to the same period in 2024.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Amortization of purchased intangibles and acquired capitalized software. </w:t>
      </w:r>
      <w:r>
        <w:rPr>
          <w:rFonts w:ascii="Times New Roman;sans-serif" w:hAnsi="Times New Roman;sans-serif"/>
          <w:b w:val="false"/>
          <w:color w:val="000000"/>
          <w:sz w:val="20"/>
        </w:rPr>
        <w:t>Amortization of purchased intangibles and acquired capitalized software decreased $2.9 million, or 19.7%, to $11.8 million for the three months ended March 31, 2025, compared to $14.7 million for the three months ended March 31, 2024. This decrease was due to certain intangible assets being fully amortized during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Termination of office leases. </w:t>
      </w:r>
      <w:r>
        <w:rPr>
          <w:rFonts w:ascii="Times New Roman;sans-serif" w:hAnsi="Times New Roman;sans-serif"/>
          <w:b w:val="false"/>
          <w:color w:val="000000"/>
          <w:sz w:val="20"/>
        </w:rPr>
        <w:t xml:space="preserve">Termination of office leases was insignificant for the three months ended March 31, 2025 and March 31, 2024. These expenses, when incurred, are related to the impairment of lease right-of-use assets, leasehold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improvements and fixed assets for certain abandoned or vacated office space. There were no significant lease terminations in either period.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Debt issue cost related to debt refinancing, prepayment and commitment fees. </w:t>
      </w:r>
      <w:r>
        <w:rPr>
          <w:rFonts w:ascii="Times New Roman;sans-serif" w:hAnsi="Times New Roman;sans-serif"/>
          <w:b w:val="false"/>
          <w:color w:val="000000"/>
          <w:sz w:val="20"/>
        </w:rPr>
        <w:t>Expense from debt issue cost related to debt refinancing, prepayment and commitment fees remained consistent at $1.7 million for the three months ended March 31, 2025 and 2024. Refer to Note 9 “Borrowings” in Part I Item 1 “Financial Statements” of this Quarterly Report on Form 10-Q for more details on our borrowing arrangements.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i/>
          <w:color w:val="000000"/>
          <w:sz w:val="20"/>
        </w:rPr>
        <w:t>Transaction advisory fees and expenses.</w:t>
      </w:r>
      <w:r>
        <w:rPr>
          <w:color w:val="000000"/>
        </w:rPr>
        <w:t xml:space="preserve"> </w:t>
      </w:r>
      <w:r>
        <w:rPr>
          <w:rFonts w:ascii="Times New Roman;sans-serif" w:hAnsi="Times New Roman;sans-serif"/>
          <w:b w:val="false"/>
          <w:color w:val="000000"/>
          <w:sz w:val="20"/>
        </w:rPr>
        <w:t>Transaction advisory fees and expenses were insignificant for both the three months ended March 31, 2025, and March 31, 2024. These expenses, when incurred, are primarily in relation to our strategic investment portfolio.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 xml:space="preserve">Financing interest expense on long-term borrowings. </w:t>
      </w:r>
      <w:r>
        <w:rPr>
          <w:rFonts w:ascii="Times New Roman;sans-serif" w:hAnsi="Times New Roman;sans-serif"/>
          <w:b w:val="false"/>
          <w:color w:val="000000"/>
          <w:sz w:val="20"/>
        </w:rPr>
        <w:t>Financing interest expense on long-term borrowings increased $6.7 million, or 28.9%, to $29.9 million for the three months ended March 31, 2025, compared to $23.2 million for the three months ended March 31, 2024.The increase was primarily attributable to the completion of the amortization of the amounts in AOCI related to the interest rate swaps terminated in December 2023 during February 2025, partially offset by the effect from lower overall interest rates as a result of rate cuts and our debt refinancing described in Note 9 “Borrowings”.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$34.1 million and 15.2% for the three months ended March 31, 2025, compared to $28.5 million and 20.4% for the three months ended March 31,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$723.7 million in Cash and cash equivalents. This balance is maintained primarily to support operating activities, for capital expenditures and for short-term access to liquidity, and for other general corporate purposes. As of March 31, 2025, we had borrowings under our prime brokerage credit facilities of approximately $158.1 million, borrowings under our broker dealer facilities of $110.0 million, and long-term debt outstanding in an aggregate principal amount of approximately $1,768.3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9 “Borrowings” of Part I Item 1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Short-term Liquidity and Capital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due to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limits, but we select financial institutions deemed highly credit worthy to minimize risk. We consider highly liquid investments with original maturities of less than three months, when acquired, to be cash equivalents.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Long-term Liquidity and Capital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 Receivable Agreements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we are required under the tax receivable agreements entered into in connection with our IPO to make payments to certain direct or indirect equity holders of Virtu Financial or their permitted assignees (collectively, “TRA Parties”)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TRA Parties described in Note 5 “Tax Receivable Agreements” of Part I Item 1 “Financial Statements” of this Quarterly Report on Form 10-Q are expected to range from approximately $0.1 million to $22.1 million per year over the next 15 years. Such payments will occur only after we have filed our U.S. federal and state income tax returns and realized the cash tax savings from the favorable tax attributes. We made payments totaling $134.8 million from February 2017 through March 2025. Future payments under the tax receivable agreements in respect of subsequent exchanges would be in addition to these amounts. We currently expect to fund these payments from realized cash tax savings from the favorable tax attributes.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tax receivable agreements, as a result of certain types of transactions and other factors, including a transaction resulting in a change of control, we may also be required to make payments to TRA Parties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Regulatory Capital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U.S. subsidiary, Virtu Americas LLC (“VAL”) is subject to separate regulation and capital requirements in the U.S. and other jurisdictions. VAL is a registered U.S. broker-dealer, and its primary regulators include the SEC and the Financial Industry Regulatory Authority (“FINRA”). In June 2023 our U.S. subsidiary RFQ-hub Americas LLC (“RAL”, which is currently held for sale, as described in Note 3 “Business Held for Sale”) became a registered U.S. broker-dealer and as such is subject to regulation and capital requirements from its primary regulators, the SEC and FINRA.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Company’s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Canadian subsidiaries, Virtu Canada Corp (f/k/a Virtu ITG Canada Corp.) and Virtu Financial Canada ULC, are subject to regulatory capital requirements and periodic requirements to report their regulatory capital and submit other regulatory reports set forth by the Canadian Investment Regulatory Organization. Effective January 22, 2025, Virtu Financial Canada ULC has resigned from membership with the Canadian Investment Regulatory Organization and is no longer subject to its regulatory requirements. Our Irish subsidiaries, Virtu Financial Ireland Limited (“VFIL”) and Virtu Europe Trading Limited (“VETL”) (f/k/a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21 “Regulatory Requirement” of Part I Item 1 “Financial Statements” of this Quarterly Report on Form 10-Q for a discussion of regulatory capital requirements of our regulated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Broker Dealer Credit Facilities, Short-Term Bank Loans, and 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various broker-dealer facilities and short-term credit facilities as part of our daily trading operations. See Note 9 “Borrowings” of Part I Item 1 “Financial Statements” of this Quarterly Report on Form 10-Q for details on our various credit facilities. As of March 31, 2025, there was an outstanding principal balance on our broker-dealer facilities of $110.0 million, and the outstanding aggregate short-term credit facilities with various prime brokers and other financial institutions from which the Company receives execution or clearing services was approximately $158.1 million, which was netted within Receivables from broker-dealers and clearing organizations on the Condensed Consolidated Statements of Financial Condition of Part I Item 1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w:t>
      </w:r>
      <w:r>
        <w:rPr>
          <w:color w:val="000000"/>
        </w:rPr>
        <w:t xml:space="preserve"> </w:t>
      </w:r>
      <w:r>
        <w:rPr>
          <w:rFonts w:ascii="Times New Roman;sans-serif" w:hAnsi="Times New Roman;sans-serif"/>
          <w:b w:val="false"/>
          <w:color w:val="000000"/>
          <w:sz w:val="20"/>
        </w:rPr>
        <w:t>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2019, the Company entered into a five-year $525.0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previous first lien term loan facility in relation to the ITG Acquisition at rates of 4.3% and 4.4% through September 2024 and January 2025, respectively.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Original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21, 2024 (the “Amendment No. 1 Effective Date”), the Company entered into Amendment No. 1 to the Original Credit Agreement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its entry into the First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current interest rate swap effectively fixed interest payment obligations on the $1,075.0 million of principal of the Term B-1 Loans at a rate of 7.17% through November 2025, based on the interest rates set forth in the First Amended Credit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19, 2025 (the “Amendment No. 2 Effective Date”), the Company entered into Amendment No. 2 to the First Amended Credit Agreement (“Amendment No. 2”). Amendment No. 2 amends the First Amended Credit Agreement (as amended, “Credit Agreement”) to, among other things, effect a repricing of the $1,245.0 million in aggregate principal amount of Term B-1 Loans by establishing a new refinancing tranche of $1,245.0 million in aggregate principal amount of Senior Secured First Lien Term B-2 Loans (the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interest rate swap effectively fixes interest payment obligations on the $1,075.0 million of principal of the Term B-2 Loans at a rate of 6.92% through November 2025, based on the interest rates set forth in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customary covenants and events of default, including relating to a change of control. If an event of default occurs and is continuing, the lenders under the Credit Agreement will be entitled to take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$1,245.0 million was outstanding under the current term loans. We were in compliance with all applicable covenants under the Credit Agreement as of March 31,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Secured First Lien Notes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Notes and the related guarantees are secured by first-priority perfected liens on substantially all of the Issuers’ and guarantors’ existing and future assets, subject to certain exceptions, including all material personal property, a pledge of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the Credit Agreement on a first-priority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June 15, 2027, we may redeem some or all of the Notes at a redemption price equal to 100% of the principal amount plus accrued and unpaid interest, if any, to (but not including) the date of redemption, plus an applicable “make whole” premium.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pStyle w:val="TextBody"/>
        <w:bidi w:val="0"/>
        <w:spacing w:before="0" w:after="0"/>
        <w:jc w:val="left"/>
        <w:rPr/>
      </w:pPr>
      <w:r>
        <w:rPr/>
      </w:r>
    </w:p>
    <w:tbl>
      <w:tblPr>
        <w:tblW w:w="2772" w:type="dxa"/>
        <w:jc w:val="center"/>
        <w:tblInd w:w="0" w:type="dxa"/>
        <w:tblLayout w:type="fixed"/>
        <w:tblCellMar>
          <w:top w:w="28" w:type="dxa"/>
          <w:left w:w="28" w:type="dxa"/>
          <w:bottom w:w="28" w:type="dxa"/>
          <w:right w:w="28" w:type="dxa"/>
        </w:tblCellMar>
      </w:tblPr>
      <w:tblGrid>
        <w:gridCol w:w="534"/>
        <w:gridCol w:w="471"/>
        <w:gridCol w:w="479"/>
        <w:gridCol w:w="109"/>
        <w:gridCol w:w="109"/>
        <w:gridCol w:w="109"/>
        <w:gridCol w:w="281"/>
        <w:gridCol w:w="281"/>
        <w:gridCol w:w="399"/>
      </w:tblGrid>
      <w:tr>
        <w:trPr/>
        <w:tc>
          <w:tcPr>
            <w:tcW w:w="5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103.750%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101.875%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100.000%</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Upon the occurrence of specified change of control events as defined in the Indenture, we must offer to repurchase the outstanding Notes at 101% of the aggregate principal amount, plus accrued and unpaid interest, if any, to (but excluding) the purchase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main sources of liquidity are cash flow from the operations of our subsidiaries, our broker-dealer credit facilities (as described above), margin financing provided by our prime brokers and cash on hand.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primary sources and uses of cash for the three months ended March 31, 2025 and 2024.</w:t>
      </w:r>
    </w:p>
    <w:p>
      <w:pPr>
        <w:pStyle w:val="TextBody"/>
        <w:bidi w:val="0"/>
        <w:spacing w:before="0" w:after="0"/>
        <w:jc w:val="left"/>
        <w:rPr/>
      </w:pPr>
      <w:r>
        <w:rPr/>
      </w:r>
    </w:p>
    <w:tbl>
      <w:tblPr>
        <w:tblW w:w="7529" w:type="dxa"/>
        <w:jc w:val="center"/>
        <w:tblInd w:w="0" w:type="dxa"/>
        <w:tblLayout w:type="fixed"/>
        <w:tblCellMar>
          <w:top w:w="28" w:type="dxa"/>
          <w:left w:w="28" w:type="dxa"/>
          <w:bottom w:w="28" w:type="dxa"/>
          <w:right w:w="28" w:type="dxa"/>
        </w:tblCellMar>
      </w:tblPr>
      <w:tblGrid>
        <w:gridCol w:w="1584"/>
        <w:gridCol w:w="1395"/>
        <w:gridCol w:w="1401"/>
        <w:gridCol w:w="109"/>
        <w:gridCol w:w="109"/>
        <w:gridCol w:w="109"/>
        <w:gridCol w:w="196"/>
        <w:gridCol w:w="811"/>
        <w:gridCol w:w="109"/>
        <w:gridCol w:w="109"/>
        <w:gridCol w:w="109"/>
        <w:gridCol w:w="109"/>
        <w:gridCol w:w="196"/>
        <w:gridCol w:w="811"/>
        <w:gridCol w:w="109"/>
        <w:gridCol w:w="109"/>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(426,054)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$15.0 million for the three months ended March 31, 2025, compared to net cash used in operating activities of $395.4 million for the three months ended March 31, 2024. The change in net cash provided by operating activities was primarily attributable to higher net income as well as movements in noncash adjustments for the three months ended March 31, 2025 compared to the prior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which includes cash used with respect to capitalized software and cash used in the acquisition of property and equipment, was $31.0 million for the three months ended March 31, 2025, compared with net cash used in investing activities of $27.5 million for the three months ended March 31, 2024. The change in net cash used in investing activities was primarily attributable to decreases in acquisition of property and equipment and other investing activities for the three months ended March 31,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$131.7 million for the three months ended March 31, 2025, compared to Net cash used in financing activities of $0.4 million for the three months ended March 31, 2024. The cash used in financing activities for the three months ended March 31, 2025 was primarily attributable to $1,245.0 million of net proceeds from long-term borrowings and $77.7 million of net proceeds from short-term borrowings, offset by $1,245.0 million of repayment of our previous long-term borrowings, $94.7 million in dividends to stockholders and distributions made to noncontrolling interests, and $88.9 million in purchases of treasury stock. The cash provided by financing activities of $0.4 million during the same period of 2024 primarily reflects $140.0 million of net proceeds from short-term borrowings, partially offset by $67.6 million net dividends to stockholders and distributions to noncontrolling interests and $51.8 million purchase of treasury stock.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2020, the Company’s Board of Directors authorized a new share repurchase program of up to $100.0 million in Class A common stock and Virtu Financial Units by December 31, 2021. Subsequently, the Company’s Board of Directors authorized expansions of the share repurchase program on February 11, 2021 to $170.0 million, on May 4, 2021 to $470.0 million (and extended the duration through May 4, 2022), on November 3, 2021 to $1,220.0 million (and extended the duration through November 3, 2023, and on November 2, 2023, further extended the program through December 31, 2024), and on April 24, 2024 to $1,720 million (and extended the duration through April 24,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2025, the Company repurchased approximately 51.6 million shares of Class A Common Stock and Virtu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Units for approximately $1,330.0 million. As of March 31, 2025, the Company has approximately of $390.0 million remaining capacity for future purchases of shares of Class A Common Stock and Virtu Financial Units under the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of Financial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1 — Unadjusted quoted prices in active markets that are accessible at the measurement date for identical, unrestricted assets or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2 — Quoted prices in markets that are not active and financial instruments for which all significant inputs are observable, either directly or indirectly; 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3 — Prices or valuations that require inputs that are both significant to the fair value measurement and unobservable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Condensed Consolidated Financial Statements. See Note 10 “Financial Assets and Liabilities” of Part I Item 1 “Financial Statements” of this Quarterly Report on Form 10-Q for further information about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Trading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Trading income, net, consists of trading gains and losses that are recorded on a trade date basis and reported on a net basis. Trading income, net, is primarily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Dividends Income/Interest and Dividends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Commissions, Net and Technology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net, which primarily comprise commissions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Workflow technology revenues consist of order and trade execution management and order routing services we provide through our front-end workflow solutions and network capabilities.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trade order routing from our execution management system (“EMS”) to our execution services offerings, with each trade order routed through the EMS representing a separate performance obligation, which is the trade date for that trade order routed,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commission value for each customer for the products and services it receives, which is priced using the value for similar stand-alone subscription arrangements; and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(ii)a calculated ratio of the commission value for the products and services relative to the total amount of commissions generated from the customer.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awards issued for compensation in connection with or subsequent to the Reorganization Transactions and the IPO pursuant to our Amended and Restated 2015 Management Incentive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wholly owned subsidiaries are subject to income taxes in foreign jurisdictions. The provision for income tax is composed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 Receivable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under the tax receivable agreements entered into in connection with our IPO to make payments to TRA Parties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general economic conditions;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limitations on accessing capital;</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fluctuations in foreign exchange rates or other developments in equity and credit markets;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 xml:space="preserve">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 </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cost factors such as increases in raw materials, labor, or other costs that have a negative effect on earnings and cash flows;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overall financial performance such as negative or declining cash flows or a decline in actual or planned revenue or earnings compared with actual and projected results of relevant prior periods;</w:t>
      </w:r>
    </w:p>
    <w:p>
      <w:pPr>
        <w:pStyle w:val="TextBody"/>
        <w:bidi w:val="0"/>
        <w:spacing w:lineRule="auto" w:line="288" w:before="0" w:after="0"/>
        <w:ind w:left="0" w:right="0" w:firstLine="360"/>
        <w:jc w:val="left"/>
        <w:rPr/>
      </w:pPr>
      <w:r>
        <w:rPr>
          <w:color w:val="000000"/>
        </w:rPr>
        <w:t>•</w:t>
      </w:r>
      <w:r>
        <w:rPr>
          <w:rFonts w:ascii="Times New Roman;sans-serif" w:hAnsi="Times New Roman;sans-serif"/>
          <w:b w:val="false"/>
          <w:color w:val="000000"/>
          <w:sz w:val="20"/>
        </w:rPr>
        <w:t xml:space="preserve">other relevant entity-specific events such as changes in management, key personnel, strategy, or customers, contemplation of bankruptcy, or litigation.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after assessing the totality of such events or circumstances, an entity determines that it is not more likely than not that the fair value of a reporting unit is less than its carrying amount, then no further goodwill impairment testing is necessary.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assess goodwill for impairment on an annual basis as of July 1st and on an interim basis when certain events or circumstances exist. In the impairment assessment as of July 1, 2024, we performed a qualitative assessment as described above for each reporting unit. No impairment of goodwill was identified.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w:t>
      </w:r>
      <w:r>
        <w:rPr>
          <w:color w:val="263238"/>
        </w:rPr>
        <w:t xml:space="preserve"> </w:t>
      </w:r>
      <w:r>
        <w:rPr>
          <w:rFonts w:ascii="Times New Roman;sans-serif" w:hAnsi="Times New Roman;sans-serif"/>
          <w:b w:val="false"/>
          <w:color w:val="000000"/>
          <w:sz w:val="20"/>
        </w:rPr>
        <w:t xml:space="preserve">We amortize finite-lived intangible assets over their estimated useful lives. Our largest finite-lived intangible asset is customer relationships, which is being amortized over an estimated useful life of ten to twelve years. Had we used a shorter estimated useful life of seven years, the Company would have recorded an additional $3.6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 million of amortization expense for the three months ended March 31, 2025 and 2024, respectively. We test finite-lived intangible assets for impairment when impairment indicators are present, and if impaired, they are written down to fair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 the ordinary course of business. The risks primarily relate to changes in the value of financial instruments due to factors such as market prices, interest rates, and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senior trading personnel, designated risk personnel and senior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maintain inventories of exchange-listed and other equity securities, and to a lesser extent, fixed income securities and listed equity options. The fair value of these financial instruments at March 31, 2025 and December 31, 2024 was $8.7 billion and $7.8 billion, respectively, in long positions and $8.1 billion and $6.4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 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Futures Contracts</w:t>
      </w:r>
      <w:r>
        <w:rPr>
          <w:rFonts w:ascii="Times New Roman;sans-serif" w:hAnsi="Times New Roman;sans-serif"/>
          <w:b w:val="false"/>
          <w:color w:val="000000"/>
          <w:sz w:val="20"/>
        </w:rPr>
        <w:t>. As part of our proprietary market making trading strategies, we use futures contracts to gain exposure to changes in values of 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Due from Broker-Dealers and Clearing Organizations</w:t>
      </w:r>
      <w:r>
        <w:rPr>
          <w:rFonts w:ascii="Times New Roman;sans-serif" w:hAnsi="Times New Roman;sans-serif"/>
          <w:b w:val="false"/>
          <w:color w:val="000000"/>
          <w:sz w:val="20"/>
        </w:rPr>
        <w:t>. Management periodically evaluates our counterparty credit exposures to various brokers and clearing organizations with a view to limiting potential losses resulting from counterparty insolvency.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15.4% and 18.8% of our total revenues for the three months ended March 31, 2025 and 2024, respectively, were denominated in non-U.S. dollar currencies. We estimate that a hypothetical 10% adverse change in the value of the U.S. dollar relative to our foreign denominated earnings would have resulted in decreases in total revenues of $12.9 million and $12.1 million for the three months ended March 31, 2025 and 2024,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Instruments with Off Balance Sheet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March 31, 2025. Based upon that evaluation, our Chief Executive Officer and Chief Financial Officer concluded that, as of March 31, 2025,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to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 13a-15(f) under the Exchange Act) occurred during the three months ended March 31, 2025 that has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set forth in the “Legal Proceedings” section in Note 16 “Commitments, Contingencies and Guarantees” to the Company’s Condensed Consolidated Financial Statements included in Part I Item 1 “Financial Statements”, which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described in Part I Item 1A. “Risk Factors” in our 2024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 During three months ended March 31, 2025, pursuant to the Exchange Agreement, certain current and former employees elected to exchange 350,858 units in Virtu Financial held directly or on their behalf by Virtu Employee Holdco LLC (“Employee Holdco”) on a one-for-one basis for shares of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share repurchases for the three months ended March 31, 2025 were as follows: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575"/>
        <w:gridCol w:w="396"/>
        <w:gridCol w:w="403"/>
        <w:gridCol w:w="109"/>
        <w:gridCol w:w="109"/>
        <w:gridCol w:w="109"/>
        <w:gridCol w:w="676"/>
        <w:gridCol w:w="447"/>
        <w:gridCol w:w="448"/>
        <w:gridCol w:w="109"/>
        <w:gridCol w:w="109"/>
        <w:gridCol w:w="109"/>
        <w:gridCol w:w="272"/>
        <w:gridCol w:w="773"/>
        <w:gridCol w:w="151"/>
        <w:gridCol w:w="109"/>
        <w:gridCol w:w="109"/>
        <w:gridCol w:w="109"/>
        <w:gridCol w:w="734"/>
        <w:gridCol w:w="734"/>
        <w:gridCol w:w="736"/>
        <w:gridCol w:w="109"/>
        <w:gridCol w:w="109"/>
        <w:gridCol w:w="109"/>
        <w:gridCol w:w="761"/>
        <w:gridCol w:w="738"/>
        <w:gridCol w:w="1053"/>
      </w:tblGrid>
      <w:tr>
        <w:trPr/>
        <w:tc>
          <w:tcPr>
            <w:tcW w:w="5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January 1, 2025 -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621,727 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395,437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$423,759,673</w:t>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February 1, 2025 -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1,001,161 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209,366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416,261,658</w:t>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March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717,080 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716,408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390,011,946</w:t>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Common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2,339,968 </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1,321,211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$390,011,946</w:t>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the repurchase of 1,018,757 shares from employees in order to satisfy statutory tax withholding requirements upon the net settlement of equity awards for the three months ended March 31,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2020, the Company announced that the Board of Directors had authorized a new share repurchase program of up to $100.0 million in Class A common stock and Virtu Financial Units by December 31, 2021. On February 11, 2021, the Company announced that the Board of Directors had authorized the expansion of the program by an additional $70 million in Class A Common Stock and Virtu Financial Units. On May 4, 2021, the Company announced that the Board of Directors had authorized the expansion of the Company's share repurchase program, increasing the total authorized amount by $300 million to $470 million in Class A Common Stock and Virtu Financial Units and extending the duration of the program through May 4, 2022. On November 3, 2021, the Company announced that the Board of Directors had authorized the expansion of the program by an additional $750 million to $1,220 million and extending the duration of the program through November 3, 2023, which was subsequently extended through December 31, 2024. On April 24, 2024, the Company announced that the Board of Directors had authorized the expansion of the program by an additional $500 million to $1,720 million and extended the duration through April 24, 2026.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2025, the Company repurchased approximately 51.6 million shares of Class A Common Stock and Virtu Financial Units for approximately $1,330.0 million. As of March 31, 2025, the Company has approximately $390.0 million remaining capacity for future purchases of shares of Class A Common Stock and Virtu Financial Units under the program.</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 director or “officer” (as defined in Rule 16a-1(f) under the Exchange Act) of the Company adopted, modified or terminated a "Rule 10b5-1 trading arrangement" or a “non-Rule 10b5-1 trading arrangement,” as each term is defined in Item 408(a) of Regulation S-K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603"/>
        <w:gridCol w:w="2472"/>
        <w:gridCol w:w="3527"/>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3527"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Second Amended and Restated Certificate of Incorporation of the Registrant (incorporated herein by reference to Exhibit 3.1 to the Company’s Quarterly Report on Form 10-Q (File No. 001-37352), filed on July 28, 2023).</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 of the Registrant (incorporated herein by reference to Exhibit 3.2 to the Company’s Quarterly Report on Form 10-Q, as amended (File No. 001-37352), filed on May 29, 2015).</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101q125.htm">
              <w:r>
                <w:rPr>
                  <w:rStyle w:val="InternetLink"/>
                  <w:rFonts w:ascii="Times New Roman;sans-serif" w:hAnsi="Times New Roman;sans-serif"/>
                  <w:b w:val="false"/>
                  <w:color w:val="000080"/>
                  <w:sz w:val="20"/>
                  <w:u w:val="single"/>
                </w:rPr>
                <w:t>Amendment No. 1 to the Amended and Restated Employee Agreement</w:t>
              </w:r>
            </w:hyperlink>
            <w:hyperlink w:anchor="exhibit101q125.htm">
              <w:r>
                <w:rPr>
                  <w:rStyle w:val="InternetLink"/>
                  <w:rFonts w:ascii="Times New Roman;sans-serif" w:hAnsi="Times New Roman;sans-serif"/>
                  <w:b w:val="false"/>
                  <w:color w:val="000080"/>
                  <w:sz w:val="20"/>
                  <w:u w:val="single"/>
                </w:rPr>
                <w:t>, dated as of February 26, 2025, by and between Virtu Financial Operati</w:t>
              </w:r>
            </w:hyperlink>
            <w:hyperlink w:anchor="exhibit101q125.htm">
              <w:r>
                <w:rPr>
                  <w:rStyle w:val="InternetLink"/>
                  <w:rFonts w:ascii="Times New Roman;sans-serif" w:hAnsi="Times New Roman;sans-serif"/>
                  <w:b w:val="false"/>
                  <w:color w:val="000080"/>
                  <w:sz w:val="20"/>
                  <w:u w:val="single"/>
                </w:rPr>
                <w:t>ng LLC and Joseph Molluso</w:t>
              </w:r>
            </w:hyperlink>
            <w:hyperlink w:anchor="exhibit101q125.htm">
              <w:r>
                <w:rPr>
                  <w:rStyle w:val="InternetLink"/>
                  <w:rFonts w:ascii="Times New Roman;sans-serif" w:hAnsi="Times New Roman;sans-serif"/>
                  <w:b w:val="false"/>
                  <w:color w:val="000080"/>
                  <w:sz w:val="20"/>
                  <w:u w:val="single"/>
                </w:rPr>
                <w:t>.</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102q125.htm">
              <w:r>
                <w:rPr>
                  <w:rStyle w:val="InternetLink"/>
                  <w:rFonts w:ascii="Times New Roman;sans-serif" w:hAnsi="Times New Roman;sans-serif"/>
                  <w:b w:val="false"/>
                  <w:color w:val="000080"/>
                  <w:sz w:val="20"/>
                  <w:u w:val="single"/>
                </w:rPr>
                <w:t xml:space="preserve">Amendment No. 1 to the Amended and Restated Employee Agreement, dated as of February 26, 2025, by and between Virtu Financial Operating LLC and </w:t>
              </w:r>
            </w:hyperlink>
            <w:hyperlink w:anchor="exhibit102q125.htm">
              <w:r>
                <w:rPr>
                  <w:rStyle w:val="InternetLink"/>
                  <w:rFonts w:ascii="Times New Roman;sans-serif" w:hAnsi="Times New Roman;sans-serif"/>
                  <w:b w:val="false"/>
                  <w:color w:val="000080"/>
                  <w:sz w:val="20"/>
                  <w:u w:val="single"/>
                </w:rPr>
                <w:t>Ste</w:t>
              </w:r>
            </w:hyperlink>
            <w:hyperlink w:anchor="exhibit102q125.htm">
              <w:r>
                <w:rPr>
                  <w:rStyle w:val="InternetLink"/>
                  <w:rFonts w:ascii="Times New Roman;sans-serif" w:hAnsi="Times New Roman;sans-serif"/>
                  <w:b w:val="false"/>
                  <w:color w:val="000080"/>
                  <w:sz w:val="20"/>
                  <w:u w:val="single"/>
                </w:rPr>
                <w:t>phen</w:t>
              </w:r>
            </w:hyperlink>
            <w:hyperlink w:anchor="exhibit102q125.htm">
              <w:r>
                <w:rPr>
                  <w:rStyle w:val="InternetLink"/>
                  <w:rFonts w:ascii="Times New Roman;sans-serif" w:hAnsi="Times New Roman;sans-serif"/>
                  <w:b w:val="false"/>
                  <w:color w:val="000080"/>
                  <w:sz w:val="20"/>
                  <w:u w:val="single"/>
                </w:rPr>
                <w:t xml:space="preserve"> Cavoli</w:t>
              </w:r>
            </w:hyperlink>
            <w:hyperlink w:anchor="exhibit102q125.htm">
              <w:r>
                <w:rPr>
                  <w:rStyle w:val="InternetLink"/>
                  <w:rFonts w:ascii="Times New Roman;sans-serif" w:hAnsi="Times New Roman;sans-serif"/>
                  <w:b w:val="false"/>
                  <w:color w:val="000080"/>
                  <w:sz w:val="20"/>
                  <w:u w:val="single"/>
                </w:rPr>
                <w:t>.</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No. 2, dated February 19, 2025, to the Credit Agreement, dated January 13, 2022 (as amended by Amendment No. 1, dated June 21, 2024), among Virtu Financial LLC, as Holdings, VFH Parent LLC, as Borrower, the Lenders, and JPMorgan Chase Bank, N.A., as Administrative Agent (incorporated herein by reference to Exhibit 10.45 to the Company’s Annual Report on Form 10-K (File No. 001-37352) filed on February 21, 2025).</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1q125.htm">
              <w:r>
                <w:rPr>
                  <w:rStyle w:val="InternetLink"/>
                  <w:rFonts w:ascii="Times New Roman;sans-serif" w:hAnsi="Times New Roman;sans-serif"/>
                  <w:b w:val="false"/>
                  <w:color w:val="0000FF"/>
                  <w:sz w:val="20"/>
                  <w:u w:val="single"/>
                </w:rPr>
                <w:t>Certification of Chief Executive Officer required by Rule 13a-14(a)/15d-14(a) under the Securities Exchange Act of 1934, as amended, as adopted pursuant to Section 302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2q125.htm">
              <w:r>
                <w:rPr>
                  <w:rStyle w:val="InternetLink"/>
                  <w:rFonts w:ascii="Times New Roman;sans-serif" w:hAnsi="Times New Roman;sans-serif"/>
                  <w:b w:val="false"/>
                  <w:color w:val="0000FF"/>
                  <w:sz w:val="20"/>
                  <w:u w:val="single"/>
                </w:rPr>
                <w:t>Certification of Chief Financial Officer required by Rule 13a-14(a)/15d-14(a) under the Securities Exchange Act of 1934, as amended, as adopted pursuant to Section 302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1q125.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2q125.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Document</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873" w:type="dxa"/>
        <w:jc w:val="center"/>
        <w:tblInd w:w="0" w:type="dxa"/>
        <w:tblLayout w:type="fixed"/>
        <w:tblCellMar>
          <w:top w:w="28" w:type="dxa"/>
          <w:left w:w="28" w:type="dxa"/>
          <w:bottom w:w="28" w:type="dxa"/>
          <w:right w:w="28" w:type="dxa"/>
        </w:tblCellMar>
      </w:tblPr>
      <w:tblGrid>
        <w:gridCol w:w="249"/>
        <w:gridCol w:w="220"/>
        <w:gridCol w:w="221"/>
        <w:gridCol w:w="429"/>
        <w:gridCol w:w="429"/>
        <w:gridCol w:w="431"/>
        <w:gridCol w:w="275"/>
        <w:gridCol w:w="275"/>
        <w:gridCol w:w="275"/>
        <w:gridCol w:w="603"/>
        <w:gridCol w:w="603"/>
        <w:gridCol w:w="863"/>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Virtu Financial,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Cindy Lee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Cindy Lee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center"/>
        <w:rPr/>
      </w:pPr>
      <w:bookmarkStart w:id="0" w:name="exhibit101q125.htm"/>
      <w:bookmarkStart w:id="1" w:name="ksexhibit101q125"/>
      <w:bookmarkEnd w:id="0"/>
      <w:bookmarkEnd w:id="1"/>
      <w:r>
        <w:rPr/>
        <w:drawing>
          <wp:inline distT="0" distB="0" distL="0" distR="0">
            <wp:extent cx="10048875" cy="13001625"/>
            <wp:effectExtent l="0" t="0" r="0" b="0"/>
            <wp:docPr id="8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jc w:val="center"/>
        <w:rPr>
          <w:color w:val="FFFFFF"/>
          <w:sz w:val="2"/>
        </w:rPr>
      </w:pPr>
      <w:r>
        <w:rPr>
          <w:color w:val="FFFFFF"/>
          <w:sz w:val="2"/>
        </w:rPr>
        <w:t xml:space="preserve">t: 1 212 418 0100 f: 1 212 418 0123 www.virtu.com Virtu Financial Operating LLC 1633 Broadway New York, NY 10019 Amendment No. 1 to Employment Agreement This Amendment No. 1, effective February 26 entered into by and between Virtu Financial Operating LLC, a Delaware limited liability company (together with all parents, affiliates and subsidiaries as the "Company"), and Joseph Molluso , and amends the Amended and Restated December 1, 2022, between the Company and the Executive. WHEREAS, the Company and Executive are party to the Agreement and desire to amend the Agreement by extending the Term and the Initial Expiration Date as herein provided; and NOW, THEREFORE, in consideration of the mutual agreements, provisions and covenants contained herein, and intending to be legally bound hereby, the parties hereto agree as set forth below: 1. Section 1(a) of the Agreement is hereby amended and restated in its entirety to read as follows, with changes reflected in bold and underlined: 1. Term. a. under this Agreement shall continue from the Effective Date until February 28, 2028 employment under this Agreement shall be extended for one (1) additional year unless either party provides written notice to the other party at least ninety (90) days prior to the Initial Expiration t under this Agreement shall terminate on the Initial Expiration Date or expiration of the extended term, as applicable); provided, however, that provisions of Section 5. The period of time from the Effective Date through the termination of this al Expiration Date or Change in Control, the Expiration Date is less than one (1) year from the date of such Change in Control, the Term shall automatically be renewed so that the Expiration Date is one (1) year from the effective date of such Change in Control. 2. Except as specifically provided by this Amendment, the Agreement shall remain in full force and effect in all other respects, subject to any other amendments that may be adopted from time to time. 3. The Company and the Executive represent and agree that each has reviewed all aspects of this Amendment, has carefully read and fully understands all provisions of this Amendment, and is voluntarily entering into this Amendment. Each party represents and agrees that such party has had the opportunity to before executing this Amendment. 4. This Amendment may be executed by either of the parties hereto in counterparts, each of which shall be deemed to be an original Amendment, but all such counterparts shall together constitute one and the same instrument. Signatures to this Amendment transmitted by facsimile transmission, by electronic mail in original graphic and pictorial appearance of a document, will have the same effect as physical delivery of the paper document bearing the original signature.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This Agreement has been duly executed by the parties as of the date first written above. VIRTU FINANCIAL OPERATING LLC By: Name: Douglas A. Cifu Title: Chief Executive Officer EXECUTIVE By: Name: Joseph Molluso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102q125.htm"/>
      <w:bookmarkStart w:id="3" w:name="ksexhibit102q125"/>
      <w:bookmarkEnd w:id="2"/>
      <w:bookmarkEnd w:id="3"/>
      <w:r>
        <w:rPr/>
        <w:drawing>
          <wp:inline distT="0" distB="0" distL="0" distR="0">
            <wp:extent cx="10048875" cy="13001625"/>
            <wp:effectExtent l="0" t="0" r="0" b="0"/>
            <wp:docPr id="8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 1 212 418 0100 f: 1 212 418 0123 www.virtu.com Virtu Financial Operating LLC 1633 Broadway New York, NY 10019 Amendment No. 1 to Employment Agreement This Amendment No. 1, effective February 26 entered into by and between Virtu Financial Operating LLC, a Delaware limited liability company (together with all parents, affiliates and subsidiaries as the "Company"), and Stephen Cavoli , and amends the Amended and Restated December 1, 2022, between the Company and the Executive. WHEREAS, the Company and Executive are party to the Agreement and desire to amend the Agreement by extending the Term and the Initial Expiration Date as herein provided; and NOW, THEREFORE, in consideration of the mutual agreements, provisions and covenants contained herein, and intending to be legally bound hereby, the parties hereto agree as set forth below: 1. Section 1(a) of the Agreement is hereby amended and restated in its entirety to read as follows, with changes reflected in bold and underlined: 1. Term. a. under this Agreement shall continue from the Effective Date until February 28, 2028 employment under this Agreement shall be extended for one (1) additional year unless either party provides written notice to the other party at least ninety (90) days prior to the Initial Expiration t under this Agreement shall terminate on the Initial Expiration Date or expiration of the extended term, as applicable); provided, however, that provisions of Section 5. The period of time from the Effective Date through the termination of this al Expiration Date or Change in Control, the Expiration Date is less than one (1) year from the date of such Change in Control, the Term shall automatically be renewed so that the Expiration Date is one (1) year from the effective date of such Change in Control. 2. Except as specifically provided by this Amendment, the Agreement shall remain in full force and effect in all other respects, subject to any other amendments that may be adopted from time to time. 3. The Company and the Executive represent and agree that each has reviewed all aspects of this Amendment, has carefully read and fully understands all provisions of this Amendment, and is voluntarily entering into this Amendment. Each party represents and agrees that such party has had the opportunity to before executing this Amendment. 4. This Amendment may be executed by either of the parties hereto in counterparts, each of which shall be deemed to be an original Amendment, but all such counterparts shall together constitute one and the same instrument. Signatures to this Amendment transmitted by facsimile transmission, by electronic mail in original graphic and pictorial appearance of a document, will have the same effect as physical delivery of the paper document bearing the original signature.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This Agreement has been duly executed by the parties as of the date first written above. VIRTU FINANCIAL OPERATING LLC By: Name: Douglas A. Cifu Title: Chief Executive Officer EXECUTIVE By: Name: Stephen Cavoli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CEO CERTIFICATION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302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Douglas A. Cifu,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ending March 31, 2025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57"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603"/>
        <w:gridCol w:w="603"/>
        <w:gridCol w:w="863"/>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CFO CERTIFICATION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302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Cindy Lee,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ending March 31, 2025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162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98"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588"/>
        <w:gridCol w:w="588"/>
        <w:gridCol w:w="83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Cindy Lee</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Cindy Lee</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Virtu Financial, Inc. (the “Company”) for the period ended March 31, 2025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pStyle w:val="TextBody"/>
        <w:bidi w:val="0"/>
        <w:spacing w:before="0" w:after="0"/>
        <w:ind w:left="0" w:right="0" w:firstLine="12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ind w:left="0" w:right="0" w:firstLine="1260"/>
        <w:jc w:val="center"/>
        <w:rPr>
          <w:color w:val="000000"/>
        </w:rPr>
      </w:pPr>
      <w:r>
        <w:rPr>
          <w:color w:val="000000"/>
        </w:rPr>
        <w:t> </w:t>
      </w:r>
    </w:p>
    <w:tbl>
      <w:tblPr>
        <w:tblW w:w="2411" w:type="dxa"/>
        <w:jc w:val="left"/>
        <w:tblInd w:w="0" w:type="dxa"/>
        <w:tblLayout w:type="fixed"/>
        <w:tblCellMar>
          <w:top w:w="28" w:type="dxa"/>
          <w:left w:w="28" w:type="dxa"/>
          <w:bottom w:w="28" w:type="dxa"/>
          <w:right w:w="28" w:type="dxa"/>
        </w:tblCellMar>
      </w:tblPr>
      <w:tblGrid>
        <w:gridCol w:w="124"/>
        <w:gridCol w:w="109"/>
        <w:gridCol w:w="109"/>
        <w:gridCol w:w="603"/>
        <w:gridCol w:w="603"/>
        <w:gridCol w:w="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A. Cifu</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A. Cifu</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Virtu Financial, Inc. (the “Company”) for the period ended March 31, 2025 as filed with the Securities and Exchange Commission on the date hereof (the “Report”), I, Cindy Lee, certify, pursuant to 18 U.S.C. Section 1350, as adopted pursuant to Section 906 of the Sarbanes-Oxley Act of 2002, in my capacity as an officer of the Company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352" w:type="dxa"/>
        <w:jc w:val="left"/>
        <w:tblInd w:w="0" w:type="dxa"/>
        <w:tblLayout w:type="fixed"/>
        <w:tblCellMar>
          <w:top w:w="28" w:type="dxa"/>
          <w:left w:w="28" w:type="dxa"/>
          <w:bottom w:w="28" w:type="dxa"/>
          <w:right w:w="28" w:type="dxa"/>
        </w:tblCellMar>
      </w:tblPr>
      <w:tblGrid>
        <w:gridCol w:w="124"/>
        <w:gridCol w:w="109"/>
        <w:gridCol w:w="109"/>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Cindy Lee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Cindy Lee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2025</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2386/000159238623000053/exhibit31q223.htm" TargetMode="External"/><Relationship Id="rId3" Type="http://schemas.openxmlformats.org/officeDocument/2006/relationships/hyperlink" Target="https://www.sec.gov/Archives/edgar/data/1592386/000110465915042100/a15-8228_1ex3d2.htm" TargetMode="External"/><Relationship Id="rId4" Type="http://schemas.openxmlformats.org/officeDocument/2006/relationships/hyperlink" Target="https://www.sec.gov/Archives/edgar/data/1592386/000159238625000055/exhibit1045q424.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2.jpeg"/><Relationship Id="rId10" Type="http://schemas.openxmlformats.org/officeDocument/2006/relationships/image" Target="media/image5.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44350</Words>
  <Characters>248618</Characters>
  <CharactersWithSpaces>290937</CharactersWithSpaces>
  <Paragraphs>5388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exhibit102q125</dc:title>
</cp:coreProperties>
</file>