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10,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VIRTU FINANCIAL,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27"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001-37352</w:t>
      </w:r>
    </w:p>
    <w:p>
      <w:pPr>
        <w:spacing w:after="0" w:line="3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7"/>
          <w:szCs w:val="17"/>
          <w:color w:val="auto"/>
        </w:rPr>
        <w:t>(Commission File No.)</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32-0420206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80" w:space="720"/>
            <w:col w:w="3260" w:space="720"/>
            <w:col w:w="2460"/>
          </w:cols>
          <w:pgMar w:left="320" w:top="727"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1633 Broadway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10019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418-0100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727" w:right="339" w:bottom="1440" w:gutter="0" w:footer="0" w:header="0"/>
          <w:type w:val="continuous"/>
        </w:sectPr>
      </w:pPr>
    </w:p>
    <w:p>
      <w:pPr>
        <w:spacing w:after="0" w:line="23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32"/>
        </w:trPr>
        <w:tc>
          <w:tcPr>
            <w:tcW w:w="452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$0.00001 per share</w:t>
            </w:r>
          </w:p>
        </w:tc>
        <w:tc>
          <w:tcPr>
            <w:tcW w:w="24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VIRT</w:t>
            </w:r>
          </w:p>
        </w:tc>
        <w:tc>
          <w:tcPr>
            <w:tcW w:w="22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198"/>
        </w:trPr>
        <w:tc>
          <w:tcPr>
            <w:tcW w:w="4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r>
      <w:tr>
        <w:trPr>
          <w:trHeight w:val="28"/>
        </w:trPr>
        <w:tc>
          <w:tcPr>
            <w:tcW w:w="4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675"/>
        </w:trPr>
        <w:tc>
          <w:tcPr>
            <w:tcW w:w="4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10, 2026, Virtu Financial, Inc. (the “Company”) held its 2026 annual meeting of stockholders (the “2026 Annual Meeting”). The following items were voted upon by stockholders at the 2026 Annual Meeting:</w:t>
      </w:r>
    </w:p>
    <w:p>
      <w:pPr>
        <w:spacing w:after="0" w:line="162" w:lineRule="exact"/>
        <w:rPr>
          <w:sz w:val="20"/>
          <w:szCs w:val="20"/>
          <w:color w:val="auto"/>
        </w:rPr>
      </w:pPr>
    </w:p>
    <w:p>
      <w:pPr>
        <w:jc w:val="both"/>
        <w:ind w:firstLine="8"/>
        <w:spacing w:after="0" w:line="266" w:lineRule="auto"/>
        <w:tabs>
          <w:tab w:leader="none" w:pos="18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director nominees listed below was elected a Class II director of the Company to act in accordance with the amended and restated bylaws of the Company for a term of three years expiring at the annual meeting of stockholders to be held in 2029 and until such director's successor has been duly elected and qualified. The votes for the election of directors are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70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For</w:t>
            </w:r>
          </w:p>
        </w:tc>
        <w:tc>
          <w:tcPr>
            <w:tcW w:w="268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4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Aaron Simons</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w w:val="97"/>
              </w:rPr>
              <w:t>671,181,435</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776,474</w:t>
            </w:r>
          </w:p>
        </w:tc>
        <w:tc>
          <w:tcPr>
            <w:tcW w:w="2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8,140,313</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J. Grano, Jr.</w:t>
            </w:r>
          </w:p>
        </w:tc>
        <w:tc>
          <w:tcPr>
            <w:tcW w:w="270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655,260,181</w:t>
            </w:r>
          </w:p>
        </w:tc>
        <w:tc>
          <w:tcPr>
            <w:tcW w:w="2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16,697,728</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8,140,313</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Joanne M. Minieri</w:t>
            </w:r>
          </w:p>
        </w:tc>
        <w:tc>
          <w:tcPr>
            <w:tcW w:w="270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645,673,037</w:t>
            </w:r>
          </w:p>
        </w:tc>
        <w:tc>
          <w:tcPr>
            <w:tcW w:w="2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26,284,872</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8,140,313</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compensation of the Company’s named executive officers was approved, on an advisory basis. The advisory votes are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9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5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663,861,829</w:t>
            </w:r>
          </w:p>
        </w:tc>
        <w:tc>
          <w:tcPr>
            <w:tcW w:w="2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8,042,616</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53,464</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8,140,313</w:t>
            </w:r>
          </w:p>
        </w:tc>
      </w:tr>
    </w:tbl>
    <w:p>
      <w:pPr>
        <w:spacing w:after="0" w:line="198" w:lineRule="exact"/>
        <w:rPr>
          <w:sz w:val="20"/>
          <w:szCs w:val="20"/>
          <w:color w:val="auto"/>
        </w:rPr>
      </w:pPr>
    </w:p>
    <w:p>
      <w:pPr>
        <w:ind w:right="20" w:firstLine="8"/>
        <w:spacing w:after="0" w:line="282" w:lineRule="auto"/>
        <w:tabs>
          <w:tab w:leader="none" w:pos="18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PricewaterhouseCoopers LLP as the Company’s independent registered public accounting firm for the fiscal year ending December 31, 2026 was ratified. The votes for the ratification of the appointment of PricewaterhouseCoopers LLP are set forth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0" w:type="dxa"/>
            <w:vAlign w:val="bottom"/>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0"/>
        </w:trPr>
        <w:tc>
          <w:tcPr>
            <w:tcW w:w="3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679,397,651</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659,952</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40,619</w:t>
            </w:r>
          </w:p>
        </w:tc>
      </w:tr>
      <w:tr>
        <w:trPr>
          <w:trHeight w:val="648"/>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171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VIRTU FINANCIAL,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JUSTIN WALDIE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Justin Waldie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i w:val="1"/>
          <w:iCs w:val="1"/>
          <w:color w:val="auto"/>
        </w:rPr>
        <w:t>Senior Vice President, Secretary and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10, 2026</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80"/>
      </w:cols>
      <w:pgMar w:left="320" w:top="90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2026-06-10T15:18:08Z</dcterms:created>
  <dcterms:modified xsi:type="dcterms:W3CDTF">2026-06-10T15:18:08Z</dcterms:modified>
</cp:coreProperties>
</file>