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796d3_defa14a.htm"/>
      <w:bookmarkStart w:id="1" w:name="kstm242796d3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&amp;numsp;&amp;numsp;)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305"/>
        <w:gridCol w:w="6710"/>
      </w:tblGrid>
      <w:tr>
        <w:trPr/>
        <w:tc>
          <w:tcPr>
            <w:tcW w:w="30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30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30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30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30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Virtu Financial, Inc.</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Fee paid previously with preliminary materials:</w:t>
            </w:r>
          </w:p>
        </w:tc>
      </w:tr>
    </w:tbl>
    <w:p>
      <w:pPr>
        <w:pStyle w:val="TextBody"/>
        <w:bidi w:val="0"/>
        <w:spacing w:before="0" w:after="283"/>
        <w:jc w:val="left"/>
        <w:rPr/>
      </w:pPr>
      <w:r>
        <w:rPr/>
        <w:t> </w:t>
      </w:r>
    </w:p>
    <w:tbl>
      <w:tblPr>
        <w:tblW w:w="9955" w:type="dxa"/>
        <w:jc w:val="left"/>
        <w:tblInd w:w="0" w:type="dxa"/>
        <w:tblLayout w:type="fixed"/>
        <w:tblCellMar>
          <w:top w:w="0" w:type="dxa"/>
          <w:left w:w="0" w:type="dxa"/>
          <w:bottom w:w="0" w:type="dxa"/>
          <w:right w:w="0" w:type="dxa"/>
        </w:tblCellMar>
      </w:tblPr>
      <w:tblGrid>
        <w:gridCol w:w="245"/>
        <w:gridCol w:w="9710"/>
      </w:tblGrid>
      <w:tr>
        <w:trPr/>
        <w:tc>
          <w:tcPr>
            <w:tcW w:w="245"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Fee computed on table in exhibit required by Item 25(b) per Exchange Act Rules 14a6(i)(1)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center"/>
        <w:tblInd w:w="0" w:type="dxa"/>
        <w:tblLayout w:type="fixed"/>
        <w:tblCellMar>
          <w:top w:w="0" w:type="dxa"/>
          <w:left w:w="0" w:type="dxa"/>
          <w:bottom w:w="0" w:type="dxa"/>
          <w:right w:w="0" w:type="dxa"/>
        </w:tblCellMar>
      </w:tblPr>
      <w:tblGrid>
        <w:gridCol w:w="9628"/>
        <w:gridCol w:w="577"/>
      </w:tblGrid>
      <w:tr>
        <w:trPr/>
        <w:tc>
          <w:tcPr>
            <w:tcW w:w="9628" w:type="dxa"/>
            <w:tcBorders/>
          </w:tcPr>
          <w:p>
            <w:pPr>
              <w:pStyle w:val="TableContents"/>
              <w:bidi w:val="0"/>
              <w:spacing w:before="0" w:after="0"/>
              <w:ind w:left="0" w:right="0" w:hanging="0"/>
              <w:jc w:val="center"/>
              <w:rPr/>
            </w:pPr>
            <w:r>
              <w:rPr/>
              <w:drawing>
                <wp:inline distT="0" distB="0" distL="0" distR="0">
                  <wp:extent cx="3881755" cy="48780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81755" cy="4878070"/>
                          </a:xfrm>
                          <a:prstGeom prst="rect">
                            <a:avLst/>
                          </a:prstGeom>
                        </pic:spPr>
                      </pic:pic>
                    </a:graphicData>
                  </a:graphic>
                </wp:inline>
              </w:drawing>
            </w:r>
          </w:p>
        </w:tc>
        <w:tc>
          <w:tcPr>
            <w:tcW w:w="57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*Please check the meeting materials for any special requirements for meeting attendance. Smartphone users Point your camera here and vote without entering a control number For complete information and to vote, visit www.ProxyVote.com Control # V46028-P12137 VIRTU FINANCIAL, INC. 1633 BROADWAY NEW YORK, NY 10019 VIRTU FINANCIAL, INC. 2024 Annual Meeting Vote by June 5, 2024 11:59 PM ET You invested in VIRTU FINANCIAL, INC. and it’s time to vote! You have the right to vote on proposals being presented at the Annual Meeting. This is an important notice regarding the availability of proxy materials for the stockholder meeting to be held on June 6, 2024. Vote Virtually at the Meeting* June 6, 2024 9:00 AM ET Virtually at: www.virtualshareholdermeeting.com/VIRT2024 Get informed before you vote View the Notice and Proxy Statement and Annual Report online OR you can receive a free paper or email copy of the material(s) by requesting prior to May 23,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tc>
      </w:tr>
    </w:tbl>
    <w:tbl>
      <w:tblPr>
        <w:tblW w:w="13010" w:type="dxa"/>
        <w:jc w:val="center"/>
        <w:tblInd w:w="0" w:type="dxa"/>
        <w:tblLayout w:type="fixed"/>
        <w:tblCellMar>
          <w:top w:w="0" w:type="dxa"/>
          <w:left w:w="0" w:type="dxa"/>
          <w:bottom w:w="0" w:type="dxa"/>
          <w:right w:w="0" w:type="dxa"/>
        </w:tblCellMar>
      </w:tblPr>
      <w:tblGrid>
        <w:gridCol w:w="12735"/>
        <w:gridCol w:w="27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Vote at www.ProxyVote.com Prefer to receive an email instead? While voting on www.ProxyVote.com, be sure to click “Delivery Settings”. Voting Items Board Recommends V46029-P12137 THIS IS NOT A VOTABLE BALLOT This is an overview of the proposals being presented at the upcoming stockholder meeting. Please follow the instructions on the reverse side to vote these important matters. 1. Election of Directors For Nominees: 01) Virginia Gambale 02) John D. Nixon 03) David J. Urban 04) Michael T. Viola 2. Advisory Vote to Approve Compensation of Named Executive Officers. For 3. Proposal to ratify the appointment of PricewaterhouseCoopers LLP as the Company’s independent registered public accounting firm for fiscal year ending December 31, 2024. For NOTE: In their discretion, the proxies are authorized to vote on such other business as may properly come before the Annual Meeting or any postponement(s) and adjournment(s)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493</Words>
  <Characters>2677</Characters>
  <CharactersWithSpaces>3164</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