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214630</wp:posOffset>
            </wp:positionH>
            <wp:positionV relativeFrom="page">
              <wp:posOffset>662940</wp:posOffset>
            </wp:positionV>
            <wp:extent cx="7119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687705</wp:posOffset>
            </wp:positionV>
            <wp:extent cx="7119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96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4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97" w:lineRule="exact"/>
        <w:rPr>
          <w:sz w:val="24"/>
          <w:szCs w:val="24"/>
          <w:color w:val="auto"/>
        </w:rPr>
      </w:pPr>
    </w:p>
    <w:p>
      <w:pPr>
        <w:jc w:val="center"/>
        <w:ind w:left="3940" w:right="1160" w:hanging="2875"/>
        <w:spacing w:after="0" w:line="289" w:lineRule="auto"/>
        <w:tabs>
          <w:tab w:leader="none" w:pos="126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 (d) OF THE SECURITIES EXCHANGE ACT OF 1934 For the quarterly period ended June 30, 2022</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66" w:lineRule="exact"/>
        <w:rPr>
          <w:sz w:val="24"/>
          <w:szCs w:val="24"/>
          <w:color w:val="auto"/>
        </w:rPr>
      </w:pPr>
    </w:p>
    <w:p>
      <w:pPr>
        <w:ind w:left="1260" w:hanging="201"/>
        <w:spacing w:after="0"/>
        <w:tabs>
          <w:tab w:leader="none" w:pos="12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 (d) OF THE SECURITIES EXCHANGE ACT OF 1934</w:t>
      </w:r>
    </w:p>
    <w:p>
      <w:pPr>
        <w:spacing w:after="0" w:line="36"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2680" w:type="dxa"/>
            <w:vAlign w:val="bottom"/>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460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13"/>
        </w:trPr>
        <w:tc>
          <w:tcPr>
            <w:tcW w:w="3540" w:type="dxa"/>
            <w:vAlign w:val="bottom"/>
          </w:tcPr>
          <w:p>
            <w:pPr>
              <w:spacing w:after="0"/>
              <w:rPr>
                <w:sz w:val="18"/>
                <w:szCs w:val="18"/>
                <w:color w:val="auto"/>
              </w:rPr>
            </w:pPr>
          </w:p>
        </w:tc>
        <w:tc>
          <w:tcPr>
            <w:tcW w:w="7280" w:type="dxa"/>
            <w:vAlign w:val="bottom"/>
            <w:gridSpan w:val="6"/>
          </w:tcPr>
          <w:p>
            <w:pPr>
              <w:jc w:val="center"/>
              <w:ind w:right="3788"/>
              <w:spacing w:after="0"/>
              <w:rPr>
                <w:sz w:val="20"/>
                <w:szCs w:val="20"/>
                <w:color w:val="auto"/>
              </w:rPr>
            </w:pPr>
            <w:r>
              <w:rPr>
                <w:rFonts w:ascii="Times New Roman" w:cs="Times New Roman" w:eastAsia="Times New Roman" w:hAnsi="Times New Roman"/>
                <w:sz w:val="17"/>
                <w:szCs w:val="17"/>
                <w:b w:val="1"/>
                <w:bCs w:val="1"/>
                <w:color w:val="auto"/>
              </w:rPr>
              <w:t>Commission file number: 001-37352</w:t>
            </w:r>
          </w:p>
        </w:tc>
      </w:tr>
      <w:tr>
        <w:trPr>
          <w:trHeight w:val="297"/>
        </w:trPr>
        <w:tc>
          <w:tcPr>
            <w:tcW w:w="3540" w:type="dxa"/>
            <w:vAlign w:val="bottom"/>
          </w:tcPr>
          <w:p>
            <w:pPr>
              <w:spacing w:after="0"/>
              <w:rPr>
                <w:sz w:val="24"/>
                <w:szCs w:val="24"/>
                <w:color w:val="auto"/>
              </w:rPr>
            </w:pPr>
          </w:p>
        </w:tc>
        <w:tc>
          <w:tcPr>
            <w:tcW w:w="7280" w:type="dxa"/>
            <w:vAlign w:val="bottom"/>
            <w:gridSpan w:val="6"/>
          </w:tcPr>
          <w:p>
            <w:pPr>
              <w:jc w:val="center"/>
              <w:ind w:right="3808"/>
              <w:spacing w:after="0"/>
              <w:rPr>
                <w:sz w:val="20"/>
                <w:szCs w:val="20"/>
                <w:color w:val="auto"/>
              </w:rPr>
            </w:pPr>
            <w:r>
              <w:rPr>
                <w:rFonts w:ascii="Times New Roman" w:cs="Times New Roman" w:eastAsia="Times New Roman" w:hAnsi="Times New Roman"/>
                <w:sz w:val="24"/>
                <w:szCs w:val="24"/>
                <w:b w:val="1"/>
                <w:bCs w:val="1"/>
                <w:color w:val="auto"/>
              </w:rPr>
              <w:t>Virtu Financial, Inc.</w:t>
            </w:r>
          </w:p>
        </w:tc>
      </w:tr>
      <w:tr>
        <w:trPr>
          <w:trHeight w:val="159"/>
        </w:trPr>
        <w:tc>
          <w:tcPr>
            <w:tcW w:w="3540" w:type="dxa"/>
            <w:vAlign w:val="bottom"/>
          </w:tcPr>
          <w:p>
            <w:pPr>
              <w:spacing w:after="0"/>
              <w:rPr>
                <w:sz w:val="13"/>
                <w:szCs w:val="13"/>
                <w:color w:val="auto"/>
              </w:rPr>
            </w:pPr>
          </w:p>
        </w:tc>
        <w:tc>
          <w:tcPr>
            <w:tcW w:w="7280" w:type="dxa"/>
            <w:vAlign w:val="bottom"/>
            <w:gridSpan w:val="6"/>
          </w:tcPr>
          <w:p>
            <w:pPr>
              <w:jc w:val="center"/>
              <w:ind w:right="3808"/>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r>
      <w:tr>
        <w:trPr>
          <w:trHeight w:val="256"/>
        </w:trPr>
        <w:tc>
          <w:tcPr>
            <w:tcW w:w="3540" w:type="dxa"/>
            <w:vAlign w:val="bottom"/>
          </w:tcPr>
          <w:p>
            <w:pPr>
              <w:jc w:val="center"/>
              <w:ind w:left="1266"/>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600" w:type="dxa"/>
            <w:vAlign w:val="bottom"/>
            <w:gridSpan w:val="3"/>
          </w:tcPr>
          <w:p>
            <w:pPr>
              <w:jc w:val="right"/>
              <w:ind w:right="2288"/>
              <w:spacing w:after="0"/>
              <w:rPr>
                <w:sz w:val="20"/>
                <w:szCs w:val="20"/>
                <w:color w:val="auto"/>
              </w:rPr>
            </w:pPr>
            <w:r>
              <w:rPr>
                <w:rFonts w:ascii="Times New Roman" w:cs="Times New Roman" w:eastAsia="Times New Roman" w:hAnsi="Times New Roman"/>
                <w:sz w:val="17"/>
                <w:szCs w:val="17"/>
                <w:b w:val="1"/>
                <w:bCs w:val="1"/>
                <w:color w:val="auto"/>
              </w:rPr>
              <w:t>32-0420206</w:t>
            </w:r>
          </w:p>
        </w:tc>
      </w:tr>
      <w:tr>
        <w:trPr>
          <w:trHeight w:val="182"/>
        </w:trPr>
        <w:tc>
          <w:tcPr>
            <w:tcW w:w="6220" w:type="dxa"/>
            <w:vAlign w:val="bottom"/>
            <w:gridSpan w:val="4"/>
          </w:tcPr>
          <w:p>
            <w:pPr>
              <w:jc w:val="center"/>
              <w:ind w:right="1266"/>
              <w:spacing w:after="0"/>
              <w:rPr>
                <w:sz w:val="20"/>
                <w:szCs w:val="20"/>
                <w:color w:val="auto"/>
              </w:rPr>
            </w:pPr>
            <w:r>
              <w:rPr>
                <w:rFonts w:ascii="Times New Roman" w:cs="Times New Roman" w:eastAsia="Times New Roman" w:hAnsi="Times New Roman"/>
                <w:sz w:val="14"/>
                <w:szCs w:val="14"/>
                <w:color w:val="auto"/>
                <w:w w:val="99"/>
              </w:rPr>
              <w:t>(State or other jurisdiction of incorporation or organization)</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jc w:val="center"/>
              <w:ind w:right="142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50"/>
        </w:trPr>
        <w:tc>
          <w:tcPr>
            <w:tcW w:w="3540" w:type="dxa"/>
            <w:vAlign w:val="bottom"/>
          </w:tcPr>
          <w:p>
            <w:pPr>
              <w:jc w:val="center"/>
              <w:ind w:left="2186"/>
              <w:spacing w:after="0"/>
              <w:rPr>
                <w:sz w:val="20"/>
                <w:szCs w:val="20"/>
                <w:color w:val="auto"/>
              </w:rPr>
            </w:pPr>
            <w:r>
              <w:rPr>
                <w:rFonts w:ascii="Times New Roman" w:cs="Times New Roman" w:eastAsia="Times New Roman" w:hAnsi="Times New Roman"/>
                <w:sz w:val="14"/>
                <w:szCs w:val="14"/>
                <w:b w:val="1"/>
                <w:bCs w:val="1"/>
                <w:color w:val="auto"/>
                <w:w w:val="98"/>
              </w:rPr>
              <w:t>1633 Broadway</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96"/>
        </w:trPr>
        <w:tc>
          <w:tcPr>
            <w:tcW w:w="354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w w:val="97"/>
              </w:rPr>
              <w:t>New York, New York</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0" w:type="dxa"/>
            <w:vAlign w:val="bottom"/>
            <w:gridSpan w:val="3"/>
          </w:tcPr>
          <w:p>
            <w:pPr>
              <w:jc w:val="right"/>
              <w:ind w:right="2988"/>
              <w:spacing w:after="0"/>
              <w:rPr>
                <w:sz w:val="20"/>
                <w:szCs w:val="20"/>
                <w:color w:val="auto"/>
              </w:rPr>
            </w:pPr>
            <w:r>
              <w:rPr>
                <w:rFonts w:ascii="Times New Roman" w:cs="Times New Roman" w:eastAsia="Times New Roman" w:hAnsi="Times New Roman"/>
                <w:sz w:val="14"/>
                <w:szCs w:val="14"/>
                <w:b w:val="1"/>
                <w:bCs w:val="1"/>
                <w:color w:val="auto"/>
              </w:rPr>
              <w:t>10019</w:t>
            </w:r>
          </w:p>
        </w:tc>
      </w:tr>
      <w:tr>
        <w:trPr>
          <w:trHeight w:val="196"/>
        </w:trPr>
        <w:tc>
          <w:tcPr>
            <w:tcW w:w="6220" w:type="dxa"/>
            <w:vAlign w:val="bottom"/>
            <w:gridSpan w:val="4"/>
          </w:tcPr>
          <w:p>
            <w:pPr>
              <w:jc w:val="center"/>
              <w:ind w:right="326"/>
              <w:spacing w:after="0"/>
              <w:rPr>
                <w:sz w:val="20"/>
                <w:szCs w:val="20"/>
                <w:color w:val="auto"/>
              </w:rPr>
            </w:pPr>
            <w:r>
              <w:rPr>
                <w:rFonts w:ascii="Times New Roman" w:cs="Times New Roman" w:eastAsia="Times New Roman" w:hAnsi="Times New Roman"/>
                <w:sz w:val="14"/>
                <w:szCs w:val="14"/>
                <w:color w:val="auto"/>
                <w:w w:val="99"/>
              </w:rPr>
              <w:t>(Address of principal executive offices)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Pr>
          <w:p>
            <w:pPr>
              <w:jc w:val="center"/>
              <w:ind w:right="2328"/>
              <w:spacing w:after="0"/>
              <w:rPr>
                <w:sz w:val="20"/>
                <w:szCs w:val="20"/>
                <w:color w:val="auto"/>
              </w:rPr>
            </w:pPr>
            <w:r>
              <w:rPr>
                <w:rFonts w:ascii="Times New Roman" w:cs="Times New Roman" w:eastAsia="Times New Roman" w:hAnsi="Times New Roman"/>
                <w:sz w:val="14"/>
                <w:szCs w:val="14"/>
                <w:color w:val="auto"/>
              </w:rPr>
              <w:t>(Zip Code)</w:t>
            </w:r>
          </w:p>
        </w:tc>
      </w:tr>
      <w:tr>
        <w:trPr>
          <w:trHeight w:val="425"/>
        </w:trPr>
        <w:tc>
          <w:tcPr>
            <w:tcW w:w="3540" w:type="dxa"/>
            <w:vAlign w:val="bottom"/>
          </w:tcPr>
          <w:p>
            <w:pPr>
              <w:spacing w:after="0"/>
              <w:rPr>
                <w:sz w:val="24"/>
                <w:szCs w:val="24"/>
                <w:color w:val="auto"/>
              </w:rPr>
            </w:pPr>
          </w:p>
        </w:tc>
        <w:tc>
          <w:tcPr>
            <w:tcW w:w="2680" w:type="dxa"/>
            <w:vAlign w:val="bottom"/>
            <w:gridSpan w:val="3"/>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w w:val="97"/>
              </w:rPr>
              <w:t>(212) 418-0100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23"/>
        </w:trPr>
        <w:tc>
          <w:tcPr>
            <w:tcW w:w="3540" w:type="dxa"/>
            <w:vAlign w:val="bottom"/>
          </w:tcPr>
          <w:p>
            <w:pPr>
              <w:spacing w:after="0"/>
              <w:rPr>
                <w:sz w:val="19"/>
                <w:szCs w:val="19"/>
                <w:color w:val="auto"/>
              </w:rPr>
            </w:pPr>
          </w:p>
        </w:tc>
        <w:tc>
          <w:tcPr>
            <w:tcW w:w="7280" w:type="dxa"/>
            <w:vAlign w:val="bottom"/>
            <w:gridSpan w:val="6"/>
          </w:tcPr>
          <w:p>
            <w:pPr>
              <w:jc w:val="center"/>
              <w:ind w:right="3828"/>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r>
      <w:tr>
        <w:trPr>
          <w:trHeight w:val="223"/>
        </w:trPr>
        <w:tc>
          <w:tcPr>
            <w:tcW w:w="3540" w:type="dxa"/>
            <w:vAlign w:val="bottom"/>
          </w:tcPr>
          <w:p>
            <w:pPr>
              <w:spacing w:after="0"/>
              <w:rPr>
                <w:sz w:val="19"/>
                <w:szCs w:val="19"/>
                <w:color w:val="auto"/>
              </w:rPr>
            </w:pPr>
          </w:p>
        </w:tc>
        <w:tc>
          <w:tcPr>
            <w:tcW w:w="728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90"/>
        </w:trPr>
        <w:tc>
          <w:tcPr>
            <w:tcW w:w="354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w w:val="98"/>
              </w:rPr>
              <w:t>Trading symbol(s)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3"/>
        </w:trPr>
        <w:tc>
          <w:tcPr>
            <w:tcW w:w="3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6"/>
                <w:szCs w:val="16"/>
                <w:color w:val="auto"/>
                <w:w w:val="96"/>
              </w:rPr>
              <w:t>VIRT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The NASDAQ Stock Market LLC</w:t>
            </w:r>
          </w:p>
        </w:tc>
      </w:tr>
    </w:tbl>
    <w:p>
      <w:pPr>
        <w:spacing w:after="0" w:line="91" w:lineRule="exact"/>
        <w:rPr>
          <w:sz w:val="24"/>
          <w:szCs w:val="24"/>
          <w:color w:val="auto"/>
        </w:rPr>
      </w:pPr>
    </w:p>
    <w:p>
      <w:pPr>
        <w:jc w:val="both"/>
        <w:ind w:right="180" w:firstLine="314"/>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5"/>
        <w:spacing w:after="0" w:line="184" w:lineRule="exact"/>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520" w:firstLine="314"/>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260" w:firstLine="314"/>
        <w:spacing w:after="0" w:line="32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p>
      <w:pPr>
        <w:jc w:val="right"/>
        <w:ind w:left="1180" w:right="880"/>
        <w:spacing w:after="0" w:line="276"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24"/>
          <w:szCs w:val="24"/>
          <w:color w:val="auto"/>
          <w:vertAlign w:val="superscript"/>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 </w:t>
      </w:r>
      <w:r>
        <w:rPr>
          <w:rFonts w:ascii="MS PGothic" w:cs="MS PGothic" w:eastAsia="MS PGothic" w:hAnsi="MS PGothic"/>
          <w:sz w:val="14"/>
          <w:szCs w:val="14"/>
          <w:color w:val="auto"/>
        </w:rPr>
        <w:t>☐</w:t>
      </w:r>
    </w:p>
    <w:p>
      <w:pPr>
        <w:spacing w:after="0" w:line="389" w:lineRule="exact"/>
        <w:rPr>
          <w:sz w:val="24"/>
          <w:szCs w:val="24"/>
          <w:color w:val="auto"/>
        </w:rPr>
      </w:pPr>
    </w:p>
    <w:p>
      <w:pPr>
        <w:ind w:right="100" w:firstLine="314"/>
        <w:spacing w:after="0" w:line="19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spacing w:after="0" w:line="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tbl>
      <w:tblPr>
        <w:tblLayout w:type="fixed"/>
        <w:tblInd w:w="48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of Stock</w:t>
            </w:r>
          </w:p>
        </w:tc>
        <w:tc>
          <w:tcPr>
            <w:tcW w:w="2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Shares outstanding as of August</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2, 2022</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103,041,858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Class C common stock, par value $0.00001 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9,030,066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8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D common stock, par value $0.00001 per share</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60,091,740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180" w:type="dxa"/>
            <w:vAlign w:val="bottom"/>
            <w:tcBorders>
              <w:bottom w:val="single" w:sz="8" w:color="auto"/>
            </w:tcBorders>
          </w:tcPr>
          <w:p>
            <w:pPr>
              <w:spacing w:after="0"/>
              <w:rPr>
                <w:sz w:val="22"/>
                <w:szCs w:val="22"/>
                <w:color w:val="auto"/>
              </w:rPr>
            </w:pPr>
          </w:p>
        </w:tc>
        <w:tc>
          <w:tcPr>
            <w:tcW w:w="4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60"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INDEX TO FORM 10-Q</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 THE QUARTER ENDED June 30, 2022</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8"/>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406"/>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PART I -</w:t>
            </w:r>
          </w:p>
        </w:tc>
        <w:tc>
          <w:tcPr>
            <w:tcW w:w="760" w:type="dxa"/>
            <w:vAlign w:val="bottom"/>
            <w:gridSpan w:val="2"/>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1.</w:t>
            </w:r>
          </w:p>
        </w:tc>
        <w:tc>
          <w:tcPr>
            <w:tcW w:w="120" w:type="dxa"/>
            <w:vAlign w:val="bottom"/>
            <w:tcBorders>
              <w:top w:val="single" w:sz="8" w:color="0000FF"/>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14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720" w:type="dxa"/>
            <w:vAlign w:val="bottom"/>
            <w:tcBorders>
              <w:top w:val="single" w:sz="8" w:color="0000FF"/>
            </w:tcBorders>
            <w:gridSpan w:val="3"/>
          </w:tcPr>
          <w:p>
            <w:pPr>
              <w:spacing w:after="0"/>
              <w:rPr>
                <w:sz w:val="24"/>
                <w:szCs w:val="24"/>
                <w:color w:val="auto"/>
              </w:rPr>
            </w:pPr>
          </w:p>
        </w:tc>
        <w:tc>
          <w:tcPr>
            <w:tcW w:w="6380" w:type="dxa"/>
            <w:vAlign w:val="bottom"/>
            <w:gridSpan w:val="10"/>
          </w:tcPr>
          <w:p>
            <w:pPr>
              <w:spacing w:after="0"/>
              <w:rPr>
                <w:sz w:val="24"/>
                <w:szCs w:val="24"/>
                <w:color w:val="auto"/>
              </w:rPr>
            </w:pPr>
          </w:p>
        </w:tc>
        <w:tc>
          <w:tcPr>
            <w:tcW w:w="1160" w:type="dxa"/>
            <w:vAlign w:val="bottom"/>
          </w:tcPr>
          <w:p>
            <w:pPr>
              <w:spacing w:after="0"/>
              <w:rPr>
                <w:sz w:val="24"/>
                <w:szCs w:val="24"/>
                <w:color w:val="auto"/>
              </w:rPr>
            </w:pPr>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Financial Condition (Unaudited)</w:t>
            </w:r>
          </w:p>
        </w:tc>
        <w:tc>
          <w:tcPr>
            <w:tcW w:w="350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9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(Unaudited)</w:t>
            </w:r>
          </w:p>
        </w:tc>
        <w:tc>
          <w:tcPr>
            <w:tcW w:w="360" w:type="dxa"/>
            <w:vAlign w:val="bottom"/>
            <w:tcBorders>
              <w:top w:val="single" w:sz="8" w:color="0000FF"/>
            </w:tcBorders>
            <w:gridSpan w:val="2"/>
          </w:tcPr>
          <w:p>
            <w:pPr>
              <w:spacing w:after="0"/>
              <w:rPr>
                <w:sz w:val="17"/>
                <w:szCs w:val="17"/>
                <w:color w:val="auto"/>
              </w:rPr>
            </w:pPr>
          </w:p>
        </w:tc>
        <w:tc>
          <w:tcPr>
            <w:tcW w:w="3240" w:type="dxa"/>
            <w:vAlign w:val="bottom"/>
            <w:gridSpan w:val="2"/>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3800" w:type="dxa"/>
            <w:vAlign w:val="bottom"/>
            <w:gridSpan w:val="5"/>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w:t>
            </w:r>
          </w:p>
        </w:tc>
      </w:tr>
      <w:tr>
        <w:trPr>
          <w:trHeight w:val="42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Item 2.</w:t>
            </w:r>
          </w:p>
        </w:tc>
        <w:tc>
          <w:tcPr>
            <w:tcW w:w="880" w:type="dxa"/>
            <w:vAlign w:val="bottom"/>
            <w:gridSpan w:val="3"/>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w:t>
            </w: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3.</w:t>
            </w:r>
          </w:p>
        </w:tc>
        <w:tc>
          <w:tcPr>
            <w:tcW w:w="880" w:type="dxa"/>
            <w:vAlign w:val="bottom"/>
            <w:gridSpan w:val="3"/>
          </w:tcPr>
          <w:p>
            <w:pPr>
              <w:spacing w:after="0"/>
              <w:rPr>
                <w:sz w:val="24"/>
                <w:szCs w:val="24"/>
                <w:color w:val="auto"/>
              </w:rPr>
            </w:pPr>
          </w:p>
        </w:tc>
        <w:tc>
          <w:tcPr>
            <w:tcW w:w="42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tcBorders>
              <w:top w:val="single" w:sz="8" w:color="0000FF"/>
            </w:tcBorders>
            <w:gridSpan w:val="6"/>
          </w:tcPr>
          <w:p>
            <w:pPr>
              <w:spacing w:after="0"/>
              <w:rPr>
                <w:sz w:val="24"/>
                <w:szCs w:val="24"/>
                <w:color w:val="auto"/>
              </w:rPr>
            </w:pPr>
          </w:p>
        </w:tc>
        <w:tc>
          <w:tcPr>
            <w:tcW w:w="2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4.</w:t>
            </w:r>
          </w:p>
        </w:tc>
        <w:tc>
          <w:tcPr>
            <w:tcW w:w="880" w:type="dxa"/>
            <w:vAlign w:val="bottom"/>
            <w:gridSpan w:val="3"/>
          </w:tcPr>
          <w:p>
            <w:pPr>
              <w:spacing w:after="0"/>
              <w:rPr>
                <w:sz w:val="24"/>
                <w:szCs w:val="24"/>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84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w:t>
            </w:r>
          </w:p>
        </w:tc>
      </w:tr>
      <w:tr>
        <w:trPr>
          <w:trHeight w:val="425"/>
        </w:trPr>
        <w:tc>
          <w:tcPr>
            <w:tcW w:w="7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II -</w:t>
            </w:r>
          </w:p>
        </w:tc>
        <w:tc>
          <w:tcPr>
            <w:tcW w:w="7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1.</w:t>
            </w:r>
          </w:p>
        </w:tc>
        <w:tc>
          <w:tcPr>
            <w:tcW w:w="180" w:type="dxa"/>
            <w:vAlign w:val="bottom"/>
            <w:tcBorders>
              <w:top w:val="single" w:sz="8" w:color="0000FF"/>
            </w:tcBorders>
            <w:gridSpan w:val="2"/>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520" w:type="dxa"/>
            <w:vAlign w:val="bottom"/>
            <w:tcBorders>
              <w:top w:val="single" w:sz="8" w:color="0000FF"/>
            </w:tcBorders>
            <w:gridSpan w:val="3"/>
          </w:tcPr>
          <w:p>
            <w:pPr>
              <w:spacing w:after="0"/>
              <w:rPr>
                <w:sz w:val="24"/>
                <w:szCs w:val="24"/>
                <w:color w:val="auto"/>
              </w:rPr>
            </w:pPr>
          </w:p>
        </w:tc>
        <w:tc>
          <w:tcPr>
            <w:tcW w:w="6740" w:type="dxa"/>
            <w:vAlign w:val="bottom"/>
            <w:gridSpan w:val="11"/>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w:t>
            </w:r>
          </w:p>
        </w:tc>
      </w:tr>
      <w:tr>
        <w:trPr>
          <w:trHeight w:val="425"/>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Item 1A.</w:t>
            </w:r>
          </w:p>
        </w:tc>
        <w:tc>
          <w:tcPr>
            <w:tcW w:w="760" w:type="dxa"/>
            <w:vAlign w:val="bottom"/>
            <w:gridSpan w:val="2"/>
          </w:tcPr>
          <w:p>
            <w:pPr>
              <w:spacing w:after="0"/>
              <w:rPr>
                <w:sz w:val="24"/>
                <w:szCs w:val="24"/>
                <w:color w:val="auto"/>
              </w:rPr>
            </w:pP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680" w:type="dxa"/>
            <w:vAlign w:val="bottom"/>
            <w:gridSpan w:val="17"/>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2.</w:t>
            </w:r>
          </w:p>
        </w:tc>
        <w:tc>
          <w:tcPr>
            <w:tcW w:w="880" w:type="dxa"/>
            <w:vAlign w:val="bottom"/>
            <w:gridSpan w:val="3"/>
          </w:tcPr>
          <w:p>
            <w:pPr>
              <w:spacing w:after="0"/>
              <w:rPr>
                <w:sz w:val="24"/>
                <w:szCs w:val="24"/>
                <w:color w:val="auto"/>
              </w:rPr>
            </w:pPr>
          </w:p>
        </w:tc>
        <w:tc>
          <w:tcPr>
            <w:tcW w:w="4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340" w:type="dxa"/>
            <w:vAlign w:val="bottom"/>
            <w:gridSpan w:val="8"/>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3.</w:t>
            </w:r>
          </w:p>
        </w:tc>
        <w:tc>
          <w:tcPr>
            <w:tcW w:w="880" w:type="dxa"/>
            <w:vAlign w:val="bottom"/>
            <w:gridSpan w:val="3"/>
          </w:tcPr>
          <w:p>
            <w:pPr>
              <w:spacing w:after="0"/>
              <w:rPr>
                <w:sz w:val="24"/>
                <w:szCs w:val="24"/>
                <w:color w:val="auto"/>
              </w:rPr>
            </w:pPr>
          </w:p>
        </w:tc>
        <w:tc>
          <w:tcPr>
            <w:tcW w:w="2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6300" w:type="dxa"/>
            <w:vAlign w:val="bottom"/>
            <w:gridSpan w:val="9"/>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4.</w:t>
            </w:r>
          </w:p>
        </w:tc>
        <w:tc>
          <w:tcPr>
            <w:tcW w:w="880" w:type="dxa"/>
            <w:vAlign w:val="bottom"/>
            <w:gridSpan w:val="3"/>
          </w:tcPr>
          <w:p>
            <w:pPr>
              <w:spacing w:after="0"/>
              <w:rPr>
                <w:sz w:val="24"/>
                <w:szCs w:val="24"/>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84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5.</w:t>
            </w:r>
          </w:p>
        </w:tc>
        <w:tc>
          <w:tcPr>
            <w:tcW w:w="880" w:type="dxa"/>
            <w:vAlign w:val="bottom"/>
            <w:gridSpan w:val="3"/>
          </w:tcPr>
          <w:p>
            <w:pPr>
              <w:spacing w:after="0"/>
              <w:rPr>
                <w:sz w:val="24"/>
                <w:szCs w:val="24"/>
                <w:color w:val="auto"/>
              </w:rPr>
            </w:pP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280" w:type="dxa"/>
            <w:vAlign w:val="bottom"/>
            <w:gridSpan w:val="15"/>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6.</w:t>
            </w:r>
          </w:p>
        </w:tc>
        <w:tc>
          <w:tcPr>
            <w:tcW w:w="880" w:type="dxa"/>
            <w:vAlign w:val="bottom"/>
            <w:gridSpan w:val="3"/>
          </w:tcPr>
          <w:p>
            <w:pPr>
              <w:spacing w:after="0"/>
              <w:rPr>
                <w:sz w:val="24"/>
                <w:szCs w:val="24"/>
                <w:color w:val="auto"/>
              </w:rPr>
            </w:pPr>
          </w:p>
        </w:tc>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7980" w:type="dxa"/>
            <w:vAlign w:val="bottom"/>
            <w:gridSpan w:val="18"/>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w:t>
            </w:r>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80</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Index to Condensed Consolidated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22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0"/>
        </w:trPr>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2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91"/>
        </w:trPr>
        <w:tc>
          <w:tcPr>
            <w:tcW w:w="40" w:type="dxa"/>
            <w:vAlign w:val="bottom"/>
          </w:tcPr>
          <w:p>
            <w:pPr>
              <w:spacing w:after="0"/>
              <w:rPr>
                <w:sz w:val="24"/>
                <w:szCs w:val="24"/>
                <w:color w:val="auto"/>
              </w:rPr>
            </w:pPr>
          </w:p>
        </w:tc>
        <w:tc>
          <w:tcPr>
            <w:tcW w:w="54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Condensed Consolidated Statements of Financial Condition (Unaudited)</w:t>
            </w: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3</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3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100" w:type="dxa"/>
            <w:vAlign w:val="bottom"/>
          </w:tcPr>
          <w:p>
            <w:pPr>
              <w:spacing w:after="0"/>
              <w:rPr>
                <w:sz w:val="24"/>
                <w:szCs w:val="24"/>
                <w:color w:val="auto"/>
              </w:rPr>
            </w:pP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5</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3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(Unaudited)</w:t>
            </w:r>
          </w:p>
        </w:tc>
        <w:tc>
          <w:tcPr>
            <w:tcW w:w="100" w:type="dxa"/>
            <w:vAlign w:val="bottom"/>
          </w:tcPr>
          <w:p>
            <w:pPr>
              <w:spacing w:after="0"/>
              <w:rPr>
                <w:sz w:val="24"/>
                <w:szCs w:val="24"/>
                <w:color w:val="auto"/>
              </w:rPr>
            </w:pP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6</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460" w:type="dxa"/>
            <w:vAlign w:val="bottom"/>
            <w:gridSpan w:val="2"/>
          </w:tcPr>
          <w:p>
            <w:pPr>
              <w:spacing w:after="0"/>
              <w:rPr>
                <w:sz w:val="24"/>
                <w:szCs w:val="24"/>
                <w:color w:val="auto"/>
              </w:rPr>
            </w:pPr>
          </w:p>
        </w:tc>
        <w:tc>
          <w:tcPr>
            <w:tcW w:w="480" w:type="dxa"/>
            <w:vAlign w:val="bottom"/>
            <w:gridSpan w:val="3"/>
          </w:tcPr>
          <w:p>
            <w:pPr>
              <w:spacing w:after="0"/>
              <w:rPr>
                <w:sz w:val="24"/>
                <w:szCs w:val="24"/>
                <w:color w:val="auto"/>
              </w:rPr>
            </w:pP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8</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4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576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0000FF"/>
              </w:rPr>
              <w:t>10</w:t>
            </w:r>
          </w:p>
        </w:tc>
      </w:tr>
      <w:tr>
        <w:trPr>
          <w:trHeight w:val="870"/>
        </w:trPr>
        <w:tc>
          <w:tcPr>
            <w:tcW w:w="40" w:type="dxa"/>
            <w:vAlign w:val="bottom"/>
          </w:tcPr>
          <w:p>
            <w:pPr>
              <w:spacing w:after="0"/>
              <w:rPr>
                <w:sz w:val="24"/>
                <w:szCs w:val="24"/>
                <w:color w:val="auto"/>
              </w:rPr>
            </w:pPr>
          </w:p>
        </w:tc>
        <w:tc>
          <w:tcPr>
            <w:tcW w:w="4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jc w:val="right"/>
              <w:ind w:right="4273"/>
              <w:spacing w:after="0"/>
              <w:rPr>
                <w:sz w:val="20"/>
                <w:szCs w:val="20"/>
                <w:color w:val="auto"/>
              </w:rPr>
            </w:pPr>
            <w:r>
              <w:rPr>
                <w:rFonts w:ascii="Times New Roman" w:cs="Times New Roman" w:eastAsia="Times New Roman" w:hAnsi="Times New Roman"/>
                <w:sz w:val="17"/>
                <w:szCs w:val="17"/>
                <w:color w:val="auto"/>
              </w:rPr>
              <w:t>2</w:t>
            </w:r>
          </w:p>
        </w:tc>
        <w:tc>
          <w:tcPr>
            <w:tcW w:w="10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9"/>
        </w:trPr>
        <w:tc>
          <w:tcPr>
            <w:tcW w:w="84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810,649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1,071,463</w:t>
            </w:r>
          </w:p>
        </w:tc>
        <w:tc>
          <w:tcPr>
            <w:tcW w:w="0" w:type="dxa"/>
            <w:vAlign w:val="bottom"/>
          </w:tcPr>
          <w:p>
            <w:pPr>
              <w:spacing w:after="0"/>
              <w:rPr>
                <w:sz w:val="1"/>
                <w:szCs w:val="1"/>
                <w:color w:val="auto"/>
              </w:rPr>
            </w:pP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restricted or segregated under regulations and other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49,490</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borrowed</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1,369,616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1,349,322</w:t>
            </w:r>
          </w:p>
        </w:tc>
        <w:tc>
          <w:tcPr>
            <w:tcW w:w="0" w:type="dxa"/>
            <w:vAlign w:val="bottom"/>
          </w:tcPr>
          <w:p>
            <w:pPr>
              <w:spacing w:after="0"/>
              <w:rPr>
                <w:sz w:val="1"/>
                <w:szCs w:val="1"/>
                <w:color w:val="auto"/>
              </w:rPr>
            </w:pP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Securities purchased under agreements to resell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119,453</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from broker-dealers and clearing organizations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1,419,628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1,026,807</w:t>
            </w:r>
          </w:p>
        </w:tc>
        <w:tc>
          <w:tcPr>
            <w:tcW w:w="0" w:type="dxa"/>
            <w:vAlign w:val="bottom"/>
          </w:tcPr>
          <w:p>
            <w:pPr>
              <w:spacing w:after="0"/>
              <w:rPr>
                <w:sz w:val="1"/>
                <w:szCs w:val="1"/>
                <w:color w:val="auto"/>
              </w:rPr>
            </w:pP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Trading assets, at fair value: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Financial instruments owned</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4,101,897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3,238,995</w:t>
            </w:r>
          </w:p>
        </w:tc>
        <w:tc>
          <w:tcPr>
            <w:tcW w:w="0" w:type="dxa"/>
            <w:vAlign w:val="bottom"/>
          </w:tcPr>
          <w:p>
            <w:pPr>
              <w:spacing w:after="0"/>
              <w:rPr>
                <w:sz w:val="1"/>
                <w:szCs w:val="1"/>
                <w:color w:val="auto"/>
              </w:rPr>
            </w:pPr>
          </w:p>
        </w:tc>
      </w:tr>
      <w:tr>
        <w:trPr>
          <w:trHeight w:val="208"/>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Financial instruments owned and pledged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1,078,824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1,017,960</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from customers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146,476</w:t>
            </w:r>
          </w:p>
        </w:tc>
        <w:tc>
          <w:tcPr>
            <w:tcW w:w="0" w:type="dxa"/>
            <w:vAlign w:val="bottom"/>
          </w:tcPr>
          <w:p>
            <w:pPr>
              <w:spacing w:after="0"/>
              <w:rPr>
                <w:sz w:val="1"/>
                <w:szCs w:val="1"/>
                <w:color w:val="auto"/>
              </w:rPr>
            </w:pPr>
          </w:p>
        </w:tc>
      </w:tr>
      <w:tr>
        <w:trPr>
          <w:trHeight w:val="157"/>
        </w:trPr>
        <w:tc>
          <w:tcPr>
            <w:tcW w:w="848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Property, equipment and capitalized software (net of accumulated depreciation of $496,229 and $472,155 as of June 30, 2022 and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86,056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89,595</w:t>
            </w:r>
          </w:p>
        </w:tc>
        <w:tc>
          <w:tcPr>
            <w:tcW w:w="0" w:type="dxa"/>
            <w:vAlign w:val="bottom"/>
          </w:tcPr>
          <w:p>
            <w:pPr>
              <w:spacing w:after="0"/>
              <w:rPr>
                <w:sz w:val="1"/>
                <w:szCs w:val="1"/>
                <w:color w:val="auto"/>
              </w:rPr>
            </w:pP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225,328</w:t>
            </w:r>
          </w:p>
        </w:tc>
        <w:tc>
          <w:tcPr>
            <w:tcW w:w="0" w:type="dxa"/>
            <w:vAlign w:val="bottom"/>
          </w:tcPr>
          <w:p>
            <w:pPr>
              <w:spacing w:after="0"/>
              <w:rPr>
                <w:sz w:val="1"/>
                <w:szCs w:val="1"/>
                <w:color w:val="auto"/>
              </w:rPr>
            </w:pP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1,148,926</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Intangibles (net of accumulated amortization of $285,918 and $253,161 as of June 30, 2022 and December 31, 2021, respectively)</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353,575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386,332</w:t>
            </w:r>
          </w:p>
        </w:tc>
        <w:tc>
          <w:tcPr>
            <w:tcW w:w="0" w:type="dxa"/>
            <w:vAlign w:val="bottom"/>
          </w:tcPr>
          <w:p>
            <w:pPr>
              <w:spacing w:after="0"/>
              <w:rPr>
                <w:sz w:val="1"/>
                <w:szCs w:val="1"/>
                <w:color w:val="auto"/>
              </w:rPr>
            </w:pP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158,518</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($80,143 and $84,378, at fair value, as of June 30, 2022 and December 31, 2021, respectively)</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307,225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291,306</w:t>
            </w:r>
          </w:p>
        </w:tc>
        <w:tc>
          <w:tcPr>
            <w:tcW w:w="0" w:type="dxa"/>
            <w:vAlign w:val="bottom"/>
          </w:tcPr>
          <w:p>
            <w:pPr>
              <w:spacing w:after="0"/>
              <w:rPr>
                <w:sz w:val="1"/>
                <w:szCs w:val="1"/>
                <w:color w:val="auto"/>
              </w:rPr>
            </w:pPr>
          </w:p>
        </w:tc>
      </w:tr>
      <w:tr>
        <w:trPr>
          <w:trHeight w:val="203"/>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11,415,614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10,319,971</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30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157,114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61,510</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loaned</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1,049,609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1,142,048</w:t>
            </w:r>
          </w:p>
        </w:tc>
        <w:tc>
          <w:tcPr>
            <w:tcW w:w="0" w:type="dxa"/>
            <w:vAlign w:val="bottom"/>
          </w:tcPr>
          <w:p>
            <w:pPr>
              <w:spacing w:after="0"/>
              <w:rPr>
                <w:sz w:val="1"/>
                <w:szCs w:val="1"/>
                <w:color w:val="auto"/>
              </w:rPr>
            </w:pP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501,193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514,325</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Payables to broker-dealers and clearing organizations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704,897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571,526</w:t>
            </w:r>
          </w:p>
        </w:tc>
        <w:tc>
          <w:tcPr>
            <w:tcW w:w="0" w:type="dxa"/>
            <w:vAlign w:val="bottom"/>
          </w:tcPr>
          <w:p>
            <w:pPr>
              <w:spacing w:after="0"/>
              <w:rPr>
                <w:sz w:val="1"/>
                <w:szCs w:val="1"/>
                <w:color w:val="auto"/>
              </w:rPr>
            </w:pP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Payables to customers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54,999</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Trading liabilities, at fair value: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Financial instruments sold, not yet purchased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4,471,229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3,510,779</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receivable agreement obligations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259,282</w:t>
            </w:r>
          </w:p>
        </w:tc>
        <w:tc>
          <w:tcPr>
            <w:tcW w:w="0" w:type="dxa"/>
            <w:vAlign w:val="bottom"/>
          </w:tcPr>
          <w:p>
            <w:pPr>
              <w:spacing w:after="0"/>
              <w:rPr>
                <w:sz w:val="1"/>
                <w:szCs w:val="1"/>
                <w:color w:val="auto"/>
              </w:rPr>
            </w:pP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457,942</w:t>
            </w:r>
          </w:p>
        </w:tc>
        <w:tc>
          <w:tcPr>
            <w:tcW w:w="0" w:type="dxa"/>
            <w:vAlign w:val="bottom"/>
          </w:tcPr>
          <w:p>
            <w:pPr>
              <w:spacing w:after="0"/>
              <w:rPr>
                <w:sz w:val="1"/>
                <w:szCs w:val="1"/>
                <w:color w:val="auto"/>
              </w:rPr>
            </w:pP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257,673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278,745</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borrowings</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1,792,383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1,605,132</w:t>
            </w:r>
          </w:p>
        </w:tc>
        <w:tc>
          <w:tcPr>
            <w:tcW w:w="0" w:type="dxa"/>
            <w:vAlign w:val="bottom"/>
          </w:tcPr>
          <w:p>
            <w:pPr>
              <w:spacing w:after="0"/>
              <w:rPr>
                <w:sz w:val="1"/>
                <w:szCs w:val="1"/>
                <w:color w:val="auto"/>
              </w:rPr>
            </w:pPr>
          </w:p>
        </w:tc>
      </w:tr>
      <w:tr>
        <w:trPr>
          <w:trHeight w:val="201"/>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9,675,206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8,456,353</w:t>
            </w:r>
          </w:p>
        </w:tc>
        <w:tc>
          <w:tcPr>
            <w:tcW w:w="0" w:type="dxa"/>
            <w:vAlign w:val="bottom"/>
          </w:tcPr>
          <w:p>
            <w:pPr>
              <w:spacing w:after="0"/>
              <w:rPr>
                <w:sz w:val="1"/>
                <w:szCs w:val="1"/>
                <w:color w:val="auto"/>
              </w:rPr>
            </w:pPr>
          </w:p>
        </w:tc>
      </w:tr>
      <w:tr>
        <w:trPr>
          <w:trHeight w:val="159"/>
        </w:trPr>
        <w:tc>
          <w:tcPr>
            <w:tcW w:w="8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Virtu Financial Inc. Stockholders' equity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4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Class A common stock (par value $0.00001), Authorized — 1,000,000,000 and 1,000,000,000 shares, Issued — 132,915,640 and</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131,497,645 shares, Outstanding — 103,917,477 and 113,170,782 shares at June 30, 2022 and December 31, 2021, respectively</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48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w w:val="98"/>
              </w:rPr>
              <w:t>Class B common stock (par value $0.00001), Authorized — 175,000,000 and 175,000,000 shares, Issued and Outstanding — 0 and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0 shares at June 30, 2022 and December 31, 2021, respectively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4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Class C common stock (par value $0.00001), Authorized — 90,000,000 and 90,000,000 shares, Issued and Outstanding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9,030,066 and 9,359,065 shares at June 30, 2022 and December 31, 2021, respectively</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480" w:type="dxa"/>
            <w:vAlign w:val="bottom"/>
          </w:tcPr>
          <w:p>
            <w:pPr>
              <w:ind w:left="140"/>
              <w:spacing w:after="0" w:line="158" w:lineRule="exact"/>
              <w:rPr>
                <w:sz w:val="20"/>
                <w:szCs w:val="20"/>
                <w:color w:val="auto"/>
              </w:rPr>
            </w:pPr>
            <w:r>
              <w:rPr>
                <w:rFonts w:ascii="Times New Roman" w:cs="Times New Roman" w:eastAsia="Times New Roman" w:hAnsi="Times New Roman"/>
                <w:sz w:val="16"/>
                <w:szCs w:val="16"/>
                <w:color w:val="auto"/>
              </w:rPr>
              <w:t>Class D common stock (par value $0.00001), Authorized — 175,000,000 and 175,000,000 shares, Issued and Outstanding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60,091,740 and 60,091,740 shares at June 30, 2022 and December 31, 2021, respectively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28,998,163 and 18,326,863 shares at June 30, 2022 and December 31, 2021, respectively</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(828,772)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(494,075)</w:t>
            </w:r>
          </w:p>
        </w:tc>
        <w:tc>
          <w:tcPr>
            <w:tcW w:w="0" w:type="dxa"/>
            <w:vAlign w:val="bottom"/>
          </w:tcPr>
          <w:p>
            <w:pPr>
              <w:spacing w:after="0"/>
              <w:rPr>
                <w:sz w:val="1"/>
                <w:szCs w:val="1"/>
                <w:color w:val="auto"/>
              </w:rPr>
            </w:pPr>
          </w:p>
        </w:tc>
      </w:tr>
      <w:tr>
        <w:trPr>
          <w:trHeight w:val="208"/>
        </w:trPr>
        <w:tc>
          <w:tcPr>
            <w:tcW w:w="8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1,256,760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1,223,119</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956,487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830,538</w:t>
            </w:r>
          </w:p>
        </w:tc>
        <w:tc>
          <w:tcPr>
            <w:tcW w:w="0" w:type="dxa"/>
            <w:vAlign w:val="bottom"/>
          </w:tcPr>
          <w:p>
            <w:pPr>
              <w:spacing w:after="0"/>
              <w:rPr>
                <w:sz w:val="1"/>
                <w:szCs w:val="1"/>
                <w:color w:val="auto"/>
              </w:rPr>
            </w:pPr>
          </w:p>
        </w:tc>
      </w:tr>
      <w:tr>
        <w:trPr>
          <w:trHeight w:val="208"/>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(10,196)</w:t>
            </w:r>
          </w:p>
        </w:tc>
        <w:tc>
          <w:tcPr>
            <w:tcW w:w="0" w:type="dxa"/>
            <w:vAlign w:val="bottom"/>
          </w:tcPr>
          <w:p>
            <w:pPr>
              <w:spacing w:after="0"/>
              <w:rPr>
                <w:sz w:val="1"/>
                <w:szCs w:val="1"/>
                <w:color w:val="auto"/>
              </w:rPr>
            </w:pPr>
          </w:p>
        </w:tc>
      </w:tr>
      <w:tr>
        <w:trPr>
          <w:trHeight w:val="201"/>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Virtu Financial Inc. stockholders' equity</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1,398,303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1,549,388</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342,105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314,230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22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2"/>
        </w:trPr>
        <w:tc>
          <w:tcPr>
            <w:tcW w:w="8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1,740,408</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1,863,618</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11,415,614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10,319,971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 (Unaudited)</w:t>
      </w:r>
    </w:p>
    <w:p>
      <w:pPr>
        <w:spacing w:after="0" w:line="31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2100" w:type="dxa"/>
            <w:vAlign w:val="bottom"/>
            <w:gridSpan w:val="4"/>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3"/>
        </w:trPr>
        <w:tc>
          <w:tcPr>
            <w:tcW w:w="5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Trading income,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395,928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384,832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918,235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1,197,576</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and dividends income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30,792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16,541</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Commissions, net and technology services</w:t>
            </w:r>
          </w:p>
        </w:tc>
        <w:tc>
          <w:tcPr>
            <w:tcW w:w="1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136,340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334,764</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41,678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44,966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0" w:type="dxa"/>
            <w:vAlign w:val="bottom"/>
          </w:tcPr>
          <w:p>
            <w:pPr>
              <w:spacing w:after="0"/>
              <w:rPr>
                <w:sz w:val="1"/>
                <w:szCs w:val="1"/>
                <w:color w:val="auto"/>
              </w:rPr>
            </w:pPr>
          </w:p>
        </w:tc>
      </w:tr>
      <w:tr>
        <w:trPr>
          <w:trHeight w:val="201"/>
        </w:trPr>
        <w:tc>
          <w:tcPr>
            <w:tcW w:w="60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604,738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548,965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1,561,537</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Brokerage, exchange, clearance fees and payments for order flow, net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156,986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430,023</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Communication and data processing</w:t>
            </w:r>
          </w:p>
        </w:tc>
        <w:tc>
          <w:tcPr>
            <w:tcW w:w="1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55,699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104,197</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compensation and payroll taxes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98,604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188,620</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Interest and dividends expense</w:t>
            </w:r>
          </w:p>
        </w:tc>
        <w:tc>
          <w:tcPr>
            <w:tcW w:w="1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48,716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48,999</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Operations and administrative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47,408</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16,334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33,127</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purchased intangibles and acquired capitalized software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16,277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36,154</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Termination of office leases</w:t>
            </w:r>
          </w:p>
        </w:tc>
        <w:tc>
          <w:tcPr>
            <w:tcW w:w="1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4,888</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issue cost related to debt refinancing, prepayment and commitment fees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Transaction advisory fees and expenses</w:t>
            </w:r>
          </w:p>
        </w:tc>
        <w:tc>
          <w:tcPr>
            <w:tcW w:w="1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 interest expense on long-term borrowings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22,089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39,605</w:t>
            </w:r>
          </w:p>
        </w:tc>
        <w:tc>
          <w:tcPr>
            <w:tcW w:w="0" w:type="dxa"/>
            <w:vAlign w:val="bottom"/>
          </w:tcPr>
          <w:p>
            <w:pPr>
              <w:spacing w:after="0"/>
              <w:rPr>
                <w:sz w:val="1"/>
                <w:szCs w:val="1"/>
                <w:color w:val="auto"/>
              </w:rPr>
            </w:pPr>
          </w:p>
        </w:tc>
      </w:tr>
      <w:tr>
        <w:trPr>
          <w:trHeight w:val="201"/>
        </w:trPr>
        <w:tc>
          <w:tcPr>
            <w:tcW w:w="606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430,954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413,963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890,506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936,748</w:t>
            </w:r>
          </w:p>
        </w:tc>
        <w:tc>
          <w:tcPr>
            <w:tcW w:w="0" w:type="dxa"/>
            <w:vAlign w:val="bottom"/>
          </w:tcPr>
          <w:p>
            <w:pPr>
              <w:spacing w:after="0"/>
              <w:rPr>
                <w:sz w:val="1"/>
                <w:szCs w:val="1"/>
                <w:color w:val="auto"/>
              </w:rPr>
            </w:pPr>
          </w:p>
        </w:tc>
      </w:tr>
      <w:tr>
        <w:trPr>
          <w:trHeight w:val="204"/>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before income taxes and noncontrolling interest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173,784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415,494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624,789</w:t>
            </w:r>
          </w:p>
        </w:tc>
        <w:tc>
          <w:tcPr>
            <w:tcW w:w="0" w:type="dxa"/>
            <w:vAlign w:val="bottom"/>
          </w:tcPr>
          <w:p>
            <w:pPr>
              <w:spacing w:after="0"/>
              <w:rPr>
                <w:sz w:val="1"/>
                <w:szCs w:val="1"/>
                <w:color w:val="auto"/>
              </w:rPr>
            </w:pPr>
          </w:p>
        </w:tc>
      </w:tr>
      <w:tr>
        <w:trPr>
          <w:trHeight w:val="208"/>
        </w:trPr>
        <w:tc>
          <w:tcPr>
            <w:tcW w:w="6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24,888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66,674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106,650</w:t>
            </w:r>
          </w:p>
        </w:tc>
        <w:tc>
          <w:tcPr>
            <w:tcW w:w="0" w:type="dxa"/>
            <w:vAlign w:val="bottom"/>
          </w:tcPr>
          <w:p>
            <w:pPr>
              <w:spacing w:after="0"/>
              <w:rPr>
                <w:sz w:val="1"/>
                <w:szCs w:val="1"/>
                <w:color w:val="auto"/>
              </w:rPr>
            </w:pPr>
          </w:p>
        </w:tc>
      </w:tr>
      <w:tr>
        <w:trPr>
          <w:trHeight w:val="204"/>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148,896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348,820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518,139</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(215,824)</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85,167</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62,910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197,423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302,315</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104,960,826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119,681,845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107,133,079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120,865,624</w:t>
            </w:r>
          </w:p>
        </w:tc>
        <w:tc>
          <w:tcPr>
            <w:tcW w:w="0" w:type="dxa"/>
            <w:vAlign w:val="bottom"/>
          </w:tcPr>
          <w:p>
            <w:pPr>
              <w:spacing w:after="0"/>
              <w:rPr>
                <w:sz w:val="1"/>
                <w:szCs w:val="1"/>
                <w:color w:val="auto"/>
              </w:rPr>
            </w:pPr>
          </w:p>
        </w:tc>
      </w:tr>
      <w:tr>
        <w:trPr>
          <w:trHeight w:val="208"/>
        </w:trPr>
        <w:tc>
          <w:tcPr>
            <w:tcW w:w="60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105,478,278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121,181,392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107,759,784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122,279,261</w:t>
            </w:r>
          </w:p>
        </w:tc>
        <w:tc>
          <w:tcPr>
            <w:tcW w:w="0" w:type="dxa"/>
            <w:vAlign w:val="bottom"/>
          </w:tcPr>
          <w:p>
            <w:pPr>
              <w:spacing w:after="0"/>
              <w:rPr>
                <w:sz w:val="1"/>
                <w:szCs w:val="1"/>
                <w:color w:val="auto"/>
              </w:rPr>
            </w:pPr>
          </w:p>
        </w:tc>
      </w:tr>
      <w:tr>
        <w:trPr>
          <w:trHeight w:val="211"/>
        </w:trPr>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148,896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108,907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348,820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518,139</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 adjustment, net of taxes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(3,610)</w:t>
            </w:r>
          </w:p>
        </w:tc>
        <w:tc>
          <w:tcPr>
            <w:tcW w:w="0" w:type="dxa"/>
            <w:vAlign w:val="bottom"/>
          </w:tcPr>
          <w:p>
            <w:pPr>
              <w:spacing w:after="0"/>
              <w:rPr>
                <w:sz w:val="1"/>
                <w:szCs w:val="1"/>
                <w:color w:val="auto"/>
              </w:rPr>
            </w:pPr>
          </w:p>
        </w:tc>
      </w:tr>
      <w:tr>
        <w:trPr>
          <w:trHeight w:val="211"/>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change in unrealized cash flow hedges gain (loss), net of taxes</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14,062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61,935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14,700</w:t>
            </w:r>
          </w:p>
        </w:tc>
        <w:tc>
          <w:tcPr>
            <w:tcW w:w="0" w:type="dxa"/>
            <w:vAlign w:val="bottom"/>
          </w:tcPr>
          <w:p>
            <w:pPr>
              <w:spacing w:after="0"/>
              <w:rPr>
                <w:sz w:val="1"/>
                <w:szCs w:val="1"/>
                <w:color w:val="auto"/>
              </w:rPr>
            </w:pPr>
          </w:p>
        </w:tc>
      </w:tr>
      <w:tr>
        <w:trPr>
          <w:trHeight w:val="20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40" w:type="dxa"/>
            <w:vAlign w:val="bottom"/>
          </w:tcPr>
          <w:p>
            <w:pPr>
              <w:spacing w:after="0"/>
              <w:rPr>
                <w:sz w:val="17"/>
                <w:szCs w:val="17"/>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143,148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529,229</w:t>
            </w:r>
          </w:p>
        </w:tc>
        <w:tc>
          <w:tcPr>
            <w:tcW w:w="0" w:type="dxa"/>
            <w:vAlign w:val="bottom"/>
          </w:tcPr>
          <w:p>
            <w:pPr>
              <w:spacing w:after="0"/>
              <w:rPr>
                <w:sz w:val="1"/>
                <w:szCs w:val="1"/>
                <w:color w:val="auto"/>
              </w:rPr>
            </w:pPr>
          </w:p>
        </w:tc>
      </w:tr>
      <w:tr>
        <w:trPr>
          <w:trHeight w:val="210"/>
        </w:trPr>
        <w:tc>
          <w:tcPr>
            <w:tcW w:w="6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(60,173)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(220,545)</w:t>
            </w:r>
          </w:p>
        </w:tc>
        <w:tc>
          <w:tcPr>
            <w:tcW w:w="0" w:type="dxa"/>
            <w:vAlign w:val="bottom"/>
          </w:tcPr>
          <w:p>
            <w:pPr>
              <w:spacing w:after="0"/>
              <w:rPr>
                <w:sz w:val="1"/>
                <w:szCs w:val="1"/>
                <w:color w:val="auto"/>
              </w:rPr>
            </w:pPr>
          </w:p>
        </w:tc>
      </w:tr>
      <w:tr>
        <w:trPr>
          <w:trHeight w:val="204"/>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common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82,975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58,838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221,445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308,684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6" w:name="page7"/>
    <w:bookmarkEnd w:id="6"/>
    <w:p>
      <w:pPr>
        <w:ind w:left="2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 (Unaudited)</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Three and Six months ended June 30, 2022, and 2021</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80" w:type="dxa"/>
            <w:vAlign w:val="bottom"/>
            <w:gridSpan w:val="5"/>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4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28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1280" w:type="dxa"/>
            <w:vAlign w:val="bottom"/>
            <w:gridSpan w:val="4"/>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vMerge w:val="continue"/>
          </w:tcPr>
          <w:p>
            <w:pPr>
              <w:spacing w:after="0"/>
              <w:rPr>
                <w:sz w:val="9"/>
                <w:szCs w:val="9"/>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10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2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68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3"/>
                <w:szCs w:val="13"/>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December 31, 2021</w:t>
            </w:r>
          </w:p>
        </w:tc>
        <w:tc>
          <w:tcPr>
            <w:tcW w:w="6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131,497,645</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9,359,065</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(18,326,863)</w:t>
            </w: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(494,075)</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1,223,119</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830,538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(10,196)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1,549,388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314,230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1,863,618</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1,669,030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27,377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27,377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27,377</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Repurchase of Class C common</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(234,269)</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(8,204)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(8,204)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(8,204)</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w:t>
            </w:r>
          </w:p>
        </w:tc>
        <w:tc>
          <w:tcPr>
            <w:tcW w:w="68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(612,844)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(8,908,544)</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(287,211)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(305,565)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(305,565)</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 options exercised</w:t>
            </w:r>
          </w:p>
        </w:tc>
        <w:tc>
          <w:tcPr>
            <w:tcW w:w="6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246,879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4,691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4,691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4,691</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112,257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112,257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87,668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199,925</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Foreign exchange translation</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(3,172)</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(3,172)</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(5,168)</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8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Net change in unrealized cash</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29,387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29,387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18,486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47,873</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Dividends ($0.24 per share of</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common stock and</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participating Restricted Stock</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 and Restricted Stock</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Awards) and distributions from</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Virtu Financial to</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(27,054)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(27,054)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(98,751)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(125,805)</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noncontrolling interest</w:t>
            </w:r>
          </w:p>
        </w:tc>
        <w:tc>
          <w:tcPr>
            <w:tcW w:w="68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Issuance of common stock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71,641</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Repurchase of Virtu Financial</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 number</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of Class C common stock in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(71,641)</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68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at March 31, 2022</w:t>
            </w: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132,872,351</w:t>
            </w: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9,053,155</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(27,235,407)</w:t>
            </w:r>
          </w:p>
        </w:tc>
        <w:tc>
          <w:tcPr>
            <w:tcW w:w="8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(781,286)</w:t>
            </w: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1,246,983</w:t>
            </w:r>
          </w:p>
        </w:tc>
        <w:tc>
          <w:tcPr>
            <w:tcW w:w="8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897,387</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16,019</w:t>
            </w:r>
          </w:p>
        </w:tc>
        <w:tc>
          <w:tcPr>
            <w:tcW w:w="80" w:type="dxa"/>
            <w:vAlign w:val="bottom"/>
          </w:tcPr>
          <w:p>
            <w:pPr>
              <w:spacing w:after="0"/>
              <w:rPr>
                <w:sz w:val="12"/>
                <w:szCs w:val="12"/>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1,379,105</w:t>
            </w:r>
          </w:p>
        </w:tc>
        <w:tc>
          <w:tcPr>
            <w:tcW w:w="80" w:type="dxa"/>
            <w:vAlign w:val="bottom"/>
          </w:tcPr>
          <w:p>
            <w:pPr>
              <w:spacing w:after="0"/>
              <w:rPr>
                <w:sz w:val="12"/>
                <w:szCs w:val="12"/>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319,637</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1,698,742</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9,411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9,411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9,411</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Class C common</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(1,800)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w:t>
            </w: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(1,762,756)</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(47,486)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(47,486)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(47,486)</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 options exercised</w:t>
            </w: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22,000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418</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85,167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85,167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63,729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148,896</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Foreign exchange translation</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(10,773)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(10,773)</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(9,037)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(19,810)</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change in unrealized cash</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8,580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8,580</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5,482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14,062</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8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Dividends ($0.24 per share of</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and Class B common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and participating</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Unit and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Awards) and</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distributions from Virtu</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Financial to noncontrolling</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(26,067)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(26,067)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(76,906)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(102,973)</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interest</w:t>
            </w: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21,289</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6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Virtu Financial</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 number</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of Class C common stock in</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(21,289)</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Contributions from</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39,200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39,200</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noncontrolling interests</w:t>
            </w:r>
          </w:p>
        </w:tc>
        <w:tc>
          <w:tcPr>
            <w:tcW w:w="68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at June 30, 2022</w:t>
            </w:r>
          </w:p>
        </w:tc>
        <w:tc>
          <w:tcPr>
            <w:tcW w:w="6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132,915,640</w:t>
            </w:r>
          </w:p>
        </w:tc>
        <w:tc>
          <w:tcPr>
            <w:tcW w:w="80" w:type="dxa"/>
            <w:vAlign w:val="bottom"/>
          </w:tcPr>
          <w:p>
            <w:pPr>
              <w:spacing w:after="0"/>
              <w:rPr>
                <w:sz w:val="11"/>
                <w:szCs w:val="11"/>
                <w:color w:val="auto"/>
              </w:rPr>
            </w:pPr>
          </w:p>
        </w:tc>
        <w:tc>
          <w:tcPr>
            <w:tcW w:w="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9,030,066</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(28,998,163)</w:t>
            </w:r>
          </w:p>
        </w:tc>
        <w:tc>
          <w:tcPr>
            <w:tcW w:w="80" w:type="dxa"/>
            <w:vAlign w:val="bottom"/>
          </w:tcPr>
          <w:p>
            <w:pPr>
              <w:spacing w:after="0"/>
              <w:rPr>
                <w:sz w:val="11"/>
                <w:szCs w:val="11"/>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 (828,772)</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1,256,760</w:t>
            </w:r>
          </w:p>
        </w:tc>
        <w:tc>
          <w:tcPr>
            <w:tcW w:w="8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956,487</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13,826</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1,398,303</w:t>
            </w:r>
          </w:p>
        </w:tc>
        <w:tc>
          <w:tcPr>
            <w:tcW w:w="80" w:type="dxa"/>
            <w:vAlign w:val="bottom"/>
          </w:tcPr>
          <w:p>
            <w:pPr>
              <w:spacing w:after="0"/>
              <w:rPr>
                <w:sz w:val="11"/>
                <w:szCs w:val="1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342,105</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1,740,408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74295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4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 (Unaudited)</w:t>
      </w:r>
    </w:p>
    <w:p>
      <w:pPr>
        <w:spacing w:after="0" w:line="1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b w:val="1"/>
          <w:bCs w:val="1"/>
          <w:color w:val="auto"/>
        </w:rPr>
        <w:t>Three and Six months ended June 30, 2022, and 2021</w:t>
      </w:r>
    </w:p>
    <w:p>
      <w:pPr>
        <w:spacing w:after="0" w:line="384" w:lineRule="exact"/>
        <w:rPr>
          <w:sz w:val="20"/>
          <w:szCs w:val="20"/>
          <w:color w:val="auto"/>
        </w:rPr>
      </w:pPr>
    </w:p>
    <w:tbl>
      <w:tblPr>
        <w:tblLayout w:type="fixed"/>
        <w:tblInd w:w="10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60" w:type="dxa"/>
            <w:vAlign w:val="bottom"/>
            <w:gridSpan w:val="5"/>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8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28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12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80" w:type="dxa"/>
            <w:vAlign w:val="bottom"/>
            <w:gridSpan w:val="5"/>
            <w:vMerge w:val="continue"/>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vMerge w:val="restart"/>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vMerge w:val="continue"/>
          </w:tcPr>
          <w:p>
            <w:pPr>
              <w:spacing w:after="0"/>
              <w:rPr>
                <w:sz w:val="9"/>
                <w:szCs w:val="9"/>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9"/>
                <w:szCs w:val="9"/>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w w:val="97"/>
              </w:rPr>
              <w:t>Amounts</w:t>
            </w: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9"/>
                <w:szCs w:val="9"/>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10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2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66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3"/>
                <w:szCs w:val="13"/>
                <w:color w:val="auto"/>
              </w:rPr>
            </w:pPr>
          </w:p>
        </w:tc>
        <w:tc>
          <w:tcPr>
            <w:tcW w:w="500" w:type="dxa"/>
            <w:vAlign w:val="bottom"/>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December 31,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125,627,277</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10,226,939</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(3,615,097)</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(88,923)</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1,160,567</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422,381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(25,487)</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1,468,540</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386,498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1,855,038</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1,896,407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27,450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27,450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27,450</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(615,794)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(2,277,409)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(63,359)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(16,059)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(79,418)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(79,418)</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 options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154,372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2,933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2,933</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239,405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239,405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169,827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409,232</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(2,165)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(2,165)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(1,511)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(3,676)</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12,607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12,607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9,299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21,906</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common stock and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participating Restricted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Restricted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Awards) and distributions from</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Virtu Financial to</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(30,147)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(30,147)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(159,239)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(189,386)</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noncontrolling interest</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91,757</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Virtu Financial</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number of Class C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in connection with</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(91,757)</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0"/>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employee exchanges</w:t>
            </w: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March 31, 2021</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127,154,019</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10,135,182</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(5,892,506)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(152,282)</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1,190,950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615,580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(15,045)</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1,639,205</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404,874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2,044,079</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32,916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7,444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7,444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7,444</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Repurchase of Class C common</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(45,622)</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(1,323)</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(5,489)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(3,358,003)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(101,305)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(101,419)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(101,419)</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Stock options exercised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253,625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4,819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4,819</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4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62,910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62,910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45,997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108,907</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66</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(4,115)</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(4,115)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(3,091)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(7,206)</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flow hedges losses</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and Class B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and participating</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Units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Restricted Stock Award) and</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distributions from Virtu</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Financial to noncontrolling</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(29,483)</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(29,483)</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(103,062)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(132,545)</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interest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Issuance of common stock in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290,524</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Repurchase of Virtu Financial</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number of Class C common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in connection with</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(290,524)</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employee exchanges</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vMerge w:val="continue"/>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Balance at June 30, 2021</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127,725,595</w:t>
            </w:r>
          </w:p>
        </w:tc>
        <w:tc>
          <w:tcPr>
            <w:tcW w:w="80" w:type="dxa"/>
            <w:vAlign w:val="bottom"/>
          </w:tcPr>
          <w:p>
            <w:pPr>
              <w:spacing w:after="0"/>
              <w:rPr>
                <w:sz w:val="11"/>
                <w:szCs w:val="11"/>
                <w:color w:val="auto"/>
              </w:rPr>
            </w:pPr>
          </w:p>
        </w:tc>
        <w:tc>
          <w:tcPr>
            <w:tcW w:w="22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9,799,036</w:t>
            </w:r>
          </w:p>
        </w:tc>
        <w:tc>
          <w:tcPr>
            <w:tcW w:w="80" w:type="dxa"/>
            <w:vAlign w:val="bottom"/>
          </w:tcPr>
          <w:p>
            <w:pPr>
              <w:spacing w:after="0"/>
              <w:rPr>
                <w:sz w:val="11"/>
                <w:szCs w:val="11"/>
                <w:color w:val="auto"/>
              </w:rPr>
            </w:pPr>
          </w:p>
        </w:tc>
        <w:tc>
          <w:tcPr>
            <w:tcW w:w="220" w:type="dxa"/>
            <w:vAlign w:val="bottom"/>
            <w:tcBorders>
              <w:top w:val="single" w:sz="8" w:color="auto"/>
            </w:tcBorders>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5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5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(9,250,509)</w:t>
            </w: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(253,587)</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1,201,890</w:t>
            </w:r>
          </w:p>
        </w:tc>
        <w:tc>
          <w:tcPr>
            <w:tcW w:w="80" w:type="dxa"/>
            <w:vAlign w:val="bottom"/>
          </w:tcPr>
          <w:p>
            <w:pPr>
              <w:spacing w:after="0"/>
              <w:rPr>
                <w:sz w:val="11"/>
                <w:szCs w:val="11"/>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648,893</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(19,117)</w:t>
            </w:r>
          </w:p>
        </w:tc>
        <w:tc>
          <w:tcPr>
            <w:tcW w:w="80" w:type="dxa"/>
            <w:vAlign w:val="bottom"/>
          </w:tcPr>
          <w:p>
            <w:pPr>
              <w:spacing w:after="0"/>
              <w:rPr>
                <w:sz w:val="11"/>
                <w:szCs w:val="11"/>
                <w:color w:val="auto"/>
              </w:rPr>
            </w:pPr>
          </w:p>
        </w:tc>
        <w:tc>
          <w:tcPr>
            <w:tcW w:w="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1,578,081</w:t>
            </w:r>
          </w:p>
        </w:tc>
        <w:tc>
          <w:tcPr>
            <w:tcW w:w="80" w:type="dxa"/>
            <w:vAlign w:val="bottom"/>
          </w:tcPr>
          <w:p>
            <w:pPr>
              <w:spacing w:after="0"/>
              <w:rPr>
                <w:sz w:val="11"/>
                <w:szCs w:val="11"/>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344,741</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rPr>
              <w:t>1,922,822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344"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348,820</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518,139</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33,812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33,127</w:t>
            </w:r>
          </w:p>
        </w:tc>
        <w:tc>
          <w:tcPr>
            <w:tcW w:w="0" w:type="dxa"/>
            <w:vAlign w:val="bottom"/>
          </w:tcPr>
          <w:p>
            <w:pPr>
              <w:spacing w:after="0"/>
              <w:rPr>
                <w:sz w:val="1"/>
                <w:szCs w:val="1"/>
                <w:color w:val="auto"/>
              </w:rPr>
            </w:pPr>
          </w:p>
        </w:tc>
      </w:tr>
      <w:tr>
        <w:trPr>
          <w:trHeight w:val="189"/>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4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32,757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36,154</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issue cost related to debt refinancing and prepayment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24,316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0" w:type="dxa"/>
            <w:vAlign w:val="bottom"/>
          </w:tcPr>
          <w:p>
            <w:pPr>
              <w:spacing w:after="0"/>
              <w:rPr>
                <w:sz w:val="1"/>
                <w:szCs w:val="1"/>
                <w:color w:val="auto"/>
              </w:rPr>
            </w:pPr>
          </w:p>
        </w:tc>
      </w:tr>
      <w:tr>
        <w:trPr>
          <w:trHeight w:val="189"/>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 and deferred financing fees</w:t>
            </w:r>
          </w:p>
        </w:tc>
        <w:tc>
          <w:tcPr>
            <w:tcW w:w="24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3,547</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1,384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w:t>
            </w:r>
          </w:p>
        </w:tc>
        <w:tc>
          <w:tcPr>
            <w:tcW w:w="0" w:type="dxa"/>
            <w:vAlign w:val="bottom"/>
          </w:tcPr>
          <w:p>
            <w:pPr>
              <w:spacing w:after="0"/>
              <w:rPr>
                <w:sz w:val="1"/>
                <w:szCs w:val="1"/>
                <w:color w:val="auto"/>
              </w:rPr>
            </w:pPr>
          </w:p>
        </w:tc>
      </w:tr>
      <w:tr>
        <w:trPr>
          <w:trHeight w:val="189"/>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4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32,709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25,330</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16,604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12,714</w:t>
            </w:r>
          </w:p>
        </w:tc>
        <w:tc>
          <w:tcPr>
            <w:tcW w:w="0" w:type="dxa"/>
            <w:vAlign w:val="bottom"/>
          </w:tcPr>
          <w:p>
            <w:pPr>
              <w:spacing w:after="0"/>
              <w:rPr>
                <w:sz w:val="1"/>
                <w:szCs w:val="1"/>
                <w:color w:val="auto"/>
              </w:rPr>
            </w:pPr>
          </w:p>
        </w:tc>
      </w:tr>
      <w:tr>
        <w:trPr>
          <w:trHeight w:val="189"/>
        </w:trPr>
        <w:tc>
          <w:tcPr>
            <w:tcW w:w="71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5,335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1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Securities borrowed</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(110,281)</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(31,689)</w:t>
            </w:r>
          </w:p>
        </w:tc>
        <w:tc>
          <w:tcPr>
            <w:tcW w:w="0" w:type="dxa"/>
            <w:vAlign w:val="bottom"/>
          </w:tcPr>
          <w:p>
            <w:pPr>
              <w:spacing w:after="0"/>
              <w:rPr>
                <w:sz w:val="1"/>
                <w:szCs w:val="1"/>
                <w:color w:val="auto"/>
              </w:rPr>
            </w:pPr>
          </w:p>
        </w:tc>
      </w:tr>
      <w:tr>
        <w:trPr>
          <w:trHeight w:val="189"/>
        </w:trPr>
        <w:tc>
          <w:tcPr>
            <w:tcW w:w="71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(392,821)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74,941</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(923,766)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(526,615)</w:t>
            </w:r>
          </w:p>
        </w:tc>
        <w:tc>
          <w:tcPr>
            <w:tcW w:w="0" w:type="dxa"/>
            <w:vAlign w:val="bottom"/>
          </w:tcPr>
          <w:p>
            <w:pPr>
              <w:spacing w:after="0"/>
              <w:rPr>
                <w:sz w:val="1"/>
                <w:szCs w:val="1"/>
                <w:color w:val="auto"/>
              </w:rPr>
            </w:pPr>
          </w:p>
        </w:tc>
      </w:tr>
      <w:tr>
        <w:trPr>
          <w:trHeight w:val="189"/>
        </w:trPr>
        <w:tc>
          <w:tcPr>
            <w:tcW w:w="71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6,231</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16,852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27,472</w:t>
            </w:r>
          </w:p>
        </w:tc>
        <w:tc>
          <w:tcPr>
            <w:tcW w:w="0" w:type="dxa"/>
            <w:vAlign w:val="bottom"/>
          </w:tcPr>
          <w:p>
            <w:pPr>
              <w:spacing w:after="0"/>
              <w:rPr>
                <w:sz w:val="1"/>
                <w:szCs w:val="1"/>
                <w:color w:val="auto"/>
              </w:rPr>
            </w:pPr>
          </w:p>
        </w:tc>
      </w:tr>
      <w:tr>
        <w:trPr>
          <w:trHeight w:val="189"/>
        </w:trPr>
        <w:tc>
          <w:tcPr>
            <w:tcW w:w="71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(71,206)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47,750</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Securities loaned</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(92,439)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194,485</w:t>
            </w:r>
          </w:p>
        </w:tc>
        <w:tc>
          <w:tcPr>
            <w:tcW w:w="0" w:type="dxa"/>
            <w:vAlign w:val="bottom"/>
          </w:tcPr>
          <w:p>
            <w:pPr>
              <w:spacing w:after="0"/>
              <w:rPr>
                <w:sz w:val="1"/>
                <w:szCs w:val="1"/>
                <w:color w:val="auto"/>
              </w:rPr>
            </w:pPr>
          </w:p>
        </w:tc>
      </w:tr>
      <w:tr>
        <w:trPr>
          <w:trHeight w:val="189"/>
        </w:trPr>
        <w:tc>
          <w:tcPr>
            <w:tcW w:w="71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29,644</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195,306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(85,160)</w:t>
            </w:r>
          </w:p>
        </w:tc>
        <w:tc>
          <w:tcPr>
            <w:tcW w:w="0" w:type="dxa"/>
            <w:vAlign w:val="bottom"/>
          </w:tcPr>
          <w:p>
            <w:pPr>
              <w:spacing w:after="0"/>
              <w:rPr>
                <w:sz w:val="1"/>
                <w:szCs w:val="1"/>
                <w:color w:val="auto"/>
              </w:rPr>
            </w:pPr>
          </w:p>
        </w:tc>
      </w:tr>
      <w:tr>
        <w:trPr>
          <w:trHeight w:val="189"/>
        </w:trPr>
        <w:tc>
          <w:tcPr>
            <w:tcW w:w="71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Payables to customers</w:t>
            </w:r>
          </w:p>
        </w:tc>
        <w:tc>
          <w:tcPr>
            <w:tcW w:w="24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51,970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9,033</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960,450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199,680</w:t>
            </w:r>
          </w:p>
        </w:tc>
        <w:tc>
          <w:tcPr>
            <w:tcW w:w="0" w:type="dxa"/>
            <w:vAlign w:val="bottom"/>
          </w:tcPr>
          <w:p>
            <w:pPr>
              <w:spacing w:after="0"/>
              <w:rPr>
                <w:sz w:val="1"/>
                <w:szCs w:val="1"/>
                <w:color w:val="auto"/>
              </w:rPr>
            </w:pPr>
          </w:p>
        </w:tc>
      </w:tr>
      <w:tr>
        <w:trPr>
          <w:trHeight w:val="189"/>
        </w:trPr>
        <w:tc>
          <w:tcPr>
            <w:tcW w:w="71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(29,005)</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(48,377)</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(76,580)</w:t>
            </w:r>
          </w:p>
        </w:tc>
        <w:tc>
          <w:tcPr>
            <w:tcW w:w="0" w:type="dxa"/>
            <w:vAlign w:val="bottom"/>
          </w:tcPr>
          <w:p>
            <w:pPr>
              <w:spacing w:after="0"/>
              <w:rPr>
                <w:sz w:val="1"/>
                <w:szCs w:val="1"/>
                <w:color w:val="auto"/>
              </w:rPr>
            </w:pPr>
          </w:p>
        </w:tc>
      </w:tr>
      <w:tr>
        <w:trPr>
          <w:trHeight w:val="183"/>
        </w:trPr>
        <w:tc>
          <w:tcPr>
            <w:tcW w:w="71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4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57,622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355,441</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Development of capitalized software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(25,193)</w:t>
            </w:r>
          </w:p>
        </w:tc>
        <w:tc>
          <w:tcPr>
            <w:tcW w:w="0" w:type="dxa"/>
            <w:vAlign w:val="bottom"/>
          </w:tcPr>
          <w:p>
            <w:pPr>
              <w:spacing w:after="0"/>
              <w:rPr>
                <w:sz w:val="1"/>
                <w:szCs w:val="1"/>
                <w:color w:val="auto"/>
              </w:rPr>
            </w:pPr>
          </w:p>
        </w:tc>
      </w:tr>
      <w:tr>
        <w:trPr>
          <w:trHeight w:val="189"/>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(12,589)</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45,018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(4,956)</w:t>
            </w:r>
          </w:p>
        </w:tc>
        <w:tc>
          <w:tcPr>
            <w:tcW w:w="0" w:type="dxa"/>
            <w:vAlign w:val="bottom"/>
          </w:tcPr>
          <w:p>
            <w:pPr>
              <w:spacing w:after="0"/>
              <w:rPr>
                <w:sz w:val="1"/>
                <w:szCs w:val="1"/>
                <w:color w:val="auto"/>
              </w:rPr>
            </w:pPr>
          </w:p>
        </w:tc>
      </w:tr>
      <w:tr>
        <w:trPr>
          <w:trHeight w:val="183"/>
        </w:trPr>
        <w:tc>
          <w:tcPr>
            <w:tcW w:w="71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40" w:type="dxa"/>
            <w:vAlign w:val="bottom"/>
          </w:tcPr>
          <w:p>
            <w:pPr>
              <w:spacing w:after="0"/>
              <w:rPr>
                <w:sz w:val="15"/>
                <w:szCs w:val="15"/>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(42,738)</w:t>
            </w:r>
          </w:p>
        </w:tc>
        <w:tc>
          <w:tcPr>
            <w:tcW w:w="0" w:type="dxa"/>
            <w:vAlign w:val="bottom"/>
          </w:tcPr>
          <w:p>
            <w:pPr>
              <w:spacing w:after="0"/>
              <w:rPr>
                <w:sz w:val="1"/>
                <w:szCs w:val="1"/>
                <w:color w:val="auto"/>
              </w:rPr>
            </w:pPr>
          </w:p>
        </w:tc>
      </w:tr>
      <w:tr>
        <w:trPr>
          <w:trHeight w:val="217"/>
        </w:trPr>
        <w:tc>
          <w:tcPr>
            <w:tcW w:w="6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to stockholders and distributions from Virtu Financial to noncontrolling interest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(321,931)</w:t>
            </w:r>
          </w:p>
        </w:tc>
        <w:tc>
          <w:tcPr>
            <w:tcW w:w="0" w:type="dxa"/>
            <w:vAlign w:val="bottom"/>
          </w:tcPr>
          <w:p>
            <w:pPr>
              <w:spacing w:after="0"/>
              <w:rPr>
                <w:sz w:val="1"/>
                <w:szCs w:val="1"/>
                <w:color w:val="auto"/>
              </w:rPr>
            </w:pPr>
          </w:p>
        </w:tc>
      </w:tr>
      <w:tr>
        <w:trPr>
          <w:trHeight w:val="189"/>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Repurchase of Class C common stock</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(180,837)</w:t>
            </w:r>
          </w:p>
        </w:tc>
        <w:tc>
          <w:tcPr>
            <w:tcW w:w="0" w:type="dxa"/>
            <w:vAlign w:val="bottom"/>
          </w:tcPr>
          <w:p>
            <w:pPr>
              <w:spacing w:after="0"/>
              <w:rPr>
                <w:sz w:val="1"/>
                <w:szCs w:val="1"/>
                <w:color w:val="auto"/>
              </w:rPr>
            </w:pPr>
          </w:p>
        </w:tc>
      </w:tr>
      <w:tr>
        <w:trPr>
          <w:trHeight w:val="189"/>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 options exercised</w:t>
            </w:r>
          </w:p>
        </w:tc>
        <w:tc>
          <w:tcPr>
            <w:tcW w:w="24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7,752</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Short-term borrowings, net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94,945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151,396</w:t>
            </w:r>
          </w:p>
        </w:tc>
        <w:tc>
          <w:tcPr>
            <w:tcW w:w="0" w:type="dxa"/>
            <w:vAlign w:val="bottom"/>
          </w:tcPr>
          <w:p>
            <w:pPr>
              <w:spacing w:after="0"/>
              <w:rPr>
                <w:sz w:val="1"/>
                <w:szCs w:val="1"/>
                <w:color w:val="auto"/>
              </w:rPr>
            </w:pPr>
          </w:p>
        </w:tc>
      </w:tr>
      <w:tr>
        <w:trPr>
          <w:trHeight w:val="189"/>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4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1,800,000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long term borrowings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(1,599,774)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(36,737)</w:t>
            </w:r>
          </w:p>
        </w:tc>
        <w:tc>
          <w:tcPr>
            <w:tcW w:w="0" w:type="dxa"/>
            <w:vAlign w:val="bottom"/>
          </w:tcPr>
          <w:p>
            <w:pPr>
              <w:spacing w:after="0"/>
              <w:rPr>
                <w:sz w:val="1"/>
                <w:szCs w:val="1"/>
                <w:color w:val="auto"/>
              </w:rPr>
            </w:pPr>
          </w:p>
        </w:tc>
      </w:tr>
      <w:tr>
        <w:trPr>
          <w:trHeight w:val="189"/>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Tax receivable agreement obligations</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(16,505)</w:t>
            </w:r>
          </w:p>
        </w:tc>
        <w:tc>
          <w:tcPr>
            <w:tcW w:w="0" w:type="dxa"/>
            <w:vAlign w:val="bottom"/>
          </w:tcPr>
          <w:p>
            <w:pPr>
              <w:spacing w:after="0"/>
              <w:rPr>
                <w:sz w:val="1"/>
                <w:szCs w:val="1"/>
                <w:color w:val="auto"/>
              </w:rPr>
            </w:pPr>
          </w:p>
        </w:tc>
      </w:tr>
      <w:tr>
        <w:trPr>
          <w:trHeight w:val="204"/>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(2,658)</w:t>
            </w:r>
          </w:p>
        </w:tc>
        <w:tc>
          <w:tcPr>
            <w:tcW w:w="0" w:type="dxa"/>
            <w:vAlign w:val="bottom"/>
          </w:tcPr>
          <w:p>
            <w:pPr>
              <w:spacing w:after="0"/>
              <w:rPr>
                <w:sz w:val="1"/>
                <w:szCs w:val="1"/>
                <w:color w:val="auto"/>
              </w:rPr>
            </w:pPr>
          </w:p>
        </w:tc>
      </w:tr>
      <w:tr>
        <w:trPr>
          <w:trHeight w:val="190"/>
        </w:trPr>
        <w:tc>
          <w:tcPr>
            <w:tcW w:w="7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39,200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(400,843)</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(3,610)</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(91,750)</w:t>
            </w:r>
          </w:p>
        </w:tc>
        <w:tc>
          <w:tcPr>
            <w:tcW w:w="0" w:type="dxa"/>
            <w:vAlign w:val="bottom"/>
          </w:tcPr>
          <w:p>
            <w:pPr>
              <w:spacing w:after="0"/>
              <w:rPr>
                <w:sz w:val="1"/>
                <w:szCs w:val="1"/>
                <w:color w:val="auto"/>
              </w:rPr>
            </w:pPr>
          </w:p>
        </w:tc>
      </w:tr>
      <w:tr>
        <w:trPr>
          <w:trHeight w:val="190"/>
        </w:trPr>
        <w:tc>
          <w:tcPr>
            <w:tcW w:w="7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or segregated cash, beginning of period</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1,120,953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1,007,005</w:t>
            </w:r>
          </w:p>
        </w:tc>
        <w:tc>
          <w:tcPr>
            <w:tcW w:w="0" w:type="dxa"/>
            <w:vAlign w:val="bottom"/>
          </w:tcPr>
          <w:p>
            <w:pPr>
              <w:spacing w:after="0"/>
              <w:rPr>
                <w:sz w:val="1"/>
                <w:szCs w:val="1"/>
                <w:color w:val="auto"/>
              </w:rPr>
            </w:pPr>
          </w:p>
        </w:tc>
      </w:tr>
      <w:tr>
        <w:trPr>
          <w:trHeight w:val="221"/>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or segregated cash, end of period</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849,770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915,255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Supplementary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-94615</wp:posOffset>
            </wp:positionV>
            <wp:extent cx="6080125" cy="1244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80125" cy="12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344"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4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69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Cash paid for interest</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104,765</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75,548</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taxes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103,083</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Share-based and accrued incentive compensation to developers relating to capitalized software</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(Unaudited)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shares and per share amounts, unless otherwise noted)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Basis of Presentation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Organization</w:t>
      </w:r>
    </w:p>
    <w:p>
      <w:pPr>
        <w:spacing w:after="0" w:line="254" w:lineRule="exact"/>
        <w:rPr>
          <w:sz w:val="20"/>
          <w:szCs w:val="20"/>
          <w:color w:val="auto"/>
        </w:rPr>
      </w:pPr>
    </w:p>
    <w:p>
      <w:pPr>
        <w:ind w:right="160" w:firstLine="629"/>
        <w:spacing w:after="0" w:line="270"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June 30, 2022, VFI owned approximately 61.0% of the membership interests of Virtu Financial. VFI is the sole managing member of Virtu Financial and operates and controls all of the businesses and affairs of Virtu Financial and its subsidiaries (the “Group”).</w:t>
      </w:r>
    </w:p>
    <w:p>
      <w:pPr>
        <w:spacing w:after="0" w:line="194"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spacing w:after="0" w:line="200" w:lineRule="exact"/>
        <w:rPr>
          <w:sz w:val="20"/>
          <w:szCs w:val="20"/>
          <w:color w:val="auto"/>
        </w:rPr>
      </w:pPr>
    </w:p>
    <w:p>
      <w:pPr>
        <w:spacing w:after="0" w:line="213" w:lineRule="exact"/>
        <w:rPr>
          <w:sz w:val="20"/>
          <w:szCs w:val="20"/>
          <w:color w:val="auto"/>
        </w:rPr>
      </w:pPr>
    </w:p>
    <w:p>
      <w:pPr>
        <w:ind w:right="340" w:firstLine="629"/>
        <w:spacing w:after="0" w:line="270" w:lineRule="auto"/>
        <w:rPr>
          <w:sz w:val="20"/>
          <w:szCs w:val="20"/>
          <w:color w:val="auto"/>
        </w:rPr>
      </w:pPr>
      <w:r>
        <w:rPr>
          <w:rFonts w:ascii="Times New Roman" w:cs="Times New Roman" w:eastAsia="Times New Roman" w:hAnsi="Times New Roman"/>
          <w:sz w:val="17"/>
          <w:szCs w:val="17"/>
          <w:color w:val="auto"/>
        </w:rPr>
        <w:t>The Company has completed two significant acquisitions over the past five years that have expanded and complemented Virtu Financial's original electronic trading and marking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 ITG's business contributes to the Company's Execution Services segment.</w:t>
      </w:r>
    </w:p>
    <w:p>
      <w:pPr>
        <w:spacing w:after="0" w:line="194" w:lineRule="exact"/>
        <w:rPr>
          <w:sz w:val="20"/>
          <w:szCs w:val="20"/>
          <w:color w:val="auto"/>
        </w:rPr>
      </w:pPr>
    </w:p>
    <w:p>
      <w:pPr>
        <w:ind w:right="140" w:firstLine="629"/>
        <w:spacing w:after="0" w:line="262" w:lineRule="auto"/>
        <w:rPr>
          <w:sz w:val="20"/>
          <w:szCs w:val="20"/>
          <w:color w:val="auto"/>
        </w:rPr>
      </w:pPr>
      <w:r>
        <w:rPr>
          <w:rFonts w:ascii="Times New Roman" w:cs="Times New Roman" w:eastAsia="Times New Roman" w:hAnsi="Times New Roman"/>
          <w:sz w:val="17"/>
          <w:szCs w:val="17"/>
          <w:color w:val="auto"/>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pre-and post-trade analysis, fair value, and trade optimization services; and Virtu ITG Platforms LLC, a provider of workflow technology solutions and network connectivity services. Principal foreign subsidiaries include Virtu Financial Ireland Limited ("VFIL") and Virtu ITG Europe Limited ("VIEL"), each formed in Ireland; Virtu ITG UK Limited ("VIUK"), formed in the United Kingdom; Virtu ITG Canada Corp. and Virtu Financial Canada ULC, each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205" w:lineRule="exact"/>
        <w:rPr>
          <w:sz w:val="20"/>
          <w:szCs w:val="20"/>
          <w:color w:val="auto"/>
        </w:rPr>
      </w:pPr>
    </w:p>
    <w:p>
      <w:pPr>
        <w:ind w:right="280" w:firstLine="629"/>
        <w:spacing w:after="0" w:line="296" w:lineRule="auto"/>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 See Note 20 "Geographic Information and Business Segments" for a further discussion of the Company’s segments.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Consolidation and Form of Presentation</w:t>
      </w:r>
    </w:p>
    <w:p>
      <w:pPr>
        <w:spacing w:after="0" w:line="241"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are unaudited and should be read in conjunction with the audited consolidated financial statements included in the Company’s Annual Report on Form 10-K for the year ended December 31, 2021. The condensed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Company does not own as noncontrolling interests. All intercompany accounts and transactions have been eliminated in consolidation.</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34" w:lineRule="exact"/>
        <w:rPr>
          <w:sz w:val="20"/>
          <w:szCs w:val="20"/>
          <w:color w:val="auto"/>
        </w:rPr>
      </w:pPr>
    </w:p>
    <w:p>
      <w:pPr>
        <w:ind w:right="820" w:firstLine="629"/>
        <w:spacing w:after="0" w:line="274" w:lineRule="auto"/>
        <w:rPr>
          <w:sz w:val="20"/>
          <w:szCs w:val="20"/>
          <w:color w:val="auto"/>
        </w:rPr>
      </w:pPr>
      <w:r>
        <w:rPr>
          <w:rFonts w:ascii="Times New Roman" w:cs="Times New Roman" w:eastAsia="Times New Roman" w:hAnsi="Times New Roman"/>
          <w:sz w:val="17"/>
          <w:szCs w:val="17"/>
          <w:color w:val="auto"/>
        </w:rPr>
        <w:t>For a detailed discussion of the Company's significant accounting policies, see Note 2 "Summary of Significant Accounting Policies" in our consolidated financial statements included in Part II, Item 8 of our Annual Report on Form 10-K for the year ended December 31, 2021.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Recently Adopted</w:t>
      </w:r>
    </w:p>
    <w:p>
      <w:pPr>
        <w:spacing w:after="0" w:line="248" w:lineRule="exact"/>
        <w:rPr>
          <w:sz w:val="20"/>
          <w:szCs w:val="20"/>
          <w:color w:val="auto"/>
        </w:rPr>
      </w:pPr>
    </w:p>
    <w:p>
      <w:pPr>
        <w:ind w:right="2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Convertible Instruments </w:t>
      </w:r>
      <w:r>
        <w:rPr>
          <w:rFonts w:ascii="Times New Roman" w:cs="Times New Roman" w:eastAsia="Times New Roman" w:hAnsi="Times New Roman"/>
          <w:sz w:val="17"/>
          <w:szCs w:val="17"/>
          <w:color w:val="auto"/>
        </w:rPr>
        <w:t>- In August 2020, the FASB issued ASU 2020-06,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Debt - Debt with Conversion and Other Options (Subtopic 470-20)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 xml:space="preserve">Derivatives and Hedging - Contracts in Entity's Own Equity (Subtopic 815-40). </w:t>
      </w:r>
      <w:r>
        <w:rPr>
          <w:rFonts w:ascii="Times New Roman" w:cs="Times New Roman" w:eastAsia="Times New Roman" w:hAnsi="Times New Roman"/>
          <w:sz w:val="17"/>
          <w:szCs w:val="17"/>
          <w:color w:val="auto"/>
        </w:rPr>
        <w:t>The ASU simplifies accounting for certain financial instruments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characteristics of liabilities and equity, including convertible instruments and contracts in an entity's own equity and updates selected earnings per share ("EPS") guidance. The Company adopted this ASU on January 1, 2022 and it did not have a material impact on its condensed consolidated financial statements.</w:t>
      </w:r>
    </w:p>
    <w:p>
      <w:pPr>
        <w:spacing w:after="0" w:line="188"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Reference Rate Reform </w:t>
      </w:r>
      <w:r>
        <w:rPr>
          <w:rFonts w:ascii="Times New Roman" w:cs="Times New Roman" w:eastAsia="Times New Roman" w:hAnsi="Times New Roman"/>
          <w:sz w:val="17"/>
          <w:szCs w:val="17"/>
          <w:color w:val="auto"/>
        </w:rPr>
        <w:t>- In March 2020, the FASB issued ASU 2020-04,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Reference Rate Reform (Topic 848): Facilitation of the Effects of Reference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Rate Reform on Financial Reporting</w:t>
      </w:r>
      <w:r>
        <w:rPr>
          <w:rFonts w:ascii="Times New Roman" w:cs="Times New Roman" w:eastAsia="Times New Roman" w:hAnsi="Times New Roman"/>
          <w:sz w:val="17"/>
          <w:szCs w:val="17"/>
          <w:color w:val="auto"/>
        </w:rPr>
        <w:t>, which is designed to ease the potential burden in accounting for the transition away from LIBOR. The ASU applies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contracts, hedging relationships, and other transactions that reference LIBOR or another reference rate expected to be discontinued and replaced with alternative reference rates as a result of reference rate reform. The ASU provides optional expedients and exceptions for applying U.S. GAAP to contracts, hedging relationships, and other transactions affected by reference rate reform if certain criteria are met. The ASU is effective for all entities as of March 12, 2020 through December 31, 2022. In January 2021, the FASB issued ASU 2021-01, </w:t>
      </w:r>
      <w:r>
        <w:rPr>
          <w:rFonts w:ascii="Times New Roman" w:cs="Times New Roman" w:eastAsia="Times New Roman" w:hAnsi="Times New Roman"/>
          <w:sz w:val="17"/>
          <w:szCs w:val="17"/>
          <w:i w:val="1"/>
          <w:iCs w:val="1"/>
          <w:color w:val="auto"/>
        </w:rPr>
        <w:t>Reference Rate Reform (Topic 848): Scope,</w:t>
      </w:r>
      <w:r>
        <w:rPr>
          <w:rFonts w:ascii="Times New Roman" w:cs="Times New Roman" w:eastAsia="Times New Roman" w:hAnsi="Times New Roman"/>
          <w:sz w:val="17"/>
          <w:szCs w:val="17"/>
          <w:color w:val="auto"/>
        </w:rPr>
        <w:t xml:space="preserve"> which expands the scope of Topic 848 to include derivative instruments that are affected by changes in the interest rates used for margining, discounting or contract price alignment as part of the market transition to new reference rates (the "discounting transition"). The Company adopted these ASUs on April 1, 2022, and this did not have a material impact on its condensed consolidated financial statements and related disclosures.</w:t>
      </w:r>
    </w:p>
    <w:p>
      <w:pPr>
        <w:spacing w:after="0" w:line="201" w:lineRule="exact"/>
        <w:rPr>
          <w:sz w:val="20"/>
          <w:szCs w:val="20"/>
          <w:color w:val="auto"/>
        </w:rPr>
      </w:pPr>
    </w:p>
    <w:p>
      <w:pPr>
        <w:ind w:right="80"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Financial Instruments - Credit Losses </w:t>
      </w:r>
      <w:r>
        <w:rPr>
          <w:rFonts w:ascii="Times New Roman" w:cs="Times New Roman" w:eastAsia="Times New Roman" w:hAnsi="Times New Roman"/>
          <w:sz w:val="17"/>
          <w:szCs w:val="17"/>
          <w:color w:val="auto"/>
        </w:rPr>
        <w:t>- In March 2022, the FASB issued ASU 2022-02,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Financial Instruments - Credit Losses (Topic 326)</w:t>
      </w:r>
      <w:r>
        <w:rPr>
          <w:rFonts w:ascii="Times New Roman" w:cs="Times New Roman" w:eastAsia="Times New Roman" w:hAnsi="Times New Roman"/>
          <w:sz w:val="17"/>
          <w:szCs w:val="17"/>
          <w:color w:val="auto"/>
        </w:rPr>
        <w:t>. The ASU</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eliminates the accounting guidance for trouble debt restructurings by creditors in Subtopic 310-40, and enhances the disclosure requirements for modifications of loans to borrowers experiencing financial difficulty. Additionally, the ASU requires disclosure of gross writeoffs of receivables by year of origination for receivables within the scope of Subtopic 326-20, </w:t>
      </w:r>
      <w:r>
        <w:rPr>
          <w:rFonts w:ascii="Times New Roman" w:cs="Times New Roman" w:eastAsia="Times New Roman" w:hAnsi="Times New Roman"/>
          <w:sz w:val="17"/>
          <w:szCs w:val="17"/>
          <w:i w:val="1"/>
          <w:iCs w:val="1"/>
          <w:color w:val="auto"/>
        </w:rPr>
        <w:t>Financial Instruments - Credit Losses - Measured at Amortized Cost</w:t>
      </w:r>
      <w:r>
        <w:rPr>
          <w:rFonts w:ascii="Times New Roman" w:cs="Times New Roman" w:eastAsia="Times New Roman" w:hAnsi="Times New Roman"/>
          <w:sz w:val="17"/>
          <w:szCs w:val="17"/>
          <w:color w:val="auto"/>
        </w:rPr>
        <w:t>. This ASU is effective for periods beginning after December 15, 2022. The Company adopted this ASU on April 1, 2022 and it did not have a material impact on its condensed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Not Yet Adopted as of June 30, 2022</w:t>
      </w:r>
    </w:p>
    <w:p>
      <w:pPr>
        <w:spacing w:after="0" w:line="248" w:lineRule="exact"/>
        <w:rPr>
          <w:sz w:val="20"/>
          <w:szCs w:val="20"/>
          <w:color w:val="auto"/>
        </w:rPr>
      </w:pPr>
    </w:p>
    <w:p>
      <w:pPr>
        <w:ind w:right="18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Derivatives and Hedging </w:t>
      </w:r>
      <w:r>
        <w:rPr>
          <w:rFonts w:ascii="Times New Roman" w:cs="Times New Roman" w:eastAsia="Times New Roman" w:hAnsi="Times New Roman"/>
          <w:sz w:val="17"/>
          <w:szCs w:val="17"/>
          <w:color w:val="auto"/>
        </w:rPr>
        <w:t>- In March 2022, the FASB issued ASU 2022-01,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Derivatives and Hedging - Fair Value Hedging - Portfolio Layer Method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(Topic 815)</w:t>
      </w:r>
      <w:r>
        <w:rPr>
          <w:rFonts w:ascii="Times New Roman" w:cs="Times New Roman" w:eastAsia="Times New Roman" w:hAnsi="Times New Roman"/>
          <w:sz w:val="17"/>
          <w:szCs w:val="17"/>
          <w:color w:val="auto"/>
        </w:rPr>
        <w:t>. The ASU expands the scope of permissible hedging, and permits the use of different derivative structures as hedging instruments. The ASU also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clarifies the certain terms for partial-term fair value hedges of interest rate risk. This ASU is effective for periods beginning after December 15, 2022. The Company is currently evaluating the impact of this ASU but does not expect it to have a material impact on its condensed consolidated financial statements.</w:t>
      </w:r>
    </w:p>
    <w:p>
      <w:pPr>
        <w:spacing w:after="0" w:line="188" w:lineRule="exact"/>
        <w:rPr>
          <w:sz w:val="20"/>
          <w:szCs w:val="20"/>
          <w:color w:val="auto"/>
        </w:rPr>
      </w:pPr>
    </w:p>
    <w:p>
      <w:pPr>
        <w:jc w:val="both"/>
        <w:ind w:right="22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Fair Value Measurement </w:t>
      </w:r>
      <w:r>
        <w:rPr>
          <w:rFonts w:ascii="Times New Roman" w:cs="Times New Roman" w:eastAsia="Times New Roman" w:hAnsi="Times New Roman"/>
          <w:sz w:val="17"/>
          <w:szCs w:val="17"/>
          <w:color w:val="auto"/>
        </w:rPr>
        <w:t>- In June 2022, the FASB issued ASU 2022-03,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Fair Value Measurement of Equity Securities Subject to Contractual Sale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Restrictions (Topic 326)</w:t>
      </w:r>
      <w:r>
        <w:rPr>
          <w:rFonts w:ascii="Times New Roman" w:cs="Times New Roman" w:eastAsia="Times New Roman" w:hAnsi="Times New Roman"/>
          <w:sz w:val="17"/>
          <w:szCs w:val="17"/>
          <w:color w:val="auto"/>
        </w:rPr>
        <w:t>. The ASU clarifies the impact of contractual sale restrictions on the fair value of an equity security. Additionally, this ASU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 of the nature and remaining duration of the sale restriction. This ASU is effective for periods beginning after December 15, 2023. The Company is currently evaluating the impact of this ASU but does not expect it to have a material impact on its condensed consolidated financial statements.</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5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3. Earnings per Share</w:t>
      </w:r>
    </w:p>
    <w:p>
      <w:pPr>
        <w:spacing w:after="0" w:line="252" w:lineRule="exact"/>
        <w:rPr>
          <w:sz w:val="20"/>
          <w:szCs w:val="20"/>
          <w:color w:val="auto"/>
        </w:rPr>
      </w:pPr>
    </w:p>
    <w:p>
      <w:pPr>
        <w:ind w:right="680" w:firstLine="629"/>
        <w:spacing w:after="0" w:line="277" w:lineRule="auto"/>
        <w:rPr>
          <w:sz w:val="20"/>
          <w:szCs w:val="20"/>
          <w:color w:val="auto"/>
        </w:rPr>
      </w:pPr>
      <w:r>
        <w:rPr>
          <w:rFonts w:ascii="Times New Roman" w:cs="Times New Roman" w:eastAsia="Times New Roman" w:hAnsi="Times New Roman"/>
          <w:sz w:val="17"/>
          <w:szCs w:val="17"/>
          <w:color w:val="auto"/>
        </w:rPr>
        <w:t>The below table contains a reconciliation of Net income before income taxes and noncontrolling interest to Net income available for common stockholders: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598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173,784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415,494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624,789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5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24,888</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26,095</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66,674</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106,650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148,896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108,907</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348,820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518,139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(63,729)</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(45,997)</w:t>
            </w: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(151,397)</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59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available for common stockholders</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85,167</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62,910</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197,423</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302,315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80" w:type="dxa"/>
            <w:vAlign w:val="bottom"/>
            <w:tcBorders>
              <w:top w:val="single" w:sz="8" w:color="CCEEFF"/>
              <w:bottom w:val="single" w:sz="8" w:color="CCEEFF"/>
            </w:tcBorders>
            <w:gridSpan w:val="2"/>
            <w:vMerge w:val="restart"/>
          </w:tcPr>
          <w:p>
            <w:pPr>
              <w:ind w:left="560"/>
              <w:spacing w:after="0"/>
              <w:rPr>
                <w:sz w:val="20"/>
                <w:szCs w:val="20"/>
                <w:color w:val="auto"/>
              </w:rPr>
            </w:pPr>
            <w:r>
              <w:rPr>
                <w:rFonts w:ascii="Times New Roman" w:cs="Times New Roman" w:eastAsia="Times New Roman" w:hAnsi="Times New Roman"/>
                <w:sz w:val="17"/>
                <w:szCs w:val="17"/>
                <w:color w:val="auto"/>
              </w:rPr>
              <w:t>The calculation of basic and diluted earnings per share is presented below:</w:t>
            </w: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40" w:type="dxa"/>
            <w:vAlign w:val="bottom"/>
          </w:tcPr>
          <w:p>
            <w:pPr>
              <w:spacing w:after="0"/>
              <w:rPr>
                <w:sz w:val="24"/>
                <w:szCs w:val="24"/>
                <w:color w:val="auto"/>
              </w:rPr>
            </w:pPr>
          </w:p>
        </w:tc>
        <w:tc>
          <w:tcPr>
            <w:tcW w:w="59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income available for common stockholders</w:t>
            </w:r>
          </w:p>
        </w:tc>
        <w:tc>
          <w:tcPr>
            <w:tcW w:w="2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85,167</w:t>
            </w:r>
          </w:p>
        </w:tc>
        <w:tc>
          <w:tcPr>
            <w:tcW w:w="40" w:type="dxa"/>
            <w:vAlign w:val="bottom"/>
          </w:tcPr>
          <w:p>
            <w:pPr>
              <w:spacing w:after="0"/>
              <w:rPr>
                <w:sz w:val="16"/>
                <w:szCs w:val="16"/>
                <w:color w:val="auto"/>
              </w:rPr>
            </w:pPr>
          </w:p>
        </w:tc>
        <w:tc>
          <w:tcPr>
            <w:tcW w:w="3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62,910</w:t>
            </w:r>
          </w:p>
        </w:tc>
        <w:tc>
          <w:tcPr>
            <w:tcW w:w="40" w:type="dxa"/>
            <w:vAlign w:val="bottom"/>
          </w:tcPr>
          <w:p>
            <w:pPr>
              <w:spacing w:after="0"/>
              <w:rPr>
                <w:sz w:val="16"/>
                <w:szCs w:val="16"/>
                <w:color w:val="auto"/>
              </w:rPr>
            </w:pPr>
          </w:p>
        </w:tc>
        <w:tc>
          <w:tcPr>
            <w:tcW w:w="3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197,423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302,315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Dividends and undistributed earnings allocated to participating securities</w:t>
            </w: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(7,164)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(8,113)</w:t>
            </w:r>
          </w:p>
        </w:tc>
        <w:tc>
          <w:tcPr>
            <w:tcW w:w="0" w:type="dxa"/>
            <w:vAlign w:val="bottom"/>
          </w:tcPr>
          <w:p>
            <w:pPr>
              <w:spacing w:after="0"/>
              <w:rPr>
                <w:sz w:val="1"/>
                <w:szCs w:val="1"/>
                <w:color w:val="auto"/>
              </w:rPr>
            </w:pPr>
          </w:p>
        </w:tc>
      </w:tr>
      <w:tr>
        <w:trPr>
          <w:trHeight w:val="115"/>
        </w:trPr>
        <w:tc>
          <w:tcPr>
            <w:tcW w:w="6020" w:type="dxa"/>
            <w:vAlign w:val="bottom"/>
            <w:gridSpan w:val="3"/>
          </w:tcPr>
          <w:p>
            <w:pPr>
              <w:spacing w:after="0" w:line="115" w:lineRule="exact"/>
              <w:rPr>
                <w:sz w:val="20"/>
                <w:szCs w:val="20"/>
                <w:color w:val="auto"/>
              </w:rPr>
            </w:pPr>
            <w:r>
              <w:rPr>
                <w:rFonts w:ascii="Times New Roman" w:cs="Times New Roman" w:eastAsia="Times New Roman" w:hAnsi="Times New Roman"/>
                <w:sz w:val="13"/>
                <w:szCs w:val="13"/>
                <w:color w:val="auto"/>
              </w:rPr>
              <w:t>Net income available for common stockholders, net of dividends and undistributed earnings allocated to</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81,862</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61,109</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190,259</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294,202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6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participating securities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8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shd w:val="clear" w:color="auto" w:fill="CCEEFF"/>
          </w:tcPr>
          <w:p>
            <w:pPr>
              <w:spacing w:after="0"/>
              <w:rPr>
                <w:sz w:val="17"/>
                <w:szCs w:val="17"/>
                <w:color w:val="auto"/>
              </w:rPr>
            </w:pPr>
          </w:p>
        </w:tc>
        <w:tc>
          <w:tcPr>
            <w:tcW w:w="5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104,960,826</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119,681,845</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107,133,079</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120,865,624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gridSpan w:val="2"/>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gridSpan w:val="2"/>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gridSpan w:val="2"/>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gridSpan w:val="2"/>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earnings per share</w:t>
            </w: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5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8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2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598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598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color w:val="auto"/>
              </w:rPr>
              <w:t>Net income available for common stockholders, net of dividends and undistributed earnings allocated to</w:t>
            </w:r>
          </w:p>
        </w:tc>
        <w:tc>
          <w:tcPr>
            <w:tcW w:w="28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81,862</w:t>
            </w:r>
          </w:p>
        </w:tc>
        <w:tc>
          <w:tcPr>
            <w:tcW w:w="40" w:type="dxa"/>
            <w:vAlign w:val="bottom"/>
          </w:tcPr>
          <w:p>
            <w:pPr>
              <w:spacing w:after="0"/>
              <w:rPr>
                <w:sz w:val="11"/>
                <w:szCs w:val="11"/>
                <w:color w:val="auto"/>
              </w:rPr>
            </w:pPr>
          </w:p>
        </w:tc>
        <w:tc>
          <w:tcPr>
            <w:tcW w:w="34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61,109</w:t>
            </w:r>
          </w:p>
        </w:tc>
        <w:tc>
          <w:tcPr>
            <w:tcW w:w="40" w:type="dxa"/>
            <w:vAlign w:val="bottom"/>
          </w:tcPr>
          <w:p>
            <w:pPr>
              <w:spacing w:after="0"/>
              <w:rPr>
                <w:sz w:val="11"/>
                <w:szCs w:val="11"/>
                <w:color w:val="auto"/>
              </w:rPr>
            </w:pPr>
          </w:p>
        </w:tc>
        <w:tc>
          <w:tcPr>
            <w:tcW w:w="38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190,259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294,202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participating securities</w:t>
            </w:r>
          </w:p>
        </w:tc>
        <w:tc>
          <w:tcPr>
            <w:tcW w:w="280" w:type="dxa"/>
            <w:vAlign w:val="bottom"/>
            <w:gridSpan w:val="3"/>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gridSpan w:val="3"/>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5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Class A</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9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Issued and outstanding</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104,960,826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119,681,845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107,133,079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120,865,624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5980" w:type="dxa"/>
            <w:vAlign w:val="bottom"/>
            <w:gridSpan w:val="2"/>
            <w:shd w:val="clear" w:color="auto" w:fill="CCEEFF"/>
          </w:tcPr>
          <w:p>
            <w:pPr>
              <w:ind w:left="320"/>
              <w:spacing w:after="0" w:line="138" w:lineRule="exact"/>
              <w:rPr>
                <w:sz w:val="20"/>
                <w:szCs w:val="20"/>
                <w:color w:val="auto"/>
              </w:rPr>
            </w:pPr>
            <w:r>
              <w:rPr>
                <w:rFonts w:ascii="Times New Roman" w:cs="Times New Roman" w:eastAsia="Times New Roman" w:hAnsi="Times New Roman"/>
                <w:sz w:val="14"/>
                <w:szCs w:val="14"/>
                <w:color w:val="auto"/>
              </w:rPr>
              <w:t>Issuable pursuant to Amended and Restated 2015 Management Incentive Plan, Amended and</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980" w:type="dxa"/>
            <w:vAlign w:val="bottom"/>
            <w:gridSpan w:val="2"/>
            <w:shd w:val="clear" w:color="auto" w:fill="CCEEFF"/>
          </w:tcPr>
          <w:p>
            <w:pPr>
              <w:ind w:left="320"/>
              <w:spacing w:after="0" w:line="135" w:lineRule="exact"/>
              <w:rPr>
                <w:sz w:val="20"/>
                <w:szCs w:val="20"/>
                <w:color w:val="auto"/>
              </w:rPr>
            </w:pPr>
            <w:r>
              <w:rPr>
                <w:rFonts w:ascii="Times New Roman" w:cs="Times New Roman" w:eastAsia="Times New Roman" w:hAnsi="Times New Roman"/>
                <w:sz w:val="14"/>
                <w:szCs w:val="14"/>
                <w:color w:val="auto"/>
              </w:rPr>
              <w:t>Restated Investment Technology Group, Inc. 2007 Omnibus Equity Compensation Plan, and</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517,452</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1,499,547</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626,705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1,413,637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59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Warrants issued in connection with the Founder Member Loan</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105,478,278</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121,181,392</w:t>
            </w:r>
          </w:p>
        </w:tc>
        <w:tc>
          <w:tcPr>
            <w:tcW w:w="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107,759,784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122,279,261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980" w:type="dxa"/>
            <w:vAlign w:val="bottom"/>
            <w:gridSpan w:val="2"/>
            <w:shd w:val="clear" w:color="auto" w:fill="CCEEFF"/>
          </w:tcPr>
          <w:p>
            <w:pPr>
              <w:spacing w:after="0"/>
              <w:rPr>
                <w:sz w:val="18"/>
                <w:szCs w:val="18"/>
                <w:color w:val="auto"/>
              </w:rPr>
            </w:pPr>
          </w:p>
        </w:tc>
        <w:tc>
          <w:tcPr>
            <w:tcW w:w="280" w:type="dxa"/>
            <w:vAlign w:val="bottom"/>
            <w:gridSpan w:val="3"/>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00" w:type="dxa"/>
            <w:vAlign w:val="bottom"/>
            <w:gridSpan w:val="2"/>
          </w:tcPr>
          <w:p>
            <w:pPr>
              <w:spacing w:after="0"/>
              <w:rPr>
                <w:sz w:val="15"/>
                <w:szCs w:val="15"/>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0.78</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40" w:type="dxa"/>
            <w:vAlign w:val="bottom"/>
            <w:tcBorders>
              <w:top w:val="single" w:sz="8" w:color="auto"/>
              <w:bottom w:val="single" w:sz="8" w:color="auto"/>
            </w:tcBorders>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5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4. Tax Receivable Agreements</w:t>
      </w:r>
    </w:p>
    <w:p>
      <w:pPr>
        <w:spacing w:after="0" w:line="357" w:lineRule="exact"/>
        <w:rPr>
          <w:sz w:val="20"/>
          <w:szCs w:val="20"/>
          <w:color w:val="auto"/>
        </w:rPr>
      </w:pPr>
    </w:p>
    <w:p>
      <w:pPr>
        <w:ind w:right="740" w:firstLine="629"/>
        <w:spacing w:after="0" w:line="296" w:lineRule="auto"/>
        <w:rPr>
          <w:sz w:val="20"/>
          <w:szCs w:val="20"/>
          <w:color w:val="auto"/>
        </w:rPr>
      </w:pPr>
      <w:r>
        <w:rPr>
          <w:rFonts w:ascii="Times New Roman" w:cs="Times New Roman" w:eastAsia="Times New Roman" w:hAnsi="Times New Roman"/>
          <w:sz w:val="17"/>
          <w:szCs w:val="17"/>
          <w:color w:val="auto"/>
        </w:rPr>
        <w:t>For a detailed discussion of the Company's tax receivable agreements, see Note 6 "Tax Receivable Agreements" in our consolidated financial statements included in Part II, Item 8 of our Annual Report on Form 10-K for the year ended December 31, 2021.</w:t>
      </w:r>
    </w:p>
    <w:p>
      <w:pPr>
        <w:spacing w:after="0" w:line="278"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198"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The Company made its first payment of $7.0 million in February 2017, its second payment of $12.4 million in September 2018, its third payment of $13.3 million in March 2020, its fourth payment of $16.5 million in April 2021, and its fifth payment of $21.3 million in March 2022. Tax receivable payments are expected to range from approximately $0.4 million to $22.0 million per year over the next 15 years.</w:t>
      </w:r>
    </w:p>
    <w:p>
      <w:pPr>
        <w:spacing w:after="0" w:line="190" w:lineRule="exact"/>
        <w:rPr>
          <w:sz w:val="20"/>
          <w:szCs w:val="20"/>
          <w:color w:val="auto"/>
        </w:rPr>
      </w:pPr>
    </w:p>
    <w:p>
      <w:pPr>
        <w:ind w:right="140" w:firstLine="629"/>
        <w:spacing w:after="0" w:line="267" w:lineRule="auto"/>
        <w:rPr>
          <w:sz w:val="20"/>
          <w:szCs w:val="20"/>
          <w:color w:val="auto"/>
        </w:rPr>
      </w:pPr>
      <w:r>
        <w:rPr>
          <w:rFonts w:ascii="Times New Roman" w:cs="Times New Roman" w:eastAsia="Times New Roman" w:hAnsi="Times New Roman"/>
          <w:sz w:val="17"/>
          <w:szCs w:val="17"/>
          <w:color w:val="auto"/>
        </w:rPr>
        <w:t>At June 30, 2022 and December 31, 2021, the Company’s remaining deferred tax assets that relate to the matters described above were approximately $170.5 million and $180.4 million, respectively, and the Company’s liabilities over the next 15 years pursuant to the tax receivable agreements were approximately $237.9 million and $259.3 million, respectively. The amounts recorded as of June 30, 2022 and December 31, 2021 are based on best estimates available at the respective dates and may be subject to change after the filing of the Company’s U.S. federal and state income tax returns for the years in which tax savings were realized.</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Goodwill and Intangible Assets</w:t>
      </w:r>
    </w:p>
    <w:p>
      <w:pPr>
        <w:spacing w:after="0" w:line="252" w:lineRule="exact"/>
        <w:rPr>
          <w:sz w:val="20"/>
          <w:szCs w:val="20"/>
          <w:color w:val="auto"/>
        </w:rPr>
      </w:pPr>
    </w:p>
    <w:p>
      <w:pPr>
        <w:jc w:val="both"/>
        <w:ind w:firstLine="629"/>
        <w:spacing w:after="0" w:line="276" w:lineRule="auto"/>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 As of June 30, 2022 and December 31, 2021, the Company’s total amount of goodwill recorded was $1,148.9 million. No goodwill impairment was recognized during the three and six months ended June 30, 2022 and 2021.</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details of goodwill by segment as of June 30, 2022 and December 31, 2021:</w:t>
      </w:r>
    </w:p>
    <w:p>
      <w:pPr>
        <w:spacing w:after="0" w:line="4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5"/>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period-end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755,292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393,634</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1,148,926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right="620" w:firstLine="629"/>
        <w:spacing w:after="0" w:line="296" w:lineRule="auto"/>
        <w:rPr>
          <w:sz w:val="20"/>
          <w:szCs w:val="20"/>
          <w:color w:val="auto"/>
        </w:rPr>
      </w:pPr>
      <w:r>
        <w:rPr>
          <w:rFonts w:ascii="Times New Roman" w:cs="Times New Roman" w:eastAsia="Times New Roman" w:hAnsi="Times New Roman"/>
          <w:sz w:val="17"/>
          <w:szCs w:val="17"/>
          <w:color w:val="auto"/>
        </w:rPr>
        <w:t>As of June 30, 2022 and December 31, 2021, the Company's total amount of intangible assets recorded was $353.6 million and $386.3 million, respectively. Acquired intangible assets consisted of the following as of June 30, 2022 and December 31, 2021:</w:t>
      </w:r>
    </w:p>
    <w:p>
      <w:pPr>
        <w:spacing w:after="0" w:line="75"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126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right"/>
              <w:ind w:right="150"/>
              <w:spacing w:after="0" w:line="126"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Pr>
          <w:p>
            <w:pPr>
              <w:spacing w:after="0"/>
              <w:rPr>
                <w:sz w:val="16"/>
                <w:szCs w:val="16"/>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486,600</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(166,063)</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320,537</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(110,332)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25,668</w:t>
            </w:r>
          </w:p>
        </w:tc>
        <w:tc>
          <w:tcPr>
            <w:tcW w:w="54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w:t>
            </w:r>
          </w:p>
        </w:tc>
        <w:tc>
          <w:tcPr>
            <w:tcW w:w="5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85"/>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353,575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4" w:name="page15"/>
    <w:bookmarkEnd w:id="14"/>
    <w:tbl>
      <w:tblPr>
        <w:tblLayout w:type="fixed"/>
        <w:tblInd w:w="26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0"/>
                <w:szCs w:val="10"/>
                <w:color w:val="auto"/>
              </w:rPr>
            </w:pPr>
          </w:p>
        </w:tc>
        <w:tc>
          <w:tcPr>
            <w:tcW w:w="12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right"/>
              <w:ind w:right="150"/>
              <w:spacing w:after="0" w:line="126"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486,600</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(142,142)</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344,458</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(102,088)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33,912</w:t>
            </w:r>
          </w:p>
        </w:tc>
        <w:tc>
          <w:tcPr>
            <w:tcW w:w="54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2,264</w:t>
            </w:r>
          </w:p>
        </w:tc>
        <w:tc>
          <w:tcPr>
            <w:tcW w:w="5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85"/>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6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8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639,493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386,332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Amortization expense relating to finite-lived intangible assets was approximately $16.3 million and $18.1 million for the three months ended June 30, 2022 and 2021, respectively, and $32.8 million and $36.2 million for the six months ended June 30, 2022 and 2021, respectively. This is included in Amortization of purchased intangibles and acquired capitalized software in the accompanying Condensed Consolidated Statements of Comprehensive Income.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expects to record amortization expense as follows over the next five subsequent years:</w:t>
      </w:r>
    </w:p>
    <w:p>
      <w:pPr>
        <w:spacing w:after="0" w:line="283" w:lineRule="exact"/>
        <w:rPr>
          <w:sz w:val="20"/>
          <w:szCs w:val="20"/>
          <w:color w:val="auto"/>
        </w:rPr>
      </w:pPr>
    </w:p>
    <w:tbl>
      <w:tblPr>
        <w:tblLayout w:type="fixed"/>
        <w:tblInd w:w="3420" w:type="dxa"/>
        <w:tblCellMar>
          <w:top w:w="0" w:type="dxa"/>
          <w:left w:w="0" w:type="dxa"/>
          <w:bottom w:w="0" w:type="dxa"/>
          <w:right w:w="0" w:type="dxa"/>
        </w:tblCellMar>
      </w:tblPr>
      <w:tr>
        <w:trPr>
          <w:trHeight w:val="184"/>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1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2022</w:t>
            </w:r>
          </w:p>
        </w:tc>
        <w:tc>
          <w:tcPr>
            <w:tcW w:w="16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32,094</w:t>
            </w: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6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63,960</w:t>
            </w: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50,845</w:t>
            </w: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6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47,879</w:t>
            </w: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47,879</w:t>
            </w: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901"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6. Receivables from/Payables to Broker-Dealers and Clearing Organizations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is a summary of receivables from and payables to brokers-dealers and clearing organizations at June 30, 2022 and December 31, 2021:</w:t>
      </w:r>
    </w:p>
    <w:p>
      <w:pPr>
        <w:spacing w:after="0" w:line="25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from prime brokers</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797,705</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287,991</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161,928</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w:t>
            </w: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138,040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98,302</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organizations</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164,195</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failed to deliver</w:t>
            </w: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257,934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290,207</w:t>
            </w:r>
          </w:p>
        </w:tc>
      </w:tr>
      <w:tr>
        <w:trPr>
          <w:trHeight w:val="19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3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24,184</w:t>
            </w:r>
          </w:p>
        </w:tc>
      </w:tr>
      <w:tr>
        <w:trPr>
          <w:trHeight w:val="196"/>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receivables from broker-dealers and clearing organizations</w:t>
            </w: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1,419,628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1,026,807</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6"/>
        </w:trPr>
        <w:tc>
          <w:tcPr>
            <w:tcW w:w="6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to prime brokers</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415,750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497,972</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 (1)</w:t>
            </w: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(57,226)</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organizations</w:t>
            </w:r>
          </w:p>
        </w:tc>
        <w:tc>
          <w:tcPr>
            <w:tcW w:w="30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125,553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failed to receive</w:t>
            </w:r>
          </w:p>
        </w:tc>
        <w:tc>
          <w:tcPr>
            <w:tcW w:w="3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180,806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128,392</w:t>
            </w:r>
          </w:p>
        </w:tc>
      </w:tr>
      <w:tr>
        <w:trPr>
          <w:trHeight w:val="19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3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1,560</w:t>
            </w:r>
          </w:p>
        </w:tc>
      </w:tr>
      <w:tr>
        <w:trPr>
          <w:trHeight w:val="196"/>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payables to broker-dealers and clearing organizations</w:t>
            </w: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704,897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571,526</w:t>
            </w: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320" w:right="200" w:hanging="315"/>
        <w:spacing w:after="0" w:line="295" w:lineRule="auto"/>
        <w:tabs>
          <w:tab w:leader="none" w:pos="27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Included as a deduction from “Due from prime brokers” and “Net equity with futures commission merchants” is the outstanding principal balance on all of the Company’s prime brokerage credit facilities (described in Note 8 "Borrowings") of approximately $218.4 million and $177.1 million as of June 30, 2022 and December 31, 2021,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Collateralized Transactions</w:t>
      </w:r>
    </w:p>
    <w:p>
      <w:pPr>
        <w:spacing w:after="0" w:line="252"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June 30, 2022 and December 31, 2021, substantially all of the securities received as collateral have been repledged.</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fair value of the collateralized transactions at June 30, 2022 and December 31, 2021 are summarized as follows:</w:t>
      </w:r>
    </w:p>
    <w:p>
      <w:pPr>
        <w:spacing w:after="0" w:line="4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received as collateral:</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9"/>
        </w:trPr>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Securities borrowed</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1,314,536</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1,299,270</w:t>
            </w:r>
          </w:p>
        </w:tc>
      </w:tr>
      <w:tr>
        <w:trPr>
          <w:trHeight w:val="197"/>
        </w:trPr>
        <w:tc>
          <w:tcPr>
            <w:tcW w:w="7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122,766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r>
      <w:tr>
        <w:trPr>
          <w:trHeight w:val="190"/>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1,437,302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1,418,723</w:t>
            </w:r>
          </w:p>
        </w:tc>
      </w:tr>
      <w:tr>
        <w:trPr>
          <w:trHeight w:val="26"/>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ind w:right="560" w:firstLine="629"/>
        <w:spacing w:after="0" w:line="296" w:lineRule="auto"/>
        <w:rPr>
          <w:sz w:val="20"/>
          <w:szCs w:val="20"/>
          <w:color w:val="auto"/>
        </w:rPr>
      </w:pPr>
      <w:r>
        <w:rPr>
          <w:rFonts w:ascii="Times New Roman" w:cs="Times New Roman" w:eastAsia="Times New Roman" w:hAnsi="Times New Roman"/>
          <w:sz w:val="17"/>
          <w:szCs w:val="17"/>
          <w:color w:val="auto"/>
        </w:rPr>
        <w:t>In the normal course of business, the Company pledges qualified securities with clearing organizations to satisfy daily margin and clearing fund requirements.</w:t>
      </w:r>
    </w:p>
    <w:p>
      <w:pPr>
        <w:spacing w:after="0" w:line="173" w:lineRule="exact"/>
        <w:rPr>
          <w:sz w:val="20"/>
          <w:szCs w:val="20"/>
          <w:color w:val="auto"/>
        </w:rPr>
      </w:pPr>
    </w:p>
    <w:p>
      <w:pPr>
        <w:ind w:right="180" w:firstLine="629"/>
        <w:spacing w:after="0" w:line="296" w:lineRule="auto"/>
        <w:rPr>
          <w:sz w:val="20"/>
          <w:szCs w:val="20"/>
          <w:color w:val="auto"/>
        </w:rPr>
      </w:pPr>
      <w:r>
        <w:rPr>
          <w:rFonts w:ascii="Times New Roman" w:cs="Times New Roman" w:eastAsia="Times New Roman" w:hAnsi="Times New Roman"/>
          <w:sz w:val="17"/>
          <w:szCs w:val="17"/>
          <w:color w:val="auto"/>
        </w:rPr>
        <w:t>Financial instruments owned and pledged, where the counterparty has the right to repledge, at June 30, 2022 and December 31, 2021 consisted of the following:</w:t>
      </w:r>
    </w:p>
    <w:p>
      <w:pPr>
        <w:spacing w:after="0" w:line="20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1,061,602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1,012,569</w:t>
            </w:r>
          </w:p>
        </w:tc>
      </w:tr>
      <w:tr>
        <w:trPr>
          <w:trHeight w:val="19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Exchange traded notes</w:t>
            </w: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5,391</w:t>
            </w:r>
          </w:p>
        </w:tc>
      </w:tr>
      <w:tr>
        <w:trPr>
          <w:trHeight w:val="215"/>
        </w:trPr>
        <w:tc>
          <w:tcPr>
            <w:tcW w:w="7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1,078,824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1,017,960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8. Borrowings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Borrowings, net</w:t>
      </w:r>
    </w:p>
    <w:p>
      <w:pPr>
        <w:spacing w:after="0" w:line="254" w:lineRule="exact"/>
        <w:rPr>
          <w:sz w:val="20"/>
          <w:szCs w:val="20"/>
          <w:color w:val="auto"/>
        </w:rPr>
      </w:pPr>
    </w:p>
    <w:p>
      <w:pPr>
        <w:ind w:right="20" w:firstLine="629"/>
        <w:spacing w:after="0" w:line="277" w:lineRule="auto"/>
        <w:rPr>
          <w:sz w:val="20"/>
          <w:szCs w:val="20"/>
          <w:color w:val="auto"/>
        </w:rPr>
      </w:pPr>
      <w:r>
        <w:rPr>
          <w:rFonts w:ascii="Times New Roman" w:cs="Times New Roman" w:eastAsia="Times New Roman" w:hAnsi="Times New Roman"/>
          <w:sz w:val="17"/>
          <w:szCs w:val="17"/>
          <w:color w:val="auto"/>
        </w:rPr>
        <w:t>The following summarizes the Company's short-term borrowing balances outstanding, net of related debt issuance costs, with each described in further detail below.</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Borrowing Outstanding</w:t>
            </w:r>
          </w:p>
        </w:tc>
        <w:tc>
          <w:tcPr>
            <w:tcW w:w="80" w:type="dxa"/>
            <w:vAlign w:val="bottom"/>
          </w:tcPr>
          <w:p>
            <w:pPr>
              <w:spacing w:after="0"/>
              <w:rPr>
                <w:sz w:val="10"/>
                <w:szCs w:val="10"/>
                <w:color w:val="auto"/>
              </w:rPr>
            </w:pPr>
          </w:p>
        </w:tc>
        <w:tc>
          <w:tcPr>
            <w:tcW w:w="16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Deferred Debt Issuance</w:t>
            </w:r>
          </w:p>
        </w:tc>
        <w:tc>
          <w:tcPr>
            <w:tcW w:w="80" w:type="dxa"/>
            <w:vAlign w:val="bottom"/>
          </w:tcPr>
          <w:p>
            <w:pPr>
              <w:spacing w:after="0"/>
              <w:rPr>
                <w:sz w:val="10"/>
                <w:szCs w:val="10"/>
                <w:color w:val="auto"/>
              </w:rPr>
            </w:pPr>
          </w:p>
        </w:tc>
        <w:tc>
          <w:tcPr>
            <w:tcW w:w="1560" w:type="dxa"/>
            <w:vAlign w:val="bottom"/>
          </w:tcPr>
          <w:p>
            <w:pPr>
              <w:jc w:val="center"/>
              <w:ind w:right="30"/>
              <w:spacing w:after="0" w:line="126" w:lineRule="exact"/>
              <w:rPr>
                <w:sz w:val="20"/>
                <w:szCs w:val="20"/>
                <w:color w:val="auto"/>
              </w:rPr>
            </w:pPr>
            <w:r>
              <w:rPr>
                <w:rFonts w:ascii="Times New Roman" w:cs="Times New Roman" w:eastAsia="Times New Roman" w:hAnsi="Times New Roman"/>
                <w:sz w:val="14"/>
                <w:szCs w:val="14"/>
                <w:b w:val="1"/>
                <w:bCs w:val="1"/>
                <w:color w:val="auto"/>
                <w:w w:val="98"/>
              </w:rPr>
              <w:t>Short-term Borrowings,</w:t>
            </w:r>
          </w:p>
        </w:tc>
        <w:tc>
          <w:tcPr>
            <w:tcW w:w="0" w:type="dxa"/>
            <w:vAlign w:val="bottom"/>
          </w:tcPr>
          <w:p>
            <w:pPr>
              <w:spacing w:after="0"/>
              <w:rPr>
                <w:sz w:val="1"/>
                <w:szCs w:val="1"/>
                <w:color w:val="auto"/>
              </w:rPr>
            </w:pPr>
          </w:p>
        </w:tc>
      </w:tr>
      <w:tr>
        <w:trPr>
          <w:trHeight w:val="190"/>
        </w:trPr>
        <w:tc>
          <w:tcPr>
            <w:tcW w:w="4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0" w:type="dxa"/>
            <w:vAlign w:val="bottom"/>
          </w:tcPr>
          <w:p>
            <w:pPr>
              <w:spacing w:after="0"/>
              <w:rPr>
                <w:sz w:val="16"/>
                <w:szCs w:val="16"/>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0" w:type="dxa"/>
            <w:vAlign w:val="bottom"/>
          </w:tcPr>
          <w:p>
            <w:pPr>
              <w:spacing w:after="0"/>
              <w:rPr>
                <w:sz w:val="1"/>
                <w:szCs w:val="1"/>
                <w:color w:val="auto"/>
              </w:rPr>
            </w:pPr>
          </w:p>
        </w:tc>
      </w:tr>
      <w:tr>
        <w:trPr>
          <w:trHeight w:val="195"/>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Broker-dealer credit facilities</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158,000</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157,114</w:t>
            </w:r>
          </w:p>
        </w:tc>
        <w:tc>
          <w:tcPr>
            <w:tcW w:w="0" w:type="dxa"/>
            <w:vAlign w:val="bottom"/>
          </w:tcPr>
          <w:p>
            <w:pPr>
              <w:spacing w:after="0"/>
              <w:rPr>
                <w:sz w:val="1"/>
                <w:szCs w:val="1"/>
                <w:color w:val="auto"/>
              </w:rPr>
            </w:pPr>
          </w:p>
        </w:tc>
      </w:tr>
      <w:tr>
        <w:trPr>
          <w:trHeight w:val="183"/>
        </w:trPr>
        <w:tc>
          <w:tcPr>
            <w:tcW w:w="4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158,000</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2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157,114</w:t>
            </w: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Borrowing Outstanding</w:t>
            </w:r>
          </w:p>
        </w:tc>
        <w:tc>
          <w:tcPr>
            <w:tcW w:w="80" w:type="dxa"/>
            <w:vAlign w:val="bottom"/>
          </w:tcPr>
          <w:p>
            <w:pPr>
              <w:spacing w:after="0"/>
              <w:rPr>
                <w:sz w:val="10"/>
                <w:szCs w:val="10"/>
                <w:color w:val="auto"/>
              </w:rPr>
            </w:pPr>
          </w:p>
        </w:tc>
        <w:tc>
          <w:tcPr>
            <w:tcW w:w="16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9"/>
              </w:rPr>
              <w:t>Deferred Debt Issuance</w:t>
            </w:r>
          </w:p>
        </w:tc>
        <w:tc>
          <w:tcPr>
            <w:tcW w:w="80" w:type="dxa"/>
            <w:vAlign w:val="bottom"/>
          </w:tcPr>
          <w:p>
            <w:pPr>
              <w:spacing w:after="0"/>
              <w:rPr>
                <w:sz w:val="10"/>
                <w:szCs w:val="10"/>
                <w:color w:val="auto"/>
              </w:rPr>
            </w:pPr>
          </w:p>
        </w:tc>
        <w:tc>
          <w:tcPr>
            <w:tcW w:w="1560" w:type="dxa"/>
            <w:vAlign w:val="bottom"/>
          </w:tcPr>
          <w:p>
            <w:pPr>
              <w:jc w:val="center"/>
              <w:ind w:right="30"/>
              <w:spacing w:after="0" w:line="124" w:lineRule="exact"/>
              <w:rPr>
                <w:sz w:val="20"/>
                <w:szCs w:val="20"/>
                <w:color w:val="auto"/>
              </w:rPr>
            </w:pPr>
            <w:r>
              <w:rPr>
                <w:rFonts w:ascii="Times New Roman" w:cs="Times New Roman" w:eastAsia="Times New Roman" w:hAnsi="Times New Roman"/>
                <w:sz w:val="14"/>
                <w:szCs w:val="14"/>
                <w:b w:val="1"/>
                <w:bCs w:val="1"/>
                <w:color w:val="auto"/>
                <w:w w:val="98"/>
              </w:rPr>
              <w:t>Short-term Borrowings,</w:t>
            </w:r>
          </w:p>
        </w:tc>
        <w:tc>
          <w:tcPr>
            <w:tcW w:w="0" w:type="dxa"/>
            <w:vAlign w:val="bottom"/>
          </w:tcPr>
          <w:p>
            <w:pPr>
              <w:spacing w:after="0"/>
              <w:rPr>
                <w:sz w:val="1"/>
                <w:szCs w:val="1"/>
                <w:color w:val="auto"/>
              </w:rPr>
            </w:pPr>
          </w:p>
        </w:tc>
      </w:tr>
      <w:tr>
        <w:trPr>
          <w:trHeight w:val="190"/>
        </w:trPr>
        <w:tc>
          <w:tcPr>
            <w:tcW w:w="4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0" w:type="dxa"/>
            <w:vAlign w:val="bottom"/>
          </w:tcPr>
          <w:p>
            <w:pPr>
              <w:spacing w:after="0"/>
              <w:rPr>
                <w:sz w:val="16"/>
                <w:szCs w:val="16"/>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net</w:t>
            </w:r>
          </w:p>
        </w:tc>
        <w:tc>
          <w:tcPr>
            <w:tcW w:w="0" w:type="dxa"/>
            <w:vAlign w:val="bottom"/>
          </w:tcPr>
          <w:p>
            <w:pPr>
              <w:spacing w:after="0"/>
              <w:rPr>
                <w:sz w:val="1"/>
                <w:szCs w:val="1"/>
                <w:color w:val="auto"/>
              </w:rPr>
            </w:pPr>
          </w:p>
        </w:tc>
      </w:tr>
      <w:tr>
        <w:trPr>
          <w:trHeight w:val="196"/>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Broker-dealer credit facilities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56,454</w:t>
            </w:r>
          </w:p>
        </w:tc>
        <w:tc>
          <w:tcPr>
            <w:tcW w:w="0" w:type="dxa"/>
            <w:vAlign w:val="bottom"/>
          </w:tcPr>
          <w:p>
            <w:pPr>
              <w:spacing w:after="0"/>
              <w:rPr>
                <w:sz w:val="1"/>
                <w:szCs w:val="1"/>
                <w:color w:val="auto"/>
              </w:rPr>
            </w:pPr>
          </w:p>
        </w:tc>
      </w:tr>
      <w:tr>
        <w:trPr>
          <w:trHeight w:val="19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bank loans</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5,056</w:t>
            </w:r>
          </w:p>
        </w:tc>
        <w:tc>
          <w:tcPr>
            <w:tcW w:w="0" w:type="dxa"/>
            <w:vAlign w:val="bottom"/>
          </w:tcPr>
          <w:p>
            <w:pPr>
              <w:spacing w:after="0"/>
              <w:rPr>
                <w:sz w:val="1"/>
                <w:szCs w:val="1"/>
                <w:color w:val="auto"/>
              </w:rPr>
            </w:pPr>
          </w:p>
        </w:tc>
      </w:tr>
      <w:tr>
        <w:trPr>
          <w:trHeight w:val="215"/>
        </w:trPr>
        <w:tc>
          <w:tcPr>
            <w:tcW w:w="4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61,510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Broker-Dealer Credit Facilities</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The Company is a party to two secured credit facilities with a financial institution to finance overnight securities positions purchased as part of its ordinary course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SOFR or base rate plus 1.25% per annum. Borrowing Base B Loans are subject to a sublimit of $200 million and bear interest at the adjusted SOFR or base rate plus 2.50% per annum. A commitment fee of 0.50% per annum on the average daily unused portion of this facility is payable quarterly in arrears.</w:t>
      </w:r>
    </w:p>
    <w:p>
      <w:pPr>
        <w:spacing w:after="0" w:line="205"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On May 25, 2022, Virtu Financial Singapore Pte. Ltd. entered into a revolving credit facility with a financial institution (the "Overdraft Facility") to provide a source of short-term financing. The facility has an aggregate borrowing limit of $10 million, and bears interest at the adjusted SOFR or base rate plus 3.5% per annum. There were no outstanding borrowings under the Overdraft Facility as of June 30, 2022.</w:t>
      </w:r>
    </w:p>
    <w:p>
      <w:pPr>
        <w:spacing w:after="0" w:line="190"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On March 20, 2020, VAL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(the "Founder Member Loan Term"). The Founder Member Loan Facility Term expired as of September 20, 2020 without VAL having borrowed any Founder Member Loans at any time. The Founder Member is an affiliate of Mr. Vincent Viola, the Company’s founder and Chairman Emeritus. Upon the execution of and in consideration for the Lender’s (as defined in the Founder Member Loan Facility) commitments under the Founder Member Loan Facility, the Company delivered to the Founder Member a warrant to purchase shares of the Company’s Class A Common Stock. Terms of the warrant are set forth in further detail in Note 17 "Capital Structure".</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summarizes the Company’s broker-dealer credit facilities' carrying values, net of unamortized debt issuance costs, where applicable.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balances are included within Short-term borrowings on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06" w:right="379" w:bottom="1440" w:gutter="0" w:footer="0" w:header="0"/>
        </w:sectPr>
      </w:pPr>
    </w:p>
    <w:bookmarkStart w:id="17" w:name="page18"/>
    <w:bookmarkEnd w:id="17"/>
    <w:tbl>
      <w:tblPr>
        <w:tblLayout w:type="fixed"/>
        <w:tblInd w:w="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At June 30, 2022</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00" w:type="dxa"/>
            <w:vAlign w:val="bottom"/>
          </w:tcPr>
          <w:p>
            <w:pPr>
              <w:spacing w:after="0"/>
              <w:rPr>
                <w:sz w:val="10"/>
                <w:szCs w:val="10"/>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140" w:type="dxa"/>
            <w:vAlign w:val="bottom"/>
          </w:tcPr>
          <w:p>
            <w:pPr>
              <w:spacing w:after="0"/>
              <w:rPr>
                <w:sz w:val="10"/>
                <w:szCs w:val="10"/>
                <w:color w:val="auto"/>
              </w:rPr>
            </w:pPr>
          </w:p>
        </w:tc>
        <w:tc>
          <w:tcPr>
            <w:tcW w:w="13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Borrowing</w:t>
            </w:r>
          </w:p>
        </w:tc>
        <w:tc>
          <w:tcPr>
            <w:tcW w:w="180" w:type="dxa"/>
            <w:vAlign w:val="bottom"/>
          </w:tcPr>
          <w:p>
            <w:pPr>
              <w:spacing w:after="0"/>
              <w:rPr>
                <w:sz w:val="10"/>
                <w:szCs w:val="10"/>
                <w:color w:val="auto"/>
              </w:rPr>
            </w:pPr>
          </w:p>
        </w:tc>
        <w:tc>
          <w:tcPr>
            <w:tcW w:w="134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60" w:type="dxa"/>
            <w:vAlign w:val="bottom"/>
          </w:tcPr>
          <w:p>
            <w:pPr>
              <w:jc w:val="right"/>
              <w:ind w:right="27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5"/>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6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158,000</w:t>
            </w:r>
          </w:p>
        </w:tc>
        <w:tc>
          <w:tcPr>
            <w:tcW w:w="100" w:type="dxa"/>
            <w:vAlign w:val="bottom"/>
          </w:tcPr>
          <w:p>
            <w:pPr>
              <w:spacing w:after="0"/>
              <w:rPr>
                <w:sz w:val="16"/>
                <w:szCs w:val="16"/>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157,114</w:t>
            </w:r>
          </w:p>
        </w:tc>
        <w:tc>
          <w:tcPr>
            <w:tcW w:w="0" w:type="dxa"/>
            <w:vAlign w:val="bottom"/>
          </w:tcPr>
          <w:p>
            <w:pPr>
              <w:spacing w:after="0"/>
              <w:rPr>
                <w:sz w:val="1"/>
                <w:szCs w:val="1"/>
                <w:color w:val="auto"/>
              </w:rPr>
            </w:pPr>
          </w:p>
        </w:tc>
      </w:tr>
      <w:tr>
        <w:trPr>
          <w:trHeight w:val="204"/>
        </w:trPr>
        <w:tc>
          <w:tcPr>
            <w:tcW w:w="3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7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Overdraft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5"/>
        </w:trPr>
        <w:tc>
          <w:tcPr>
            <w:tcW w:w="35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157,114</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At December 31, 2021</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0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200" w:type="dxa"/>
            <w:vAlign w:val="bottom"/>
          </w:tcPr>
          <w:p>
            <w:pPr>
              <w:spacing w:after="0"/>
              <w:rPr>
                <w:sz w:val="10"/>
                <w:szCs w:val="10"/>
                <w:color w:val="auto"/>
              </w:rPr>
            </w:pPr>
          </w:p>
        </w:tc>
        <w:tc>
          <w:tcPr>
            <w:tcW w:w="1320" w:type="dxa"/>
            <w:vAlign w:val="bottom"/>
            <w:gridSpan w:val="2"/>
          </w:tcPr>
          <w:p>
            <w:pPr>
              <w:jc w:val="center"/>
              <w:ind w:right="3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Borrowing</w:t>
            </w:r>
          </w:p>
        </w:tc>
        <w:tc>
          <w:tcPr>
            <w:tcW w:w="180" w:type="dxa"/>
            <w:vAlign w:val="bottom"/>
          </w:tcPr>
          <w:p>
            <w:pPr>
              <w:spacing w:after="0"/>
              <w:rPr>
                <w:sz w:val="10"/>
                <w:szCs w:val="10"/>
                <w:color w:val="auto"/>
              </w:rPr>
            </w:pPr>
          </w:p>
        </w:tc>
        <w:tc>
          <w:tcPr>
            <w:tcW w:w="1340" w:type="dxa"/>
            <w:vAlign w:val="bottom"/>
            <w:gridSpan w:val="2"/>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80" w:type="dxa"/>
            <w:vAlign w:val="bottom"/>
          </w:tcPr>
          <w:p>
            <w:pPr>
              <w:jc w:val="right"/>
              <w:ind w:right="290"/>
              <w:spacing w:after="0" w:line="12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6"/>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1.25%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56,454</w:t>
            </w:r>
          </w:p>
        </w:tc>
        <w:tc>
          <w:tcPr>
            <w:tcW w:w="0" w:type="dxa"/>
            <w:vAlign w:val="bottom"/>
          </w:tcPr>
          <w:p>
            <w:pPr>
              <w:spacing w:after="0"/>
              <w:rPr>
                <w:sz w:val="1"/>
                <w:szCs w:val="1"/>
                <w:color w:val="auto"/>
              </w:rPr>
            </w:pPr>
          </w:p>
        </w:tc>
      </w:tr>
      <w:tr>
        <w:trPr>
          <w:trHeight w:val="197"/>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3.78%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56,454</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300" w:firstLine="629"/>
        <w:spacing w:after="0" w:line="296" w:lineRule="auto"/>
        <w:rPr>
          <w:sz w:val="20"/>
          <w:szCs w:val="20"/>
          <w:color w:val="auto"/>
        </w:rPr>
      </w:pPr>
      <w:r>
        <w:rPr>
          <w:rFonts w:ascii="Times New Roman" w:cs="Times New Roman" w:eastAsia="Times New Roman" w:hAnsi="Times New Roman"/>
          <w:sz w:val="17"/>
          <w:szCs w:val="17"/>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5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204"/>
        </w:trPr>
        <w:tc>
          <w:tcPr>
            <w:tcW w:w="5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3"/>
        </w:trPr>
        <w:tc>
          <w:tcPr>
            <w:tcW w:w="5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1,331</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26"/>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Short-Term Bank Loans</w:t>
      </w:r>
    </w:p>
    <w:p>
      <w:pPr>
        <w:spacing w:after="0" w:line="252" w:lineRule="exact"/>
        <w:rPr>
          <w:sz w:val="20"/>
          <w:szCs w:val="20"/>
          <w:color w:val="auto"/>
        </w:rPr>
      </w:pPr>
    </w:p>
    <w:p>
      <w:pPr>
        <w:ind w:right="20" w:firstLine="629"/>
        <w:spacing w:after="0" w:line="268" w:lineRule="auto"/>
        <w:rPr>
          <w:sz w:val="20"/>
          <w:szCs w:val="20"/>
          <w:color w:val="auto"/>
        </w:rPr>
      </w:pPr>
      <w:r>
        <w:rPr>
          <w:rFonts w:ascii="Times New Roman" w:cs="Times New Roman" w:eastAsia="Times New Roman" w:hAnsi="Times New Roman"/>
          <w:sz w:val="17"/>
          <w:szCs w:val="17"/>
          <w:color w:val="auto"/>
        </w:rPr>
        <w:t>The Company’s international securities clearance and settlement activities are funded with operating cash or with short-term bank loans in the form of overdraft facilities. At June 30, 2022, there was no balance associated with international settlement activities outstanding under these facilities. At December 31, 2021, there was $5.1 million associated with international settlement activities outstanding under these facilities at a weighted average interest rate of approximately 4.2%. These short-term bank loan balances are included within Short-term borrowings on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i w:val="1"/>
          <w:iCs w:val="1"/>
          <w:color w:val="auto"/>
        </w:rPr>
        <w:t>Prime Brokerage Credit Facilities</w:t>
      </w:r>
    </w:p>
    <w:p>
      <w:pPr>
        <w:spacing w:after="0" w:line="254" w:lineRule="exact"/>
        <w:rPr>
          <w:sz w:val="20"/>
          <w:szCs w:val="20"/>
          <w:color w:val="auto"/>
        </w:rPr>
      </w:pPr>
    </w:p>
    <w:p>
      <w:pPr>
        <w:jc w:val="both"/>
        <w:ind w:right="360" w:firstLine="629"/>
        <w:spacing w:after="0" w:line="276" w:lineRule="auto"/>
        <w:rPr>
          <w:sz w:val="20"/>
          <w:szCs w:val="20"/>
          <w:color w:val="auto"/>
        </w:rPr>
      </w:pPr>
      <w:r>
        <w:rPr>
          <w:rFonts w:ascii="Times New Roman" w:cs="Times New Roman" w:eastAsia="Times New Roman" w:hAnsi="Times New Roman"/>
          <w:sz w:val="17"/>
          <w:szCs w:val="17"/>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At June 30, 2022</w:t>
            </w: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4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340" w:type="dxa"/>
            <w:vAlign w:val="bottom"/>
          </w:tcPr>
          <w:p>
            <w:pPr>
              <w:spacing w:after="0"/>
              <w:rPr>
                <w:sz w:val="10"/>
                <w:szCs w:val="10"/>
                <w:color w:val="auto"/>
              </w:rPr>
            </w:pPr>
          </w:p>
        </w:tc>
        <w:tc>
          <w:tcPr>
            <w:tcW w:w="2000" w:type="dxa"/>
            <w:vAlign w:val="bottom"/>
            <w:gridSpan w:val="2"/>
          </w:tcPr>
          <w:p>
            <w:pPr>
              <w:jc w:val="center"/>
              <w:ind w:right="440"/>
              <w:spacing w:after="0" w:line="126"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0"/>
                <w:szCs w:val="10"/>
                <w:color w:val="auto"/>
              </w:rPr>
            </w:pPr>
          </w:p>
        </w:tc>
        <w:tc>
          <w:tcPr>
            <w:tcW w:w="1820" w:type="dxa"/>
            <w:vAlign w:val="bottom"/>
          </w:tcPr>
          <w:p>
            <w:pPr>
              <w:jc w:val="right"/>
              <w:ind w:right="730"/>
              <w:spacing w:after="0" w:line="126"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0" w:type="dxa"/>
            <w:vAlign w:val="bottom"/>
          </w:tcPr>
          <w:p>
            <w:pPr>
              <w:spacing w:after="0"/>
              <w:rPr>
                <w:sz w:val="1"/>
                <w:szCs w:val="1"/>
                <w:color w:val="auto"/>
              </w:rPr>
            </w:pPr>
          </w:p>
        </w:tc>
      </w:tr>
      <w:tr>
        <w:trPr>
          <w:trHeight w:val="190"/>
        </w:trPr>
        <w:tc>
          <w:tcPr>
            <w:tcW w:w="4220" w:type="dxa"/>
            <w:vAlign w:val="bottom"/>
            <w:gridSpan w:val="2"/>
            <w:vMerge w:val="continue"/>
          </w:tcPr>
          <w:p>
            <w:pPr>
              <w:spacing w:after="0"/>
              <w:rPr>
                <w:sz w:val="16"/>
                <w:szCs w:val="16"/>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340" w:type="dxa"/>
            <w:vAlign w:val="bottom"/>
          </w:tcPr>
          <w:p>
            <w:pPr>
              <w:spacing w:after="0"/>
              <w:rPr>
                <w:sz w:val="16"/>
                <w:szCs w:val="16"/>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420" w:type="dxa"/>
            <w:vAlign w:val="bottom"/>
          </w:tcPr>
          <w:p>
            <w:pPr>
              <w:spacing w:after="0"/>
              <w:rPr>
                <w:sz w:val="16"/>
                <w:szCs w:val="16"/>
                <w:color w:val="auto"/>
              </w:rPr>
            </w:pPr>
          </w:p>
        </w:tc>
        <w:tc>
          <w:tcPr>
            <w:tcW w:w="182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5"/>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Prime Brokerage Credit Facilities:</w:t>
            </w:r>
          </w:p>
        </w:tc>
        <w:tc>
          <w:tcPr>
            <w:tcW w:w="10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4.71%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218,398</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218,398</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At December 31, 2021</w:t>
            </w: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0"/>
                <w:szCs w:val="10"/>
                <w:color w:val="auto"/>
              </w:rPr>
            </w:pPr>
          </w:p>
        </w:tc>
        <w:tc>
          <w:tcPr>
            <w:tcW w:w="234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60" w:type="dxa"/>
            <w:vAlign w:val="bottom"/>
          </w:tcPr>
          <w:p>
            <w:pPr>
              <w:spacing w:after="0"/>
              <w:rPr>
                <w:sz w:val="10"/>
                <w:szCs w:val="10"/>
                <w:color w:val="auto"/>
              </w:rPr>
            </w:pPr>
          </w:p>
        </w:tc>
        <w:tc>
          <w:tcPr>
            <w:tcW w:w="208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0"/>
                <w:szCs w:val="10"/>
                <w:color w:val="auto"/>
              </w:rPr>
            </w:pPr>
          </w:p>
        </w:tc>
        <w:tc>
          <w:tcPr>
            <w:tcW w:w="1820" w:type="dxa"/>
            <w:vAlign w:val="bottom"/>
          </w:tcPr>
          <w:p>
            <w:pPr>
              <w:jc w:val="right"/>
              <w:ind w:right="730"/>
              <w:spacing w:after="0" w:line="124"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8"/>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Prime Brokerage Credit Facilities:</w:t>
            </w: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2.91%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177,080</w:t>
            </w:r>
          </w:p>
        </w:tc>
        <w:tc>
          <w:tcPr>
            <w:tcW w:w="0" w:type="dxa"/>
            <w:vAlign w:val="bottom"/>
          </w:tcPr>
          <w:p>
            <w:pPr>
              <w:spacing w:after="0"/>
              <w:rPr>
                <w:sz w:val="1"/>
                <w:szCs w:val="1"/>
                <w:color w:val="auto"/>
              </w:rPr>
            </w:pPr>
          </w:p>
        </w:tc>
      </w:tr>
      <w:tr>
        <w:trPr>
          <w:trHeight w:val="235"/>
        </w:trPr>
        <w:tc>
          <w:tcPr>
            <w:tcW w:w="4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616,000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177,080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Outstanding borrowings are included with Receivables from/Payables to broker-dealers and clearing organizations within the Condensed Consolidated Statements of Financial Condition.</w:t>
      </w:r>
    </w:p>
    <w:p>
      <w:pPr>
        <w:spacing w:after="0" w:line="236"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Interest expense in relation to the facilities was $1.7 million and $1.1 million for the three months ended June 30, 2022 and 2021, and $3.3 million and $2.1 million for the six months ended June 30, 2022 and 2021,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Borrowings</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summarizes the Company’s long-term borrowings, net of unamortized discount and debt issuance costs, where applicable:</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At June 30, 2022</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0"/>
                <w:szCs w:val="10"/>
                <w:color w:val="auto"/>
              </w:rPr>
            </w:pPr>
          </w:p>
        </w:tc>
        <w:tc>
          <w:tcPr>
            <w:tcW w:w="114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4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40" w:type="dxa"/>
            <w:vAlign w:val="bottom"/>
          </w:tcPr>
          <w:p>
            <w:pPr>
              <w:spacing w:after="0"/>
              <w:rPr>
                <w:sz w:val="10"/>
                <w:szCs w:val="10"/>
                <w:color w:val="auto"/>
              </w:rPr>
            </w:pPr>
          </w:p>
        </w:tc>
        <w:tc>
          <w:tcPr>
            <w:tcW w:w="118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40" w:type="dxa"/>
            <w:vAlign w:val="bottom"/>
          </w:tcPr>
          <w:p>
            <w:pPr>
              <w:jc w:val="right"/>
              <w:ind w:right="25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86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5"/>
        </w:trPr>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2029</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4.43%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1,800,000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1,766,606</w:t>
            </w:r>
          </w:p>
        </w:tc>
        <w:tc>
          <w:tcPr>
            <w:tcW w:w="0" w:type="dxa"/>
            <w:vAlign w:val="bottom"/>
          </w:tcPr>
          <w:p>
            <w:pPr>
              <w:spacing w:after="0"/>
              <w:rPr>
                <w:sz w:val="1"/>
                <w:szCs w:val="1"/>
                <w:color w:val="auto"/>
              </w:rPr>
            </w:pPr>
          </w:p>
        </w:tc>
      </w:tr>
      <w:tr>
        <w:trPr>
          <w:trHeight w:val="197"/>
        </w:trPr>
        <w:tc>
          <w:tcPr>
            <w:tcW w:w="3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25,777</w:t>
            </w: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1,825,788</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(29,201)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1,792,383</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2021</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0"/>
                <w:szCs w:val="10"/>
                <w:color w:val="auto"/>
              </w:rPr>
            </w:pPr>
          </w:p>
        </w:tc>
        <w:tc>
          <w:tcPr>
            <w:tcW w:w="11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0"/>
                <w:szCs w:val="10"/>
                <w:color w:val="auto"/>
              </w:rPr>
            </w:pPr>
          </w:p>
        </w:tc>
        <w:tc>
          <w:tcPr>
            <w:tcW w:w="86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40" w:type="dxa"/>
            <w:vAlign w:val="bottom"/>
          </w:tcPr>
          <w:p>
            <w:pPr>
              <w:jc w:val="right"/>
              <w:ind w:right="25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27"/>
        </w:trPr>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First Lien Term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March 2026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3.10%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1,599,774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(21,620)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1,574,431</w:t>
            </w:r>
          </w:p>
        </w:tc>
        <w:tc>
          <w:tcPr>
            <w:tcW w:w="0" w:type="dxa"/>
            <w:vAlign w:val="bottom"/>
          </w:tcPr>
          <w:p>
            <w:pPr>
              <w:spacing w:after="0"/>
              <w:rPr>
                <w:sz w:val="1"/>
                <w:szCs w:val="1"/>
                <w:color w:val="auto"/>
              </w:rPr>
            </w:pPr>
          </w:p>
        </w:tc>
      </w:tr>
      <w:tr>
        <w:trPr>
          <w:trHeight w:val="197"/>
        </w:trPr>
        <w:tc>
          <w:tcPr>
            <w:tcW w:w="3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SBI bonds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2023</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30,701</w:t>
            </w:r>
          </w:p>
        </w:tc>
        <w:tc>
          <w:tcPr>
            <w:tcW w:w="0" w:type="dxa"/>
            <w:vAlign w:val="bottom"/>
          </w:tcPr>
          <w:p>
            <w:pPr>
              <w:spacing w:after="0"/>
              <w:rPr>
                <w:sz w:val="1"/>
                <w:szCs w:val="1"/>
                <w:color w:val="auto"/>
              </w:rPr>
            </w:pPr>
          </w:p>
        </w:tc>
      </w:tr>
      <w:tr>
        <w:trPr>
          <w:trHeight w:val="190"/>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1,630,496</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(21,641)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1,605,132</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Agreements</w:t>
      </w:r>
    </w:p>
    <w:p>
      <w:pPr>
        <w:spacing w:after="0" w:line="252" w:lineRule="exact"/>
        <w:rPr>
          <w:sz w:val="20"/>
          <w:szCs w:val="20"/>
          <w:color w:val="auto"/>
        </w:rPr>
      </w:pPr>
    </w:p>
    <w:p>
      <w:pPr>
        <w:ind w:right="340" w:firstLine="629"/>
        <w:spacing w:after="0" w:line="276" w:lineRule="auto"/>
        <w:rPr>
          <w:sz w:val="20"/>
          <w:szCs w:val="20"/>
          <w:color w:val="auto"/>
        </w:rPr>
      </w:pPr>
      <w:r>
        <w:rPr>
          <w:rFonts w:ascii="Times New Roman" w:cs="Times New Roman" w:eastAsia="Times New Roman" w:hAnsi="Times New Roman"/>
          <w:sz w:val="17"/>
          <w:szCs w:val="17"/>
          <w:color w:val="auto"/>
        </w:rPr>
        <w:t>In connection with the ITG Acquisition, Virtu Financial, VFH, and Impala Borrower LLC (the "Acquisition Borrower") entered into a credit agreement, with the lenders party thereto, Jefferies Finance LLC, as administrative agent and Jefferies Finance LLC and RBC Capital Markets, as joint lead arrangers and joint bookrunners (the "Acquisition Credit Agreement").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19" w:name="page20"/>
    <w:bookmarkEnd w:id="19"/>
    <w:p>
      <w:pPr>
        <w:ind w:right="40" w:firstLine="629"/>
        <w:spacing w:after="0" w:line="243" w:lineRule="auto"/>
        <w:rPr>
          <w:sz w:val="20"/>
          <w:szCs w:val="20"/>
          <w:color w:val="auto"/>
        </w:rPr>
      </w:pPr>
      <w:r>
        <w:rPr>
          <w:rFonts w:ascii="Times New Roman" w:cs="Times New Roman" w:eastAsia="Times New Roman" w:hAnsi="Times New Roman"/>
          <w:sz w:val="17"/>
          <w:szCs w:val="17"/>
          <w:color w:val="auto"/>
        </w:rPr>
        <w:t>The Acquisition Credit Agreement provided (i) a senior secured first lien term loan (together with the Acquisition Incremental Term Loans, as defined below; the “Acquisition First Lien Term Loan Facility”) in an aggregate principal amount of $1,500 million, drawn in its entirety on the ITG Closing Date, of which amount approximately $404.5 million was borrowed by VFH to repay all amounts outstanding under a previous term loan facility and the remaining approximately $1,095 million was borrowed by Impala Borrower LLC (the "Acquisition Borrower"), to finance the consideration and fees and expenses paid in connection with the ITG Acquisition, and (ii) a $50.0 million senior secured first lien revolving facility to VFH, with a $5.0 million letter of credit subfacility and a $5.0 million swingline subfacility. After the ITG Closing Date, VFH assumed the obligations of the Acquisition Borrower in respect of the acquisition term loans. On October 9, 2019, VFH entered into an amendment, which amended the Acquisition Credit Agreement dated as of March 1, 2019 to, among other things, provide for $525.0 million in aggregate principal amount of incremental term loans (the “Acquisition Incremental Term Loans”), and amend the related collateral agreement. On March 2, 2020, VFH entered into a second amendment, which further amended the Acquisition Credit Agreement to, among other things, reduce the interest rate spread over adjusted LIBOR or the alternate base rate by 0.50% per annum and eliminated any step-down in the spread based on VFH's first lien leverage ratio.</w:t>
      </w:r>
    </w:p>
    <w:p>
      <w:pPr>
        <w:spacing w:after="0" w:line="200" w:lineRule="exact"/>
        <w:rPr>
          <w:sz w:val="20"/>
          <w:szCs w:val="20"/>
          <w:color w:val="auto"/>
        </w:rPr>
      </w:pPr>
    </w:p>
    <w:p>
      <w:pPr>
        <w:spacing w:after="0" w:line="205" w:lineRule="exact"/>
        <w:rPr>
          <w:sz w:val="20"/>
          <w:szCs w:val="20"/>
          <w:color w:val="auto"/>
        </w:rPr>
      </w:pPr>
    </w:p>
    <w:p>
      <w:pPr>
        <w:ind w:right="60" w:firstLine="629"/>
        <w:spacing w:after="0" w:line="253" w:lineRule="auto"/>
        <w:rPr>
          <w:sz w:val="20"/>
          <w:szCs w:val="20"/>
          <w:color w:val="auto"/>
        </w:rPr>
      </w:pPr>
      <w:r>
        <w:rPr>
          <w:rFonts w:ascii="Times New Roman" w:cs="Times New Roman" w:eastAsia="Times New Roman" w:hAnsi="Times New Roman"/>
          <w:sz w:val="17"/>
          <w:szCs w:val="17"/>
          <w:color w:val="auto"/>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7" w:lineRule="exact"/>
        <w:rPr>
          <w:sz w:val="20"/>
          <w:szCs w:val="20"/>
          <w:color w:val="auto"/>
        </w:rPr>
      </w:pPr>
    </w:p>
    <w:p>
      <w:pPr>
        <w:ind w:right="160" w:firstLine="629"/>
        <w:spacing w:after="0" w:line="262" w:lineRule="auto"/>
        <w:rPr>
          <w:sz w:val="20"/>
          <w:szCs w:val="20"/>
          <w:color w:val="auto"/>
        </w:rPr>
      </w:pPr>
      <w:r>
        <w:rPr>
          <w:rFonts w:ascii="Times New Roman" w:cs="Times New Roman" w:eastAsia="Times New Roman" w:hAnsi="Times New Roman"/>
          <w:sz w:val="17"/>
          <w:szCs w:val="17"/>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205" w:lineRule="exact"/>
        <w:rPr>
          <w:sz w:val="20"/>
          <w:szCs w:val="20"/>
          <w:color w:val="auto"/>
        </w:rPr>
      </w:pPr>
    </w:p>
    <w:p>
      <w:pPr>
        <w:ind w:right="160" w:firstLine="629"/>
        <w:spacing w:after="0" w:line="267" w:lineRule="auto"/>
        <w:rPr>
          <w:sz w:val="20"/>
          <w:szCs w:val="20"/>
          <w:color w:val="auto"/>
        </w:rPr>
      </w:pPr>
      <w:r>
        <w:rPr>
          <w:rFonts w:ascii="Times New Roman" w:cs="Times New Roman" w:eastAsia="Times New Roman" w:hAnsi="Times New Roman"/>
          <w:sz w:val="17"/>
          <w:szCs w:val="17"/>
          <w:color w:val="auto"/>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96" w:lineRule="exact"/>
        <w:rPr>
          <w:sz w:val="20"/>
          <w:szCs w:val="20"/>
          <w:color w:val="auto"/>
        </w:rPr>
      </w:pPr>
    </w:p>
    <w:p>
      <w:pPr>
        <w:jc w:val="both"/>
        <w:ind w:right="420" w:firstLine="629"/>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94"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Under the Credit Agreement, the term loans will mature on January 13, 2029. The term loans amortize in annual installments equal to 1.0% of the original aggregate principal amount of the term loans. The revolving commitments will terminate on January 13, 2025. As of June 30, 2022, $1,800 million was outstanding under the term loans, and there were no amounts outstanding under the first lien revolving facility.</w:t>
      </w:r>
    </w:p>
    <w:p>
      <w:pPr>
        <w:spacing w:after="0" w:line="177" w:lineRule="exact"/>
        <w:rPr>
          <w:sz w:val="20"/>
          <w:szCs w:val="20"/>
          <w:color w:val="auto"/>
        </w:rPr>
      </w:pPr>
    </w:p>
    <w:p>
      <w:pPr>
        <w:ind w:right="40" w:firstLine="629"/>
        <w:spacing w:after="0" w:line="245" w:lineRule="auto"/>
        <w:rPr>
          <w:sz w:val="20"/>
          <w:szCs w:val="20"/>
          <w:color w:val="auto"/>
        </w:rPr>
      </w:pPr>
      <w:r>
        <w:rPr>
          <w:rFonts w:ascii="Times New Roman" w:cs="Times New Roman" w:eastAsia="Times New Roman" w:hAnsi="Times New Roman"/>
          <w:sz w:val="17"/>
          <w:szCs w:val="17"/>
          <w:color w:val="auto"/>
        </w:rPr>
        <w:t>In October 2019, the Company entered into a five-year $525 million floating-to-fixed interest rate swap agreement. In January 2020, the Company also entered into a five-year $1,000 million floating-to-fixed interest rate swap agreement. These two interest rate swaps met the criteria to be considered and were designated qualifying cash flow hedges under ASC 815 in the first quarter of 2020, and they effectively fixed interest payment obligations on $525.0 million and $1,000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0" w:name="page21"/>
    <w:bookmarkEnd w:id="20"/>
    <w:p>
      <w:pPr>
        <w:spacing w:after="0" w:line="257" w:lineRule="auto"/>
        <w:rPr>
          <w:sz w:val="20"/>
          <w:szCs w:val="20"/>
          <w:color w:val="auto"/>
        </w:rPr>
      </w:pPr>
      <w:r>
        <w:rPr>
          <w:rFonts w:ascii="Times New Roman" w:cs="Times New Roman" w:eastAsia="Times New Roman" w:hAnsi="Times New Roman"/>
          <w:sz w:val="17"/>
          <w:szCs w:val="17"/>
          <w:color w:val="auto"/>
        </w:rPr>
        <w:t>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w:t>
      </w:r>
    </w:p>
    <w:p>
      <w:pPr>
        <w:spacing w:after="0" w:line="1"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7"/>
          <w:szCs w:val="17"/>
          <w:color w:val="auto"/>
        </w:rPr>
        <w:t>agreements to SOFR. The effective fixed interest payment obligations remained at 4.5%, with respect to the earlier maturing swap arrangement, and 4.6% with respect to the later maturing swap arrangement.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SBI Bonds</w:t>
      </w:r>
    </w:p>
    <w:p>
      <w:pPr>
        <w:spacing w:after="0" w:line="252" w:lineRule="exact"/>
        <w:rPr>
          <w:sz w:val="20"/>
          <w:szCs w:val="20"/>
          <w:color w:val="auto"/>
        </w:rPr>
      </w:pPr>
    </w:p>
    <w:p>
      <w:pPr>
        <w:ind w:right="100" w:firstLine="629"/>
        <w:spacing w:after="0" w:line="262" w:lineRule="auto"/>
        <w:rPr>
          <w:sz w:val="20"/>
          <w:szCs w:val="20"/>
          <w:color w:val="auto"/>
        </w:rPr>
      </w:pPr>
      <w:r>
        <w:rPr>
          <w:rFonts w:ascii="Times New Roman" w:cs="Times New Roman" w:eastAsia="Times New Roman" w:hAnsi="Times New Roman"/>
          <w:sz w:val="17"/>
          <w:szCs w:val="17"/>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9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2019, the maturity date of the SBI Bonds was extended to January 2023. The principal balance was ¥3.5 billion ($25.8 million) as of June 30, 2022 and ¥3.5 billion ($30.7 million) as of December 31, 2021. The Company had a gain $3.0 million and a gain of $0.1 million during the three months ended June 30, 2022 and 2021, and a gain of $4.9 million, and a gain of $2.4 million, during the six months ended June 30, 2022 and 2021, respectively, due to changes in foreign currency rates.</w:t>
      </w: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As of June 30, 2022, aggregate future required minimum principal payments based on the terms of the long-term borrowings were as follows:</w:t>
      </w:r>
    </w:p>
    <w:p>
      <w:pPr>
        <w:spacing w:after="0" w:line="283" w:lineRule="exact"/>
        <w:rPr>
          <w:sz w:val="20"/>
          <w:szCs w:val="20"/>
          <w:color w:val="auto"/>
        </w:rPr>
      </w:pPr>
    </w:p>
    <w:tbl>
      <w:tblPr>
        <w:tblLayout w:type="fixed"/>
        <w:tblInd w:w="3440" w:type="dxa"/>
        <w:tblCellMar>
          <w:top w:w="0" w:type="dxa"/>
          <w:left w:w="0" w:type="dxa"/>
          <w:bottom w:w="0" w:type="dxa"/>
          <w:right w:w="0" w:type="dxa"/>
        </w:tblCellMar>
      </w:tblPr>
      <w:tr>
        <w:trPr>
          <w:trHeight w:val="18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3"/>
        </w:trPr>
        <w:tc>
          <w:tcPr>
            <w:tcW w:w="2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43,788</w:t>
            </w:r>
          </w:p>
        </w:tc>
      </w:tr>
      <w:tr>
        <w:trPr>
          <w:trHeight w:val="20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r>
      <w:tr>
        <w:trPr>
          <w:trHeight w:val="18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r>
      <w:tr>
        <w:trPr>
          <w:trHeight w:val="20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w:t>
            </w:r>
          </w:p>
        </w:tc>
      </w:tr>
      <w:tr>
        <w:trPr>
          <w:trHeight w:val="190"/>
        </w:trPr>
        <w:tc>
          <w:tcPr>
            <w:tcW w:w="2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1,728,000</w:t>
            </w:r>
          </w:p>
        </w:tc>
      </w:tr>
      <w:tr>
        <w:trPr>
          <w:trHeight w:val="221"/>
        </w:trPr>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principal of long-term borrowings</w:t>
            </w: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1,825,788</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Financial Assets and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Measured at Fair Value</w:t>
      </w:r>
    </w:p>
    <w:p>
      <w:pPr>
        <w:spacing w:after="0" w:line="252"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color w:val="auto"/>
        </w:rPr>
        <w:t>The fair value of equities, options, on-the-run U.S. government obligations and exchange traded notes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and other U.S. and non-U.S. government obligations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203"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1" w:name="page22"/>
    <w:bookmarkEnd w:id="21"/>
    <w:p>
      <w:pPr>
        <w:ind w:left="600"/>
        <w:spacing w:after="0"/>
        <w:rPr>
          <w:sz w:val="20"/>
          <w:szCs w:val="20"/>
          <w:color w:val="auto"/>
        </w:rPr>
      </w:pPr>
      <w:r>
        <w:rPr>
          <w:rFonts w:ascii="Times New Roman" w:cs="Times New Roman" w:eastAsia="Times New Roman" w:hAnsi="Times New Roman"/>
          <w:sz w:val="17"/>
          <w:szCs w:val="17"/>
          <w:color w:val="auto"/>
        </w:rPr>
        <w:t>Fair value measurements for those items measured on a recurring basis are summarized below as of June 30,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80" w:type="dxa"/>
            <w:vAlign w:val="bottom"/>
          </w:tcPr>
          <w:p>
            <w:pPr>
              <w:spacing w:after="0"/>
              <w:rPr>
                <w:sz w:val="10"/>
                <w:szCs w:val="10"/>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20" w:type="dxa"/>
            <w:vAlign w:val="bottom"/>
          </w:tcPr>
          <w:p>
            <w:pPr>
              <w:spacing w:after="0"/>
              <w:rPr>
                <w:sz w:val="10"/>
                <w:szCs w:val="10"/>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32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953,663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1,872,668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2,826,331</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509,396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536,420</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722,866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722,866</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3,021</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349,791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(347,871)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11,339</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1,474,424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2,975,344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(347,871)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4,101,897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632,311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429,291</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1,061,602</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17,222</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632,330</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446,494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1,078,824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77,562</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Exchange stock</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80,143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Receivables from broker dealers and clearing organizations: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rate swap</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51,634</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51,634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1,471,443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1,170,977</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2,642,420</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669,422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688,793</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1,105,471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1,105,471</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11,524</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(366,934)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23,008</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2,163,904</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2,674,259</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(366,934)</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4,471,229</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868" w:right="359"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7"/>
          <w:szCs w:val="17"/>
          <w:color w:val="auto"/>
        </w:rPr>
        <w:t>Fair value measurements for those items measured on a recurring basis are summarized below as of December 31, 2021:</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80" w:type="dxa"/>
            <w:vAlign w:val="bottom"/>
          </w:tcPr>
          <w:p>
            <w:pPr>
              <w:spacing w:after="0"/>
              <w:rPr>
                <w:sz w:val="10"/>
                <w:szCs w:val="10"/>
                <w:color w:val="auto"/>
              </w:rPr>
            </w:pP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20" w:type="dxa"/>
            <w:vAlign w:val="bottom"/>
          </w:tcPr>
          <w:p>
            <w:pPr>
              <w:jc w:val="right"/>
              <w:ind w:right="3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00" w:type="dxa"/>
            <w:vAlign w:val="bottom"/>
          </w:tcPr>
          <w:p>
            <w:pPr>
              <w:spacing w:after="0"/>
              <w:rPr>
                <w:sz w:val="12"/>
                <w:szCs w:val="12"/>
                <w:color w:val="auto"/>
              </w:rPr>
            </w:pPr>
          </w:p>
        </w:tc>
        <w:tc>
          <w:tcPr>
            <w:tcW w:w="14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572,567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1,700,470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2,273,037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337,350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355,869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598,944</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206,258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918,470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2,526,650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3,238,995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342,292</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1,012,569</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5,391</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670,277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1,017,960</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stock</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84,378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1,482,386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807,631</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2,290,017</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330,765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340,720</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851,871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851,871</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22,962</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1,818,359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1,900,776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3,510,779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Payables to broker dealers and clearing organizations: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rate swap</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JNX Investment</w:t>
      </w:r>
    </w:p>
    <w:p>
      <w:pPr>
        <w:spacing w:after="0" w:line="252" w:lineRule="exact"/>
        <w:rPr>
          <w:sz w:val="20"/>
          <w:szCs w:val="20"/>
          <w:color w:val="auto"/>
        </w:rPr>
      </w:pPr>
    </w:p>
    <w:p>
      <w:pPr>
        <w:ind w:right="60" w:firstLine="629"/>
        <w:spacing w:after="0" w:line="262" w:lineRule="auto"/>
        <w:rPr>
          <w:sz w:val="20"/>
          <w:szCs w:val="20"/>
          <w:color w:val="auto"/>
        </w:rPr>
      </w:pPr>
      <w:r>
        <w:rPr>
          <w:rFonts w:ascii="Times New Roman" w:cs="Times New Roman" w:eastAsia="Times New Roman" w:hAnsi="Times New Roman"/>
          <w:sz w:val="17"/>
          <w:szCs w:val="17"/>
          <w:color w:val="auto"/>
        </w:rPr>
        <w:t>The Company has a minority investment (the “JNX Investment”) in Japannext Co., Ltd. (“JNX”), formerly known as SBI Japannext Co., Ltd., a proprietary trading system based in Tokyo. In connection with the JNX Investment, the Company issued the SBI Bonds (as described in Note 8 "Borrowings") and used the proceeds to partially finance the transaction. The JNX Investment is included within Level 3 of the fair value hierarchy. As of June 30, 2022 and December 31, 2021,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7"/>
          <w:szCs w:val="17"/>
          <w:color w:val="auto"/>
        </w:rPr>
        <w:t>The table below presents information on the valuation techniques, significant unobservable inputs and their ranges for the JNX Investment:</w:t>
      </w:r>
    </w:p>
    <w:p>
      <w:pPr>
        <w:spacing w:after="0" w:line="28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4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25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32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77,562</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Estimated revenue growth</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- 5.0%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- 14.8%</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Market</w:t>
            </w:r>
          </w:p>
        </w:tc>
        <w:tc>
          <w:tcPr>
            <w:tcW w:w="194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Future enterprise value/</w:t>
            </w:r>
          </w:p>
        </w:tc>
        <w:tc>
          <w:tcPr>
            <w:tcW w:w="13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(4.8)x - 23.9x</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12.5x</w:t>
            </w:r>
          </w:p>
        </w:tc>
        <w:tc>
          <w:tcPr>
            <w:tcW w:w="0" w:type="dxa"/>
            <w:vAlign w:val="bottom"/>
          </w:tcPr>
          <w:p>
            <w:pPr>
              <w:spacing w:after="0"/>
              <w:rPr>
                <w:sz w:val="1"/>
                <w:szCs w:val="1"/>
                <w:color w:val="auto"/>
              </w:rPr>
            </w:pPr>
          </w:p>
        </w:tc>
      </w:tr>
      <w:tr>
        <w:trPr>
          <w:trHeight w:val="193"/>
        </w:trPr>
        <w:tc>
          <w:tcPr>
            <w:tcW w:w="2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EBIDTA ratio</w:t>
            </w:r>
          </w:p>
        </w:tc>
        <w:tc>
          <w:tcPr>
            <w:tcW w:w="1320" w:type="dxa"/>
            <w:vAlign w:val="bottom"/>
            <w:gridSpan w:val="2"/>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20" w:type="dxa"/>
            <w:vAlign w:val="bottom"/>
          </w:tcPr>
          <w:p>
            <w:pPr>
              <w:ind w:left="200"/>
              <w:spacing w:after="0" w:line="124"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24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3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81,358</w:t>
            </w:r>
          </w:p>
        </w:tc>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Estimated revenue growth</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2.5% - 32.6%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14.4% - 14.4%</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Market</w:t>
            </w:r>
          </w:p>
        </w:tc>
        <w:tc>
          <w:tcPr>
            <w:tcW w:w="1920" w:type="dxa"/>
            <w:vAlign w:val="bottom"/>
            <w:shd w:val="clear" w:color="auto" w:fill="CCEEFF"/>
          </w:tcPr>
          <w:p>
            <w:pPr>
              <w:ind w:left="160"/>
              <w:spacing w:after="0" w:line="138" w:lineRule="exact"/>
              <w:rPr>
                <w:sz w:val="20"/>
                <w:szCs w:val="20"/>
                <w:color w:val="auto"/>
              </w:rPr>
            </w:pPr>
            <w:r>
              <w:rPr>
                <w:rFonts w:ascii="Times New Roman" w:cs="Times New Roman" w:eastAsia="Times New Roman" w:hAnsi="Times New Roman"/>
                <w:sz w:val="14"/>
                <w:szCs w:val="14"/>
                <w:color w:val="auto"/>
              </w:rPr>
              <w:t>Future enterprise value/</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8.7x - 21.1x</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14.0x</w:t>
            </w: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EBIDTA ratio</w:t>
            </w:r>
          </w:p>
        </w:tc>
        <w:tc>
          <w:tcPr>
            <w:tcW w:w="1300" w:type="dxa"/>
            <w:vAlign w:val="bottom"/>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Changes in the fair value of the JNX Investment are included within Other, net in the Condensed Consolidated Statements of Comprehensive Income.</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presents the changes in the Company's Level 3 financial instruments measured at fair value on a recurring basis:</w:t>
      </w:r>
    </w:p>
    <w:p>
      <w:pPr>
        <w:sectPr>
          <w:pgSz w:w="11900" w:h="16838" w:orient="portrait"/>
          <w:cols w:equalWidth="0" w:num="1">
            <w:col w:w="11220"/>
          </w:cols>
          <w:pgMar w:left="340" w:top="8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29845</wp:posOffset>
            </wp:positionV>
            <wp:extent cx="14471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6"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33"/>
        </w:trPr>
        <w:tc>
          <w:tcPr>
            <w:tcW w:w="12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Balance at March</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12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w:t>
            </w:r>
          </w:p>
        </w:tc>
        <w:tc>
          <w:tcPr>
            <w:tcW w:w="80" w:type="dxa"/>
            <w:vAlign w:val="bottom"/>
          </w:tcPr>
          <w:p>
            <w:pPr>
              <w:spacing w:after="0"/>
              <w:rPr>
                <w:sz w:val="11"/>
                <w:szCs w:val="11"/>
                <w:color w:val="auto"/>
              </w:rPr>
            </w:pPr>
          </w:p>
        </w:tc>
        <w:tc>
          <w:tcPr>
            <w:tcW w:w="110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4"/>
        </w:trPr>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vMerge w:val="restart"/>
          </w:tcPr>
          <w:p>
            <w:pPr>
              <w:spacing w:after="0"/>
              <w:rPr>
                <w:sz w:val="12"/>
                <w:szCs w:val="12"/>
                <w:color w:val="auto"/>
              </w:rPr>
            </w:pPr>
          </w:p>
        </w:tc>
        <w:tc>
          <w:tcPr>
            <w:tcW w:w="128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held at June 30,</w:t>
            </w:r>
          </w:p>
        </w:tc>
        <w:tc>
          <w:tcPr>
            <w:tcW w:w="0" w:type="dxa"/>
            <w:vAlign w:val="bottom"/>
          </w:tcPr>
          <w:p>
            <w:pPr>
              <w:spacing w:after="0"/>
              <w:rPr>
                <w:sz w:val="1"/>
                <w:szCs w:val="1"/>
                <w:color w:val="auto"/>
              </w:rPr>
            </w:pPr>
          </w:p>
        </w:tc>
      </w:tr>
      <w:tr>
        <w:trPr>
          <w:trHeight w:val="190"/>
        </w:trPr>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31, 2022</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(out of) Level 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564"/>
        </w:trPr>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84,482</w:t>
            </w:r>
          </w:p>
        </w:tc>
        <w:tc>
          <w:tcPr>
            <w:tcW w:w="80" w:type="dxa"/>
            <w:vAlign w:val="bottom"/>
          </w:tcPr>
          <w:p>
            <w:pPr>
              <w:spacing w:after="0"/>
              <w:rPr>
                <w:sz w:val="24"/>
                <w:szCs w:val="24"/>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77,562</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(6,920)</w:t>
            </w: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84,482</w:t>
            </w:r>
          </w:p>
        </w:tc>
        <w:tc>
          <w:tcPr>
            <w:tcW w:w="8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77,562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-372745</wp:posOffset>
            </wp:positionV>
            <wp:extent cx="7136130" cy="124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-123825</wp:posOffset>
            </wp:positionV>
            <wp:extent cx="7136130" cy="149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640" w:space="720"/>
            <w:col w:w="8860"/>
          </w:cols>
          <w:pgMar w:left="340" w:top="8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1496060</wp:posOffset>
            </wp:positionH>
            <wp:positionV relativeFrom="paragraph">
              <wp:posOffset>-80010</wp:posOffset>
            </wp:positionV>
            <wp:extent cx="56311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31180" cy="8255"/>
                    </a:xfrm>
                    <a:prstGeom prst="rect">
                      <a:avLst/>
                    </a:prstGeom>
                    <a:noFill/>
                  </pic:spPr>
                </pic:pic>
              </a:graphicData>
            </a:graphic>
          </wp:anchor>
        </w:drawing>
      </w:r>
    </w:p>
    <w:p>
      <w:pPr>
        <w:sectPr>
          <w:pgSz w:w="11900" w:h="16838" w:orient="portrait"/>
          <w:cols w:equalWidth="0" w:num="1">
            <w:col w:w="11220"/>
          </w:cols>
          <w:pgMar w:left="340" w:top="8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29845</wp:posOffset>
            </wp:positionV>
            <wp:extent cx="14471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6"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33"/>
        </w:trPr>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44"/>
        </w:trPr>
        <w:tc>
          <w:tcPr>
            <w:tcW w:w="12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Balance at March</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w:t>
            </w:r>
          </w:p>
        </w:tc>
        <w:tc>
          <w:tcPr>
            <w:tcW w:w="80" w:type="dxa"/>
            <w:vAlign w:val="bottom"/>
          </w:tcPr>
          <w:p>
            <w:pPr>
              <w:spacing w:after="0"/>
              <w:rPr>
                <w:sz w:val="12"/>
                <w:szCs w:val="12"/>
                <w:color w:val="auto"/>
              </w:rPr>
            </w:pPr>
          </w:p>
        </w:tc>
        <w:tc>
          <w:tcPr>
            <w:tcW w:w="110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2"/>
        </w:trPr>
        <w:tc>
          <w:tcPr>
            <w:tcW w:w="12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00" w:type="dxa"/>
            <w:vAlign w:val="bottom"/>
            <w:vMerge w:val="restart"/>
          </w:tcPr>
          <w:p>
            <w:pPr>
              <w:spacing w:after="0"/>
              <w:rPr>
                <w:sz w:val="12"/>
                <w:szCs w:val="12"/>
                <w:color w:val="auto"/>
              </w:rPr>
            </w:pPr>
          </w:p>
        </w:tc>
        <w:tc>
          <w:tcPr>
            <w:tcW w:w="128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12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held at June 30,</w:t>
            </w:r>
          </w:p>
        </w:tc>
        <w:tc>
          <w:tcPr>
            <w:tcW w:w="0" w:type="dxa"/>
            <w:vAlign w:val="bottom"/>
          </w:tcPr>
          <w:p>
            <w:pPr>
              <w:spacing w:after="0"/>
              <w:rPr>
                <w:sz w:val="1"/>
                <w:szCs w:val="1"/>
                <w:color w:val="auto"/>
              </w:rPr>
            </w:pPr>
          </w:p>
        </w:tc>
      </w:tr>
      <w:tr>
        <w:trPr>
          <w:trHeight w:val="191"/>
        </w:trPr>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31, 2021</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(out of) Level 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30, 2021</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564"/>
        </w:trPr>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66,192</w:t>
            </w:r>
          </w:p>
        </w:tc>
        <w:tc>
          <w:tcPr>
            <w:tcW w:w="80" w:type="dxa"/>
            <w:vAlign w:val="bottom"/>
          </w:tcPr>
          <w:p>
            <w:pPr>
              <w:spacing w:after="0"/>
              <w:rPr>
                <w:sz w:val="24"/>
                <w:szCs w:val="24"/>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78,313</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12,121</w:t>
            </w: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66,192</w:t>
            </w:r>
          </w:p>
        </w:tc>
        <w:tc>
          <w:tcPr>
            <w:tcW w:w="8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78,313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-372745</wp:posOffset>
            </wp:positionV>
            <wp:extent cx="7136130" cy="1244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-1507490</wp:posOffset>
            </wp:positionH>
            <wp:positionV relativeFrom="paragraph">
              <wp:posOffset>-123825</wp:posOffset>
            </wp:positionV>
            <wp:extent cx="7136130" cy="1498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640" w:space="720"/>
            <w:col w:w="8860"/>
          </w:cols>
          <w:pgMar w:left="340" w:top="8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1496060</wp:posOffset>
            </wp:positionH>
            <wp:positionV relativeFrom="paragraph">
              <wp:posOffset>-80010</wp:posOffset>
            </wp:positionV>
            <wp:extent cx="56311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31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868" w:right="339" w:bottom="144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13887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ind w:left="350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6"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w:t>
            </w:r>
          </w:p>
        </w:tc>
        <w:tc>
          <w:tcPr>
            <w:tcW w:w="80" w:type="dxa"/>
            <w:vAlign w:val="bottom"/>
          </w:tcPr>
          <w:p>
            <w:pPr>
              <w:spacing w:after="0"/>
              <w:rPr>
                <w:sz w:val="12"/>
                <w:szCs w:val="12"/>
                <w:color w:val="auto"/>
              </w:rPr>
            </w:pPr>
          </w:p>
        </w:tc>
        <w:tc>
          <w:tcPr>
            <w:tcW w:w="110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20" w:type="dxa"/>
            <w:vAlign w:val="bottom"/>
            <w:vMerge w:val="restart"/>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held at June 30,</w:t>
            </w:r>
          </w:p>
        </w:tc>
        <w:tc>
          <w:tcPr>
            <w:tcW w:w="0" w:type="dxa"/>
            <w:vAlign w:val="bottom"/>
          </w:tcPr>
          <w:p>
            <w:pPr>
              <w:spacing w:after="0"/>
              <w:rPr>
                <w:sz w:val="1"/>
                <w:szCs w:val="1"/>
                <w:color w:val="auto"/>
              </w:rPr>
            </w:pPr>
          </w:p>
        </w:tc>
      </w:tr>
      <w:tr>
        <w:trPr>
          <w:trHeight w:val="191"/>
        </w:trPr>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564"/>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tcPr>
          <w:p>
            <w:pPr>
              <w:spacing w:after="0"/>
              <w:rPr>
                <w:sz w:val="24"/>
                <w:szCs w:val="24"/>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77,562</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81,358</w:t>
            </w:r>
          </w:p>
        </w:tc>
        <w:tc>
          <w:tcPr>
            <w:tcW w:w="100" w:type="dxa"/>
            <w:vAlign w:val="bottom"/>
          </w:tcPr>
          <w:p>
            <w:pPr>
              <w:spacing w:after="0"/>
              <w:rPr>
                <w:sz w:val="15"/>
                <w:szCs w:val="15"/>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77,562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-372745</wp:posOffset>
            </wp:positionV>
            <wp:extent cx="7136130" cy="124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-123825</wp:posOffset>
            </wp:positionV>
            <wp:extent cx="7136130" cy="1498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580" w:space="720"/>
            <w:col w:w="8940"/>
          </w:cols>
          <w:pgMar w:left="320" w:top="901" w:right="339" w:bottom="1440" w:gutter="0" w:footer="0" w:header="0"/>
        </w:sectPr>
      </w:pPr>
    </w:p>
    <w:p>
      <w:pPr>
        <w:ind w:left="20"/>
        <w:spacing w:after="0"/>
        <w:rPr>
          <w:sz w:val="20"/>
          <w:szCs w:val="20"/>
          <w:color w:val="auto"/>
        </w:rPr>
      </w:pPr>
      <w:r>
        <w:rPr>
          <w:rFonts w:ascii="Times New Roman" w:cs="Times New Roman" w:eastAsia="Times New Roman" w:hAnsi="Times New Roman"/>
          <w:sz w:val="13"/>
          <w:szCs w:val="13"/>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-80010</wp:posOffset>
            </wp:positionV>
            <wp:extent cx="56807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w:t>
            </w:r>
          </w:p>
        </w:tc>
        <w:tc>
          <w:tcPr>
            <w:tcW w:w="80" w:type="dxa"/>
            <w:vAlign w:val="bottom"/>
          </w:tcPr>
          <w:p>
            <w:pPr>
              <w:spacing w:after="0"/>
              <w:rPr>
                <w:sz w:val="12"/>
                <w:szCs w:val="12"/>
                <w:color w:val="auto"/>
              </w:rPr>
            </w:pPr>
          </w:p>
        </w:tc>
        <w:tc>
          <w:tcPr>
            <w:tcW w:w="110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20" w:type="dxa"/>
            <w:vAlign w:val="bottom"/>
            <w:vMerge w:val="restart"/>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held at June 30,</w:t>
            </w:r>
          </w:p>
        </w:tc>
        <w:tc>
          <w:tcPr>
            <w:tcW w:w="0" w:type="dxa"/>
            <w:vAlign w:val="bottom"/>
          </w:tcPr>
          <w:p>
            <w:pPr>
              <w:spacing w:after="0"/>
              <w:rPr>
                <w:sz w:val="1"/>
                <w:szCs w:val="1"/>
                <w:color w:val="auto"/>
              </w:rPr>
            </w:pPr>
          </w:p>
        </w:tc>
      </w:tr>
      <w:tr>
        <w:trPr>
          <w:trHeight w:val="190"/>
        </w:trPr>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565"/>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66,030</w:t>
            </w:r>
          </w:p>
        </w:tc>
        <w:tc>
          <w:tcPr>
            <w:tcW w:w="100" w:type="dxa"/>
            <w:vAlign w:val="bottom"/>
          </w:tcPr>
          <w:p>
            <w:pPr>
              <w:spacing w:after="0"/>
              <w:rPr>
                <w:sz w:val="24"/>
                <w:szCs w:val="24"/>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78,313</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12,283</w:t>
            </w: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66,030</w:t>
            </w:r>
          </w:p>
        </w:tc>
        <w:tc>
          <w:tcPr>
            <w:tcW w:w="100" w:type="dxa"/>
            <w:vAlign w:val="bottom"/>
          </w:tcPr>
          <w:p>
            <w:pPr>
              <w:spacing w:after="0"/>
              <w:rPr>
                <w:sz w:val="15"/>
                <w:szCs w:val="15"/>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78,313</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-248285</wp:posOffset>
            </wp:positionV>
            <wp:extent cx="7136130" cy="1244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8890</wp:posOffset>
            </wp:positionV>
            <wp:extent cx="56807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80710" cy="825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-506095</wp:posOffset>
            </wp:positionV>
            <wp:extent cx="7136130" cy="133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580" w:space="720"/>
            <w:col w:w="8940"/>
          </w:cols>
          <w:pgMar w:left="320" w:top="90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1458595</wp:posOffset>
            </wp:positionH>
            <wp:positionV relativeFrom="paragraph">
              <wp:posOffset>-86995</wp:posOffset>
            </wp:positionV>
            <wp:extent cx="56807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Not Measured at Fair Value</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type w:val="continuous"/>
        </w:sectPr>
      </w:pPr>
    </w:p>
    <w:bookmarkStart w:id="25" w:name="page26"/>
    <w:bookmarkEnd w:id="25"/>
    <w:p>
      <w:pPr>
        <w:ind w:left="560"/>
        <w:spacing w:after="0"/>
        <w:rPr>
          <w:sz w:val="20"/>
          <w:szCs w:val="20"/>
          <w:color w:val="auto"/>
        </w:rPr>
      </w:pPr>
      <w:r>
        <w:rPr>
          <w:rFonts w:ascii="Times New Roman" w:cs="Times New Roman" w:eastAsia="Times New Roman" w:hAnsi="Times New Roman"/>
          <w:sz w:val="17"/>
          <w:szCs w:val="17"/>
          <w:color w:val="auto"/>
        </w:rPr>
        <w:t>The table below summarizes financial assets and liabilities not carried at fair value on a recurring basis as of June 30,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June 30, 2022</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3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40" w:type="dxa"/>
            <w:vAlign w:val="bottom"/>
          </w:tcPr>
          <w:p>
            <w:pPr>
              <w:spacing w:after="0"/>
              <w:rPr>
                <w:sz w:val="23"/>
                <w:szCs w:val="23"/>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0" w:type="dxa"/>
            <w:vAlign w:val="bottom"/>
          </w:tcPr>
          <w:p>
            <w:pPr>
              <w:spacing w:after="0"/>
              <w:rPr>
                <w:sz w:val="16"/>
                <w:szCs w:val="16"/>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810,649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810,649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810,649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39,121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39,121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1,369,616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1,369,616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1,369,616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122,766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 (2)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1,419,628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1,419,628</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1,458,978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226,933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226,933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 (1)</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24,657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4,013,370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4,013,370</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810,420</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3,202,950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158,000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Long-term borrowings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1,792,383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1,736,922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1,736,922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1,049,609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501,193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501,193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501,193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704,897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704,897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705,124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Payables to customers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106,969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106,969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 (3)</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15,111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4,327,276</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4,272,701</w:t>
            </w:r>
          </w:p>
        </w:tc>
        <w:tc>
          <w:tcPr>
            <w:tcW w:w="1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4,272,928</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-1270</wp:posOffset>
            </wp:positionV>
            <wp:extent cx="41421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42105" cy="8255"/>
                    </a:xfrm>
                    <a:prstGeom prst="rect">
                      <a:avLst/>
                    </a:prstGeom>
                    <a:noFill/>
                  </pic:spPr>
                </pic:pic>
              </a:graphicData>
            </a:graphic>
          </wp:anchor>
        </w:drawing>
      </w:r>
    </w:p>
    <w:p>
      <w:pPr>
        <w:ind w:left="200" w:hanging="199"/>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collateral and deposits, and interest and dividends receivables.</w:t>
      </w:r>
    </w:p>
    <w:p>
      <w:pPr>
        <w:spacing w:after="0" w:line="35" w:lineRule="exact"/>
        <w:rPr>
          <w:rFonts w:ascii="Times New Roman" w:cs="Times New Roman" w:eastAsia="Times New Roman" w:hAnsi="Times New Roman"/>
          <w:sz w:val="14"/>
          <w:szCs w:val="14"/>
          <w:color w:val="auto"/>
        </w:rPr>
      </w:pPr>
    </w:p>
    <w:p>
      <w:pPr>
        <w:ind w:left="200" w:hanging="199"/>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Receivables from broker-dealers and clearing organizations include interest rate swaps carried at fair value.</w:t>
      </w:r>
    </w:p>
    <w:p>
      <w:pPr>
        <w:spacing w:after="0" w:line="35" w:lineRule="exact"/>
        <w:rPr>
          <w:rFonts w:ascii="Times New Roman" w:cs="Times New Roman" w:eastAsia="Times New Roman" w:hAnsi="Times New Roman"/>
          <w:sz w:val="14"/>
          <w:szCs w:val="14"/>
          <w:color w:val="auto"/>
        </w:rPr>
      </w:pPr>
    </w:p>
    <w:p>
      <w:pPr>
        <w:ind w:left="200" w:hanging="199"/>
        <w:spacing w:after="0"/>
        <w:tabs>
          <w:tab w:leader="none" w:pos="2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7061835" cy="1244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61835" cy="1244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-345440</wp:posOffset>
            </wp:positionV>
            <wp:extent cx="7061835" cy="1244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61835" cy="12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74295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400" w:top="868" w:right="379"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7"/>
          <w:szCs w:val="17"/>
          <w:color w:val="auto"/>
        </w:rPr>
        <w:t>The table below summarizes financial assets and liabilities not carried at fair value on a recurring basis as of December 31,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December 31, 2021</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4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0" w:type="dxa"/>
            <w:vAlign w:val="bottom"/>
          </w:tcPr>
          <w:p>
            <w:pPr>
              <w:spacing w:after="0"/>
              <w:rPr>
                <w:sz w:val="16"/>
                <w:szCs w:val="16"/>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1,071,463</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1,071,463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1,071,463</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49,490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1,026,807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1,050,844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146,476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Other assets (1)</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3,783,277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3,783,277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1,096,916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2,686,361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borrowings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1,605,132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1,628,497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1,628,497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Payables to broker dealer and clearing organizations (2)</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Payables to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liabilities (3)</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3,958,954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3,983,855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3,983,620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ind w:left="220" w:hanging="198"/>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collateral and deposits, and interest and dividends receivables.</w:t>
      </w:r>
    </w:p>
    <w:p>
      <w:pPr>
        <w:spacing w:after="0" w:line="26" w:lineRule="exact"/>
        <w:rPr>
          <w:rFonts w:ascii="Times New Roman" w:cs="Times New Roman" w:eastAsia="Times New Roman" w:hAnsi="Times New Roman"/>
          <w:sz w:val="14"/>
          <w:szCs w:val="14"/>
          <w:color w:val="auto"/>
        </w:rPr>
      </w:pPr>
    </w:p>
    <w:p>
      <w:pPr>
        <w:ind w:left="220" w:hanging="198"/>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Payables to broker-dealers and clearing organizations include interest rate swaps carried at fair value.</w:t>
      </w:r>
    </w:p>
    <w:p>
      <w:pPr>
        <w:spacing w:after="0" w:line="35" w:lineRule="exact"/>
        <w:rPr>
          <w:rFonts w:ascii="Times New Roman" w:cs="Times New Roman" w:eastAsia="Times New Roman" w:hAnsi="Times New Roman"/>
          <w:sz w:val="14"/>
          <w:szCs w:val="14"/>
          <w:color w:val="auto"/>
        </w:rPr>
      </w:pPr>
    </w:p>
    <w:p>
      <w:pPr>
        <w:ind w:left="220" w:hanging="198"/>
        <w:spacing w:after="0"/>
        <w:tabs>
          <w:tab w:leader="none" w:pos="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-220345</wp:posOffset>
            </wp:positionV>
            <wp:extent cx="7136130" cy="1244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-336550</wp:posOffset>
            </wp:positionV>
            <wp:extent cx="41503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5036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Offsetting of Financial Assets and Liabilities</w:t>
      </w:r>
    </w:p>
    <w:p>
      <w:pPr>
        <w:spacing w:after="0" w:line="252" w:lineRule="exact"/>
        <w:rPr>
          <w:sz w:val="20"/>
          <w:szCs w:val="20"/>
          <w:color w:val="auto"/>
        </w:rPr>
      </w:pPr>
    </w:p>
    <w:p>
      <w:pPr>
        <w:ind w:right="180" w:firstLine="629"/>
        <w:spacing w:after="0" w:line="267" w:lineRule="auto"/>
        <w:rPr>
          <w:sz w:val="20"/>
          <w:szCs w:val="20"/>
          <w:color w:val="auto"/>
        </w:rPr>
      </w:pPr>
      <w:r>
        <w:rPr>
          <w:rFonts w:ascii="Times New Roman" w:cs="Times New Roman" w:eastAsia="Times New Roman" w:hAnsi="Times New Roman"/>
          <w:sz w:val="17"/>
          <w:szCs w:val="17"/>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7"/>
          <w:szCs w:val="17"/>
          <w:color w:val="auto"/>
        </w:rPr>
        <w:t>The following tables set forth the gross and net presentation of certain financial assets and financial liabilities as of June 30, 2022 and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w:t>
      </w:r>
    </w:p>
    <w:p>
      <w:pPr>
        <w:sectPr>
          <w:pgSz w:w="11900" w:h="16838" w:orient="portrait"/>
          <w:cols w:equalWidth="0" w:num="1">
            <w:col w:w="11220"/>
          </w:cols>
          <w:pgMar w:left="320" w:top="8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Offsetting of Financial Assets:</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Securities borrowed</w:t>
      </w:r>
    </w:p>
    <w:p>
      <w:pPr>
        <w:spacing w:after="0" w:line="35" w:lineRule="exact"/>
        <w:rPr>
          <w:sz w:val="20"/>
          <w:szCs w:val="20"/>
          <w:color w:val="auto"/>
        </w:rPr>
      </w:pPr>
    </w:p>
    <w:p>
      <w:pPr>
        <w:ind w:left="160"/>
        <w:spacing w:after="0" w:line="244" w:lineRule="auto"/>
        <w:rPr>
          <w:sz w:val="20"/>
          <w:szCs w:val="20"/>
          <w:color w:val="auto"/>
        </w:rPr>
      </w:pPr>
      <w:r>
        <w:rPr>
          <w:rFonts w:ascii="Times New Roman" w:cs="Times New Roman" w:eastAsia="Times New Roman" w:hAnsi="Times New Roman"/>
          <w:sz w:val="14"/>
          <w:szCs w:val="14"/>
          <w:color w:val="auto"/>
        </w:rPr>
        <w:t>Securities purchased under agreements to resell</w:t>
      </w:r>
    </w:p>
    <w:p>
      <w:pPr>
        <w:ind w:left="240" w:right="740" w:hanging="78"/>
        <w:spacing w:after="0" w:line="308" w:lineRule="auto"/>
        <w:rPr>
          <w:sz w:val="20"/>
          <w:szCs w:val="20"/>
          <w:color w:val="auto"/>
        </w:rPr>
      </w:pPr>
      <w:r>
        <w:rPr>
          <w:rFonts w:ascii="Times New Roman" w:cs="Times New Roman" w:eastAsia="Times New Roman" w:hAnsi="Times New Roman"/>
          <w:sz w:val="14"/>
          <w:szCs w:val="14"/>
          <w:color w:val="auto"/>
        </w:rPr>
        <w:t>Trading assets, at fair value: Currency forwards Options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53816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81625"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40" w:type="dxa"/>
            <w:vAlign w:val="bottom"/>
          </w:tcPr>
          <w:p>
            <w:pPr>
              <w:spacing w:after="0"/>
              <w:rPr>
                <w:sz w:val="12"/>
                <w:szCs w:val="12"/>
                <w:color w:val="auto"/>
              </w:rPr>
            </w:pPr>
          </w:p>
        </w:tc>
        <w:tc>
          <w:tcPr>
            <w:tcW w:w="2620" w:type="dxa"/>
            <w:vAlign w:val="bottom"/>
            <w:gridSpan w:val="5"/>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Amounts Offset in the</w:t>
            </w: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5"/>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tcPr>
          <w:p>
            <w:pPr>
              <w:jc w:val="center"/>
              <w:ind w:right="180"/>
              <w:spacing w:after="0" w:line="66" w:lineRule="exact"/>
              <w:rPr>
                <w:sz w:val="20"/>
                <w:szCs w:val="20"/>
                <w:color w:val="auto"/>
              </w:rPr>
            </w:pPr>
            <w:r>
              <w:rPr>
                <w:rFonts w:ascii="Times New Roman" w:cs="Times New Roman" w:eastAsia="Times New Roman" w:hAnsi="Times New Roman"/>
                <w:sz w:val="7"/>
                <w:szCs w:val="7"/>
                <w:b w:val="1"/>
                <w:bCs w:val="1"/>
                <w:color w:val="auto"/>
              </w:rPr>
              <w:t>Presented in the</w:t>
            </w: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64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Condensed Consolidated</w:t>
            </w:r>
          </w:p>
        </w:tc>
        <w:tc>
          <w:tcPr>
            <w:tcW w:w="16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Statements of Financial</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4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Recognized Assets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1,369,616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1,369,616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(1,314,536)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37,389</w:t>
            </w:r>
          </w:p>
        </w:tc>
        <w:tc>
          <w:tcPr>
            <w:tcW w:w="0" w:type="dxa"/>
            <w:vAlign w:val="bottom"/>
          </w:tcPr>
          <w:p>
            <w:pPr>
              <w:spacing w:after="0"/>
              <w:rPr>
                <w:sz w:val="1"/>
                <w:szCs w:val="1"/>
                <w:color w:val="auto"/>
              </w:rPr>
            </w:pPr>
          </w:p>
        </w:tc>
      </w:tr>
      <w:tr>
        <w:trPr>
          <w:trHeight w:val="327"/>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122,766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122,766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3"/>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349,791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(347,871)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1,853,512</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(347,871)</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1,505,641</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(1,437,302)</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(29,030)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39,309</w:t>
            </w:r>
          </w:p>
        </w:tc>
        <w:tc>
          <w:tcPr>
            <w:tcW w:w="0" w:type="dxa"/>
            <w:vAlign w:val="bottom"/>
          </w:tcPr>
          <w:p>
            <w:pPr>
              <w:spacing w:after="0"/>
              <w:rPr>
                <w:sz w:val="1"/>
                <w:szCs w:val="1"/>
                <w:color w:val="auto"/>
              </w:rPr>
            </w:pPr>
          </w:p>
        </w:tc>
      </w:tr>
      <w:tr>
        <w:trPr>
          <w:trHeight w:val="26"/>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-748030</wp:posOffset>
            </wp:positionV>
            <wp:extent cx="7103110" cy="2076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3110" cy="20764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-415290</wp:posOffset>
            </wp:positionV>
            <wp:extent cx="7103110" cy="1244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-165735</wp:posOffset>
            </wp:positionV>
            <wp:extent cx="7103110" cy="1498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3110" cy="1498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-1005840</wp:posOffset>
            </wp:positionV>
            <wp:extent cx="7103110" cy="133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3110"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60"/>
            <w:col w:w="8480"/>
          </w:cols>
          <w:pgMar w:left="320" w:top="868" w:right="359" w:bottom="1440" w:gutter="0" w:footer="0" w:header="0"/>
          <w:type w:val="continuous"/>
        </w:sectPr>
      </w:pP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tcPr>
          <w:p>
            <w:pPr>
              <w:jc w:val="center"/>
              <w:ind w:right="200"/>
              <w:spacing w:after="0" w:line="66" w:lineRule="exact"/>
              <w:rPr>
                <w:sz w:val="20"/>
                <w:szCs w:val="20"/>
                <w:color w:val="auto"/>
              </w:rPr>
            </w:pPr>
            <w:r>
              <w:rPr>
                <w:rFonts w:ascii="Times New Roman" w:cs="Times New Roman" w:eastAsia="Times New Roman" w:hAnsi="Times New Roman"/>
                <w:sz w:val="7"/>
                <w:szCs w:val="7"/>
                <w:b w:val="1"/>
                <w:bCs w:val="1"/>
                <w:color w:val="auto"/>
              </w:rPr>
              <w:t>Amounts Offset in the</w:t>
            </w:r>
          </w:p>
        </w:tc>
        <w:tc>
          <w:tcPr>
            <w:tcW w:w="1620" w:type="dxa"/>
            <w:vAlign w:val="bottom"/>
            <w:gridSpan w:val="3"/>
          </w:tcPr>
          <w:p>
            <w:pPr>
              <w:jc w:val="center"/>
              <w:ind w:right="100"/>
              <w:spacing w:after="0" w:line="66" w:lineRule="exact"/>
              <w:rPr>
                <w:sz w:val="20"/>
                <w:szCs w:val="20"/>
                <w:color w:val="auto"/>
              </w:rPr>
            </w:pPr>
            <w:r>
              <w:rPr>
                <w:rFonts w:ascii="Times New Roman" w:cs="Times New Roman" w:eastAsia="Times New Roman" w:hAnsi="Times New Roman"/>
                <w:sz w:val="7"/>
                <w:szCs w:val="7"/>
                <w:b w:val="1"/>
                <w:bCs w:val="1"/>
                <w:color w:val="auto"/>
              </w:rPr>
              <w:t>Liabilities Presented in</w:t>
            </w: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Gross Amounts of</w:t>
            </w:r>
          </w:p>
        </w:tc>
        <w:tc>
          <w:tcPr>
            <w:tcW w:w="164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80" w:type="dxa"/>
            <w:vAlign w:val="bottom"/>
          </w:tcPr>
          <w:p>
            <w:pPr>
              <w:spacing w:after="0"/>
              <w:rPr>
                <w:sz w:val="13"/>
                <w:szCs w:val="13"/>
                <w:color w:val="auto"/>
              </w:rPr>
            </w:pPr>
          </w:p>
        </w:tc>
        <w:tc>
          <w:tcPr>
            <w:tcW w:w="1540" w:type="dxa"/>
            <w:vAlign w:val="bottom"/>
            <w:gridSpan w:val="2"/>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w w:val="99"/>
              </w:rPr>
              <w:t>the Consolidated</w:t>
            </w:r>
          </w:p>
        </w:tc>
        <w:tc>
          <w:tcPr>
            <w:tcW w:w="180" w:type="dxa"/>
            <w:vAlign w:val="bottom"/>
          </w:tcPr>
          <w:p>
            <w:pPr>
              <w:spacing w:after="0"/>
              <w:rPr>
                <w:sz w:val="13"/>
                <w:szCs w:val="13"/>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80" w:type="dxa"/>
            <w:vAlign w:val="bottom"/>
          </w:tcPr>
          <w:p>
            <w:pPr>
              <w:spacing w:after="0"/>
              <w:rPr>
                <w:sz w:val="12"/>
                <w:szCs w:val="12"/>
                <w:color w:val="auto"/>
              </w:rPr>
            </w:pPr>
          </w:p>
        </w:tc>
        <w:tc>
          <w:tcPr>
            <w:tcW w:w="154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rPr>
              <w:t>Statement of Financial</w:t>
            </w:r>
          </w:p>
        </w:tc>
        <w:tc>
          <w:tcPr>
            <w:tcW w:w="1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20" w:type="dxa"/>
            <w:vAlign w:val="bottom"/>
          </w:tcPr>
          <w:p>
            <w:pPr>
              <w:spacing w:after="0"/>
              <w:rPr>
                <w:sz w:val="12"/>
                <w:szCs w:val="12"/>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Liabilities</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8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8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Offsetting of Financial Liabilities: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1,049,609</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1,049,609</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(1,014,541)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17,377</w:t>
            </w:r>
          </w:p>
        </w:tc>
        <w:tc>
          <w:tcPr>
            <w:tcW w:w="0" w:type="dxa"/>
            <w:vAlign w:val="bottom"/>
          </w:tcPr>
          <w:p>
            <w:pPr>
              <w:spacing w:after="0"/>
              <w:rPr>
                <w:sz w:val="1"/>
                <w:szCs w:val="1"/>
                <w:color w:val="auto"/>
              </w:rPr>
            </w:pPr>
          </w:p>
        </w:tc>
      </w:tr>
      <w:tr>
        <w:trPr>
          <w:trHeight w:val="138"/>
        </w:trPr>
        <w:tc>
          <w:tcPr>
            <w:tcW w:w="27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501,193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501,193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(501,193)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27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color w:val="auto"/>
              </w:rPr>
              <w:t>Payable to broker-dealers and clearing</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organizations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366,947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(366,934)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11,669</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1,940,757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(366,934)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1,573,823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(1,515,734)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29,059</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0"/>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tcPr>
          <w:p>
            <w:pPr>
              <w:jc w:val="center"/>
              <w:ind w:right="200"/>
              <w:spacing w:after="0" w:line="66" w:lineRule="exact"/>
              <w:rPr>
                <w:sz w:val="20"/>
                <w:szCs w:val="20"/>
                <w:color w:val="auto"/>
              </w:rPr>
            </w:pPr>
            <w:r>
              <w:rPr>
                <w:rFonts w:ascii="Times New Roman" w:cs="Times New Roman" w:eastAsia="Times New Roman" w:hAnsi="Times New Roman"/>
                <w:sz w:val="7"/>
                <w:szCs w:val="7"/>
                <w:b w:val="1"/>
                <w:bCs w:val="1"/>
                <w:color w:val="auto"/>
              </w:rPr>
              <w:t>Amounts Offset in the</w:t>
            </w:r>
          </w:p>
        </w:tc>
        <w:tc>
          <w:tcPr>
            <w:tcW w:w="80" w:type="dxa"/>
            <w:vAlign w:val="bottom"/>
          </w:tcPr>
          <w:p>
            <w:pPr>
              <w:spacing w:after="0"/>
              <w:rPr>
                <w:sz w:val="5"/>
                <w:szCs w:val="5"/>
                <w:color w:val="auto"/>
              </w:rPr>
            </w:pPr>
          </w:p>
        </w:tc>
        <w:tc>
          <w:tcPr>
            <w:tcW w:w="1540" w:type="dxa"/>
            <w:vAlign w:val="bottom"/>
            <w:gridSpan w:val="2"/>
          </w:tcPr>
          <w:p>
            <w:pPr>
              <w:jc w:val="center"/>
              <w:ind w:right="180"/>
              <w:spacing w:after="0" w:line="66" w:lineRule="exact"/>
              <w:rPr>
                <w:sz w:val="20"/>
                <w:szCs w:val="20"/>
                <w:color w:val="auto"/>
              </w:rPr>
            </w:pPr>
            <w:r>
              <w:rPr>
                <w:rFonts w:ascii="Times New Roman" w:cs="Times New Roman" w:eastAsia="Times New Roman" w:hAnsi="Times New Roman"/>
                <w:sz w:val="7"/>
                <w:szCs w:val="7"/>
                <w:b w:val="1"/>
                <w:bCs w:val="1"/>
                <w:color w:val="auto"/>
              </w:rPr>
              <w:t>Presented in the</w:t>
            </w: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Gross Amounts of</w:t>
            </w:r>
          </w:p>
        </w:tc>
        <w:tc>
          <w:tcPr>
            <w:tcW w:w="164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16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Statements of Financial</w:t>
            </w: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20" w:type="dxa"/>
            <w:vAlign w:val="bottom"/>
          </w:tcPr>
          <w:p>
            <w:pPr>
              <w:spacing w:after="0"/>
              <w:rPr>
                <w:sz w:val="12"/>
                <w:szCs w:val="12"/>
                <w:color w:val="auto"/>
              </w:rPr>
            </w:pPr>
          </w:p>
        </w:tc>
        <w:tc>
          <w:tcPr>
            <w:tcW w:w="9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8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Offsetting of Financial Assets: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borrowed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1,349,322</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(1,299,270)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44,998</w:t>
            </w:r>
          </w:p>
        </w:tc>
        <w:tc>
          <w:tcPr>
            <w:tcW w:w="0" w:type="dxa"/>
            <w:vAlign w:val="bottom"/>
          </w:tcPr>
          <w:p>
            <w:pPr>
              <w:spacing w:after="0"/>
              <w:rPr>
                <w:sz w:val="1"/>
                <w:szCs w:val="1"/>
                <w:color w:val="auto"/>
              </w:rPr>
            </w:pPr>
          </w:p>
        </w:tc>
      </w:tr>
      <w:tr>
        <w:trPr>
          <w:trHeight w:val="138"/>
        </w:trPr>
        <w:tc>
          <w:tcPr>
            <w:tcW w:w="27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Securities purchased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(119,453)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resell</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3,335</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1,683,576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(206,125)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1,477,451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(1,418,723)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48,466</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Offsetting of Financial Liabilities:</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Securities loaned</w:t>
      </w:r>
    </w:p>
    <w:p>
      <w:pPr>
        <w:spacing w:after="0" w:line="35" w:lineRule="exact"/>
        <w:rPr>
          <w:sz w:val="20"/>
          <w:szCs w:val="20"/>
          <w:color w:val="auto"/>
        </w:rPr>
      </w:pPr>
    </w:p>
    <w:p>
      <w:pPr>
        <w:ind w:left="160"/>
        <w:spacing w:after="0" w:line="244" w:lineRule="auto"/>
        <w:rPr>
          <w:sz w:val="20"/>
          <w:szCs w:val="20"/>
          <w:color w:val="auto"/>
        </w:rPr>
      </w:pPr>
      <w:r>
        <w:rPr>
          <w:rFonts w:ascii="Times New Roman" w:cs="Times New Roman" w:eastAsia="Times New Roman" w:hAnsi="Times New Roman"/>
          <w:sz w:val="14"/>
          <w:szCs w:val="14"/>
          <w:color w:val="auto"/>
        </w:rPr>
        <w:t>Securities sold under agreements to repurchase</w:t>
      </w:r>
    </w:p>
    <w:p>
      <w:pPr>
        <w:ind w:left="160"/>
        <w:spacing w:after="0"/>
        <w:rPr>
          <w:sz w:val="20"/>
          <w:szCs w:val="20"/>
          <w:color w:val="auto"/>
        </w:rPr>
      </w:pPr>
      <w:r>
        <w:rPr>
          <w:rFonts w:ascii="Times New Roman" w:cs="Times New Roman" w:eastAsia="Times New Roman" w:hAnsi="Times New Roman"/>
          <w:sz w:val="14"/>
          <w:szCs w:val="14"/>
          <w:color w:val="auto"/>
        </w:rPr>
        <w:t>Interest rate swaps</w:t>
      </w:r>
    </w:p>
    <w:p>
      <w:pPr>
        <w:spacing w:after="0" w:line="35" w:lineRule="exact"/>
        <w:rPr>
          <w:sz w:val="20"/>
          <w:szCs w:val="20"/>
          <w:color w:val="auto"/>
        </w:rPr>
      </w:pPr>
    </w:p>
    <w:p>
      <w:pPr>
        <w:ind w:left="240" w:right="220" w:hanging="78"/>
        <w:spacing w:after="0" w:line="331" w:lineRule="auto"/>
        <w:rPr>
          <w:sz w:val="20"/>
          <w:szCs w:val="20"/>
          <w:color w:val="auto"/>
        </w:rPr>
      </w:pPr>
      <w:r>
        <w:rPr>
          <w:rFonts w:ascii="Times New Roman" w:cs="Times New Roman" w:eastAsia="Times New Roman" w:hAnsi="Times New Roman"/>
          <w:sz w:val="14"/>
          <w:szCs w:val="14"/>
          <w:color w:val="auto"/>
        </w:rPr>
        <w:t>Trading liabilities, at fair value: Currency forwards Options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40" w:type="dxa"/>
            <w:vAlign w:val="bottom"/>
          </w:tcPr>
          <w:p>
            <w:pPr>
              <w:spacing w:after="0"/>
              <w:rPr>
                <w:sz w:val="12"/>
                <w:szCs w:val="12"/>
                <w:color w:val="auto"/>
              </w:rPr>
            </w:pPr>
          </w:p>
        </w:tc>
        <w:tc>
          <w:tcPr>
            <w:tcW w:w="2620" w:type="dxa"/>
            <w:vAlign w:val="bottom"/>
            <w:gridSpan w:val="5"/>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Amounts Offset in the</w:t>
            </w: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5"/>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tcPr>
          <w:p>
            <w:pPr>
              <w:jc w:val="center"/>
              <w:ind w:right="180"/>
              <w:spacing w:after="0" w:line="66" w:lineRule="exact"/>
              <w:rPr>
                <w:sz w:val="20"/>
                <w:szCs w:val="20"/>
                <w:color w:val="auto"/>
              </w:rPr>
            </w:pPr>
            <w:r>
              <w:rPr>
                <w:rFonts w:ascii="Times New Roman" w:cs="Times New Roman" w:eastAsia="Times New Roman" w:hAnsi="Times New Roman"/>
                <w:sz w:val="7"/>
                <w:szCs w:val="7"/>
                <w:b w:val="1"/>
                <w:bCs w:val="1"/>
                <w:color w:val="auto"/>
              </w:rPr>
              <w:t>Presented in the</w:t>
            </w: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64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Condensed Consolidated</w:t>
            </w:r>
          </w:p>
        </w:tc>
        <w:tc>
          <w:tcPr>
            <w:tcW w:w="16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Statement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Statements of Financial</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4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Recognized Assets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(1,107,688)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17,088</w:t>
            </w:r>
          </w:p>
        </w:tc>
        <w:tc>
          <w:tcPr>
            <w:tcW w:w="0" w:type="dxa"/>
            <w:vAlign w:val="bottom"/>
          </w:tcPr>
          <w:p>
            <w:pPr>
              <w:spacing w:after="0"/>
              <w:rPr>
                <w:sz w:val="1"/>
                <w:szCs w:val="1"/>
                <w:color w:val="auto"/>
              </w:rPr>
            </w:pPr>
          </w:p>
        </w:tc>
      </w:tr>
      <w:tr>
        <w:trPr>
          <w:trHeight w:val="327"/>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0" w:type="dxa"/>
            <w:vAlign w:val="bottom"/>
          </w:tcPr>
          <w:p>
            <w:pPr>
              <w:spacing w:after="0"/>
              <w:rPr>
                <w:sz w:val="1"/>
                <w:szCs w:val="1"/>
                <w:color w:val="auto"/>
              </w:rPr>
            </w:pPr>
          </w:p>
        </w:tc>
      </w:tr>
      <w:tr>
        <w:trPr>
          <w:trHeight w:val="393"/>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208,357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ind w:left="1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1,890,975</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(208,356)</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1,682,619</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(1,622,013)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(22,480)</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38,126</w:t>
            </w:r>
          </w:p>
        </w:tc>
        <w:tc>
          <w:tcPr>
            <w:tcW w:w="0" w:type="dxa"/>
            <w:vAlign w:val="bottom"/>
          </w:tcPr>
          <w:p>
            <w:pPr>
              <w:spacing w:after="0"/>
              <w:rPr>
                <w:sz w:val="1"/>
                <w:szCs w:val="1"/>
                <w:color w:val="auto"/>
              </w:rPr>
            </w:pPr>
          </w:p>
        </w:tc>
      </w:tr>
      <w:tr>
        <w:trPr>
          <w:trHeight w:val="26"/>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-872490</wp:posOffset>
            </wp:positionV>
            <wp:extent cx="7103110" cy="2076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3110" cy="20764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-539750</wp:posOffset>
            </wp:positionV>
            <wp:extent cx="7103110" cy="1244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-290195</wp:posOffset>
            </wp:positionV>
            <wp:extent cx="7103110" cy="1244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-1130300</wp:posOffset>
            </wp:positionV>
            <wp:extent cx="7103110" cy="133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3110" cy="13335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2160" w:space="580"/>
            <w:col w:w="8480"/>
          </w:cols>
          <w:pgMar w:left="320" w:top="1133" w:right="359" w:bottom="1440" w:gutter="0" w:footer="0" w:header="0"/>
        </w:sect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presents gross obligations for securities sold under agreements to repurchase and for securities lending transactions by remaining contractual maturity and the class of collateral pledged:</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Remaining Contractual Maturity</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220" w:type="dxa"/>
            <w:vAlign w:val="bottom"/>
          </w:tcPr>
          <w:p>
            <w:pPr>
              <w:spacing w:after="0"/>
              <w:rPr>
                <w:sz w:val="11"/>
                <w:szCs w:val="11"/>
                <w:color w:val="auto"/>
              </w:rPr>
            </w:pPr>
          </w:p>
        </w:tc>
        <w:tc>
          <w:tcPr>
            <w:tcW w:w="920" w:type="dxa"/>
            <w:vAlign w:val="bottom"/>
          </w:tcPr>
          <w:p>
            <w:pPr>
              <w:jc w:val="center"/>
              <w:ind w:right="150"/>
              <w:spacing w:after="0" w:line="130" w:lineRule="exact"/>
              <w:rPr>
                <w:sz w:val="20"/>
                <w:szCs w:val="20"/>
                <w:color w:val="auto"/>
              </w:rPr>
            </w:pPr>
            <w:r>
              <w:rPr>
                <w:rFonts w:ascii="Times New Roman" w:cs="Times New Roman" w:eastAsia="Times New Roman" w:hAnsi="Times New Roman"/>
                <w:sz w:val="14"/>
                <w:szCs w:val="14"/>
                <w:b w:val="1"/>
                <w:bCs w:val="1"/>
                <w:color w:val="auto"/>
                <w:w w:val="95"/>
              </w:rPr>
              <w:t>30 - 60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right="290"/>
              <w:spacing w:after="0" w:line="130" w:lineRule="exact"/>
              <w:rPr>
                <w:sz w:val="20"/>
                <w:szCs w:val="20"/>
                <w:color w:val="auto"/>
              </w:rPr>
            </w:pPr>
            <w:r>
              <w:rPr>
                <w:rFonts w:ascii="Times New Roman" w:cs="Times New Roman" w:eastAsia="Times New Roman" w:hAnsi="Times New Roman"/>
                <w:sz w:val="14"/>
                <w:szCs w:val="14"/>
                <w:b w:val="1"/>
                <w:bCs w:val="1"/>
                <w:color w:val="auto"/>
              </w:rPr>
              <w:t>61 - 90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180"/>
              <w:spacing w:after="0" w:line="130" w:lineRule="exact"/>
              <w:rPr>
                <w:sz w:val="20"/>
                <w:szCs w:val="20"/>
                <w:color w:val="auto"/>
              </w:rPr>
            </w:pPr>
            <w:r>
              <w:rPr>
                <w:rFonts w:ascii="Times New Roman" w:cs="Times New Roman" w:eastAsia="Times New Roman" w:hAnsi="Times New Roman"/>
                <w:sz w:val="14"/>
                <w:szCs w:val="14"/>
                <w:b w:val="1"/>
                <w:bCs w:val="1"/>
                <w:color w:val="auto"/>
              </w:rPr>
              <w:t>Greater than 90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Continuous</w:t>
            </w:r>
          </w:p>
        </w:tc>
        <w:tc>
          <w:tcPr>
            <w:tcW w:w="12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days</w:t>
            </w:r>
          </w:p>
        </w:tc>
        <w:tc>
          <w:tcPr>
            <w:tcW w:w="360" w:type="dxa"/>
            <w:vAlign w:val="bottom"/>
          </w:tcPr>
          <w:p>
            <w:pPr>
              <w:spacing w:after="0"/>
              <w:rPr>
                <w:sz w:val="16"/>
                <w:szCs w:val="16"/>
                <w:color w:val="auto"/>
              </w:rPr>
            </w:pPr>
          </w:p>
        </w:tc>
        <w:tc>
          <w:tcPr>
            <w:tcW w:w="8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4"/>
              </w:rPr>
              <w:t>Days</w:t>
            </w:r>
          </w:p>
        </w:tc>
        <w:tc>
          <w:tcPr>
            <w:tcW w:w="8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9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101,193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101,193</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501,193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1,049,609</w:t>
            </w:r>
          </w:p>
        </w:tc>
        <w:tc>
          <w:tcPr>
            <w:tcW w:w="12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1,049,609</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1,049,609</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Remaining Contractual Maturity</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220" w:type="dxa"/>
            <w:vAlign w:val="bottom"/>
          </w:tcPr>
          <w:p>
            <w:pPr>
              <w:spacing w:after="0"/>
              <w:rPr>
                <w:sz w:val="11"/>
                <w:szCs w:val="11"/>
                <w:color w:val="auto"/>
              </w:rPr>
            </w:pPr>
          </w:p>
        </w:tc>
        <w:tc>
          <w:tcPr>
            <w:tcW w:w="920" w:type="dxa"/>
            <w:vAlign w:val="bottom"/>
          </w:tcPr>
          <w:p>
            <w:pPr>
              <w:jc w:val="center"/>
              <w:ind w:right="170"/>
              <w:spacing w:after="0" w:line="132" w:lineRule="exact"/>
              <w:rPr>
                <w:sz w:val="20"/>
                <w:szCs w:val="20"/>
                <w:color w:val="auto"/>
              </w:rPr>
            </w:pPr>
            <w:r>
              <w:rPr>
                <w:rFonts w:ascii="Times New Roman" w:cs="Times New Roman" w:eastAsia="Times New Roman" w:hAnsi="Times New Roman"/>
                <w:sz w:val="14"/>
                <w:szCs w:val="14"/>
                <w:b w:val="1"/>
                <w:bCs w:val="1"/>
                <w:color w:val="auto"/>
              </w:rPr>
              <w:t>30 - 60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right="290"/>
              <w:spacing w:after="0" w:line="132" w:lineRule="exact"/>
              <w:rPr>
                <w:sz w:val="20"/>
                <w:szCs w:val="20"/>
                <w:color w:val="auto"/>
              </w:rPr>
            </w:pPr>
            <w:r>
              <w:rPr>
                <w:rFonts w:ascii="Times New Roman" w:cs="Times New Roman" w:eastAsia="Times New Roman" w:hAnsi="Times New Roman"/>
                <w:sz w:val="14"/>
                <w:szCs w:val="14"/>
                <w:b w:val="1"/>
                <w:bCs w:val="1"/>
                <w:color w:val="auto"/>
              </w:rPr>
              <w:t>61 - 90</w:t>
            </w:r>
          </w:p>
        </w:tc>
        <w:tc>
          <w:tcPr>
            <w:tcW w:w="100" w:type="dxa"/>
            <w:vAlign w:val="bottom"/>
          </w:tcPr>
          <w:p>
            <w:pPr>
              <w:spacing w:after="0"/>
              <w:rPr>
                <w:sz w:val="11"/>
                <w:szCs w:val="11"/>
                <w:color w:val="auto"/>
              </w:rPr>
            </w:pPr>
          </w:p>
        </w:tc>
        <w:tc>
          <w:tcPr>
            <w:tcW w:w="122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w w:val="98"/>
              </w:rPr>
              <w:t>Greater than 90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12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36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days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0" w:type="dxa"/>
            <w:vAlign w:val="bottom"/>
          </w:tcPr>
          <w:p>
            <w:pPr>
              <w:spacing w:after="0"/>
              <w:rPr>
                <w:sz w:val="1"/>
                <w:szCs w:val="1"/>
                <w:color w:val="auto"/>
              </w:rPr>
            </w:pPr>
          </w:p>
        </w:tc>
      </w:tr>
      <w:tr>
        <w:trPr>
          <w:trHeight w:val="190"/>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114,325</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514,325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loaned:</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1,142,048</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10. Derivative Instruments</w:t>
      </w:r>
    </w:p>
    <w:p>
      <w:pPr>
        <w:spacing w:after="0" w:line="3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fair value of the Company’s derivative instruments on a gross basis consisted of the following at June 30, 2022 and December 31, 2021:</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 w:type="dxa"/>
            <w:vAlign w:val="bottom"/>
          </w:tcPr>
          <w:p>
            <w:pPr>
              <w:spacing w:after="0"/>
              <w:rPr>
                <w:sz w:val="16"/>
                <w:szCs w:val="16"/>
                <w:color w:val="auto"/>
              </w:rPr>
            </w:pPr>
          </w:p>
        </w:tc>
        <w:tc>
          <w:tcPr>
            <w:tcW w:w="232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Assets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26"/>
        </w:trPr>
        <w:tc>
          <w:tcPr>
            <w:tcW w:w="2840" w:type="dxa"/>
            <w:vAlign w:val="bottom"/>
            <w:tcBorders>
              <w:top w:val="single" w:sz="8" w:color="auto"/>
            </w:tcBorders>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Equities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39,436</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1,270,805</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406,420</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Commodity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(40,651)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9,999,771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(24,405)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5,285,216</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Currency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2,720,588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4,760,173</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Fixed income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243,267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8,489</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1,424,612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1,063,686</w:t>
            </w: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349,791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24,702,505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206,258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21,445,374</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9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Interest rate swap</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51,634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Liabilities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26"/>
        </w:trPr>
        <w:tc>
          <w:tcPr>
            <w:tcW w:w="2840" w:type="dxa"/>
            <w:vAlign w:val="bottom"/>
            <w:tcBorders>
              <w:top w:val="single" w:sz="8" w:color="auto"/>
            </w:tcBorders>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Equities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487,400</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1,362,684</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Commodity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42,553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27,224</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Currency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272,595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725,162</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Fixed income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24,521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120,212</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23,008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1,360,143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1,066,801</w:t>
            </w: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366,947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24,711,084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208,357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21,446,422</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296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3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Interest rate swaps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1,525,000</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17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Condensed Consolidated Statements of Comprehensive Income for the three and six months ended June 30, 2022, and 2021.</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30" w:name="page31"/>
    <w:bookmarkEnd w:id="30"/>
    <w:tbl>
      <w:tblPr>
        <w:tblLayout w:type="fixed"/>
        <w:tblInd w:w="40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220" w:type="dxa"/>
            <w:vAlign w:val="bottom"/>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Financial Statements Location</w:t>
            </w: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980" w:type="dxa"/>
            <w:vAlign w:val="bottom"/>
            <w:gridSpan w:val="2"/>
            <w:vMerge w:val="continue"/>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2"/>
        </w:trPr>
        <w:tc>
          <w:tcPr>
            <w:tcW w:w="2860" w:type="dxa"/>
            <w:vAlign w:val="bottom"/>
            <w:tcBorders>
              <w:top w:val="single" w:sz="8" w:color="auto"/>
            </w:tcBorders>
            <w:shd w:val="clear" w:color="auto" w:fill="CCEEFF"/>
          </w:tcPr>
          <w:p>
            <w:pPr>
              <w:spacing w:after="0" w:line="132"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Borders>
              <w:top w:val="single" w:sz="8" w:color="CCEEFF"/>
            </w:tcBorders>
            <w:shd w:val="clear" w:color="auto" w:fill="CCEEFF"/>
          </w:tcPr>
          <w:p>
            <w:pPr>
              <w:spacing w:after="0"/>
              <w:rPr>
                <w:sz w:val="11"/>
                <w:szCs w:val="11"/>
                <w:color w:val="auto"/>
              </w:rPr>
            </w:pPr>
          </w:p>
        </w:tc>
        <w:tc>
          <w:tcPr>
            <w:tcW w:w="23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2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Futures</w:t>
            </w: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Trading income, net</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118,455</w:t>
            </w:r>
          </w:p>
        </w:tc>
        <w:tc>
          <w:tcPr>
            <w:tcW w:w="12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81,471</w:t>
            </w:r>
          </w:p>
        </w:tc>
        <w:tc>
          <w:tcPr>
            <w:tcW w:w="100" w:type="dxa"/>
            <w:vAlign w:val="bottom"/>
          </w:tcPr>
          <w:p>
            <w:pPr>
              <w:spacing w:after="0"/>
              <w:rPr>
                <w:sz w:val="16"/>
                <w:szCs w:val="16"/>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195,801</w:t>
            </w:r>
          </w:p>
        </w:tc>
        <w:tc>
          <w:tcPr>
            <w:tcW w:w="10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128,694</w:t>
            </w:r>
          </w:p>
        </w:tc>
        <w:tc>
          <w:tcPr>
            <w:tcW w:w="0" w:type="dxa"/>
            <w:vAlign w:val="bottom"/>
          </w:tcPr>
          <w:p>
            <w:pPr>
              <w:spacing w:after="0"/>
              <w:rPr>
                <w:sz w:val="1"/>
                <w:szCs w:val="1"/>
                <w:color w:val="auto"/>
              </w:rPr>
            </w:pPr>
          </w:p>
        </w:tc>
      </w:tr>
      <w:tr>
        <w:trPr>
          <w:trHeight w:val="204"/>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Currency forwards</w:t>
            </w: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income, net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(44,665)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62,355</w:t>
            </w:r>
          </w:p>
        </w:tc>
        <w:tc>
          <w:tcPr>
            <w:tcW w:w="0" w:type="dxa"/>
            <w:vAlign w:val="bottom"/>
          </w:tcPr>
          <w:p>
            <w:pPr>
              <w:spacing w:after="0"/>
              <w:rPr>
                <w:sz w:val="1"/>
                <w:szCs w:val="1"/>
                <w:color w:val="auto"/>
              </w:rPr>
            </w:pPr>
          </w:p>
        </w:tc>
      </w:tr>
      <w:tr>
        <w:trPr>
          <w:trHeight w:val="189"/>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Options</w:t>
            </w:r>
          </w:p>
        </w:tc>
        <w:tc>
          <w:tcPr>
            <w:tcW w:w="2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Trading income, net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53,561</w:t>
            </w:r>
          </w:p>
        </w:tc>
        <w:tc>
          <w:tcPr>
            <w:tcW w:w="0" w:type="dxa"/>
            <w:vAlign w:val="bottom"/>
          </w:tcPr>
          <w:p>
            <w:pPr>
              <w:spacing w:after="0"/>
              <w:rPr>
                <w:sz w:val="1"/>
                <w:szCs w:val="1"/>
                <w:color w:val="auto"/>
              </w:rPr>
            </w:pPr>
          </w:p>
        </w:tc>
      </w:tr>
      <w:tr>
        <w:trPr>
          <w:trHeight w:val="197"/>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 on term loan</w:t>
            </w: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73,478</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38,339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158,177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243,214</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8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2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rate swaps (1)</w:t>
            </w: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16,430</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72,575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17,341</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16,430</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(8,485)</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72,575</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17,341</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firstLine="5"/>
        <w:spacing w:after="0" w:line="299" w:lineRule="auto"/>
        <w:tabs>
          <w:tab w:leader="none" w:pos="198"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entered into a five-year $1,000 million floating-to-fixed interest rate swap agreement in the first quarter of 2020 and a five-year $525 million floating-to-fixed interest rate swap agreement in the fourth quarter of 2019. These two interest rate swaps met the criteria to be considered qualifying cash flow hedges under ASC 815 in the first quarter of 2020, and as such, the mark-to-market gains (losses) on the instruments were deferred within Other comprehensive income on the Condensed Consolidated Statements of Comprehensive Income beginning in the first quarter of 2020.</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Variable Interest Entities</w:t>
      </w:r>
    </w:p>
    <w:p>
      <w:pPr>
        <w:spacing w:after="0" w:line="34" w:lineRule="exact"/>
        <w:rPr>
          <w:sz w:val="20"/>
          <w:szCs w:val="20"/>
          <w:color w:val="auto"/>
        </w:rPr>
      </w:pPr>
    </w:p>
    <w:p>
      <w:pPr>
        <w:jc w:val="both"/>
        <w:ind w:right="160" w:firstLine="629"/>
        <w:spacing w:after="0" w:line="265" w:lineRule="auto"/>
        <w:rPr>
          <w:sz w:val="20"/>
          <w:szCs w:val="20"/>
          <w:color w:val="auto"/>
        </w:rPr>
      </w:pPr>
      <w:r>
        <w:rPr>
          <w:rFonts w:ascii="Times New Roman" w:cs="Times New Roman" w:eastAsia="Times New Roman" w:hAnsi="Times New Roman"/>
          <w:sz w:val="17"/>
          <w:szCs w:val="17"/>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99"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90"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June 30, 2022, the Company held noncontrolling interests of 10.0% and 50.0%, respectively, in these JVs.</w:t>
      </w:r>
    </w:p>
    <w:p>
      <w:pPr>
        <w:spacing w:after="0" w:line="194"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The Company has an interest in a JV that offers derivatives trading technology and execution services to broker-dealers, professional traders and select hedge funds. As of June 30, 2022, the Company held approximately a 9.8% noncontrolling interest in this JV.</w:t>
      </w:r>
    </w:p>
    <w:p>
      <w:pPr>
        <w:spacing w:after="0" w:line="173"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The Company has an interest in a JV that operates a member-owned equities exchange with the goal of increasing competition and transparency, while reducing fixed costs and simplifying execution of equity trading in the U.S. As of June 30, 2022, the Company held approximately a 14.9% noncontrolling interest in this JV.</w:t>
      </w:r>
    </w:p>
    <w:p>
      <w:pPr>
        <w:spacing w:after="0" w:line="190"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In the second quarter of 2022, the Company invested in a JV that was formed for the purpose of developing and operating a cryptocurrency trading platform with the goal of increasing competition and transparency, while improving trading performance and reducing operational risk. As of June 30, 2022, the Company held approximately a 10.0% noncontrolling interest in this JV.</w:t>
      </w:r>
    </w:p>
    <w:p>
      <w:pPr>
        <w:spacing w:after="0" w:line="190"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The Company's five JVs noted above meet the criteria to be considered VIEs, which it does not consolidate. The Company records its interest in each JV under the equity method of accounting and records its investment in the JVs within Other assets and its amounts payable for communication services provided by the applicable JVs within Accounts payable, accrued expenses and other liabilities on the Statements of Financial Condition. The Company records its pro-rata share of each JV's earnings or losses within Other, net and fees related to the use of communication services provided by the JVs within Communications and data processing on the Condensed Consolidated Statements of Comprehensive Income.</w:t>
      </w:r>
    </w:p>
    <w:p>
      <w:pPr>
        <w:spacing w:after="0" w:line="196"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The Company’s exposure to the obligations of these VIEs is generally limited to its interests in each respective JV, which is the carrying value of the equity investment in each JV.</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Company’s nonconsolidated VIEs at June 30, 2022:</w:t>
      </w:r>
    </w:p>
    <w:p>
      <w:pPr>
        <w:spacing w:after="0" w:line="29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39,755</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225,929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Company’s nonconsolidated VIEs at December 31, 2021:</w:t>
      </w:r>
    </w:p>
    <w:p>
      <w:pPr>
        <w:spacing w:after="0" w:line="34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3"/>
                <w:szCs w:val="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38,319</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136,378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29"/>
        <w:spacing w:after="0" w:line="270" w:lineRule="auto"/>
        <w:rPr>
          <w:sz w:val="20"/>
          <w:szCs w:val="20"/>
          <w:color w:val="auto"/>
        </w:rPr>
      </w:pPr>
      <w:r>
        <w:rPr>
          <w:rFonts w:ascii="Times New Roman" w:cs="Times New Roman" w:eastAsia="Times New Roman" w:hAnsi="Times New Roman"/>
          <w:sz w:val="17"/>
          <w:szCs w:val="17"/>
          <w:color w:val="auto"/>
        </w:rPr>
        <w:t>During the second quarter of 2022, the Company formed a JV that was formed to support the growth and expansion of a multi-asset request-for-quote communication platform. As of June 30, 2022, the Company held a 51% controlling interest in this entity. Based on the standard for control set forth above, this JV meets the criteria to be considered a VIE, and the Company consolidates this entity and records the interest that the Company does not own as noncontrolling interest in the condensed consolidated statement of changes in equity.</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Revenues from Contracts with Customers</w:t>
      </w:r>
    </w:p>
    <w:p>
      <w:pPr>
        <w:spacing w:after="0" w:line="252" w:lineRule="exact"/>
        <w:rPr>
          <w:sz w:val="20"/>
          <w:szCs w:val="20"/>
          <w:color w:val="auto"/>
        </w:rPr>
      </w:pPr>
    </w:p>
    <w:p>
      <w:pPr>
        <w:ind w:right="120" w:firstLine="629"/>
        <w:spacing w:after="0" w:line="296" w:lineRule="auto"/>
        <w:rPr>
          <w:sz w:val="20"/>
          <w:szCs w:val="20"/>
          <w:color w:val="auto"/>
        </w:rPr>
      </w:pPr>
      <w:r>
        <w:rPr>
          <w:rFonts w:ascii="Times New Roman" w:cs="Times New Roman" w:eastAsia="Times New Roman" w:hAnsi="Times New Roman"/>
          <w:sz w:val="17"/>
          <w:szCs w:val="17"/>
          <w:color w:val="auto"/>
        </w:rPr>
        <w:t>For more information on revenue recognition and the nature of services provided, see Note 2 "Summary of Significant Accounting Policies" and Note 14 "Revenues from Contracts with Customers" to the Consolidated Financial Statements of the Company's 2021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Revenues</w:t>
      </w:r>
    </w:p>
    <w:p>
      <w:pPr>
        <w:spacing w:after="0" w:line="252" w:lineRule="exact"/>
        <w:rPr>
          <w:sz w:val="20"/>
          <w:szCs w:val="20"/>
          <w:color w:val="auto"/>
        </w:rPr>
      </w:pPr>
    </w:p>
    <w:p>
      <w:pPr>
        <w:ind w:right="56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tables present the Company’s revenue from contracts with customers disaggregated by service, by timing of revenue recognition, reconciled to the Company’s segments, for the three and six months ended June 30, 2022, and 2021:</w:t>
      </w:r>
    </w:p>
    <w:p>
      <w:pPr>
        <w:spacing w:after="0" w:line="23"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102,143</w:t>
            </w:r>
          </w:p>
        </w:tc>
        <w:tc>
          <w:tcPr>
            <w:tcW w:w="0" w:type="dxa"/>
            <w:vAlign w:val="bottom"/>
          </w:tcPr>
          <w:p>
            <w:pPr>
              <w:spacing w:after="0"/>
              <w:rPr>
                <w:sz w:val="1"/>
                <w:szCs w:val="1"/>
                <w:color w:val="auto"/>
              </w:rPr>
            </w:pPr>
          </w:p>
        </w:tc>
      </w:tr>
      <w:tr>
        <w:trPr>
          <w:trHeight w:val="189"/>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24,334</w:t>
            </w:r>
          </w:p>
        </w:tc>
        <w:tc>
          <w:tcPr>
            <w:tcW w:w="0" w:type="dxa"/>
            <w:vAlign w:val="bottom"/>
          </w:tcPr>
          <w:p>
            <w:pPr>
              <w:spacing w:after="0"/>
              <w:rPr>
                <w:sz w:val="1"/>
                <w:szCs w:val="1"/>
                <w:color w:val="auto"/>
              </w:rPr>
            </w:pPr>
          </w:p>
        </w:tc>
      </w:tr>
      <w:tr>
        <w:trPr>
          <w:trHeight w:val="204"/>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9,863</w:t>
            </w:r>
          </w:p>
        </w:tc>
        <w:tc>
          <w:tcPr>
            <w:tcW w:w="0" w:type="dxa"/>
            <w:vAlign w:val="bottom"/>
          </w:tcPr>
          <w:p>
            <w:pPr>
              <w:spacing w:after="0"/>
              <w:rPr>
                <w:sz w:val="1"/>
                <w:szCs w:val="1"/>
                <w:color w:val="auto"/>
              </w:rPr>
            </w:pPr>
          </w:p>
        </w:tc>
      </w:tr>
      <w:tr>
        <w:trPr>
          <w:trHeight w:val="183"/>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11,145</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125,195</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136,340</w:t>
            </w:r>
          </w:p>
        </w:tc>
        <w:tc>
          <w:tcPr>
            <w:tcW w:w="0" w:type="dxa"/>
            <w:vAlign w:val="bottom"/>
          </w:tcPr>
          <w:p>
            <w:pPr>
              <w:spacing w:after="0"/>
              <w:rPr>
                <w:sz w:val="1"/>
                <w:szCs w:val="1"/>
                <w:color w:val="auto"/>
              </w:rPr>
            </w:pPr>
          </w:p>
        </w:tc>
      </w:tr>
      <w:tr>
        <w:trPr>
          <w:trHeight w:val="269"/>
        </w:trPr>
        <w:tc>
          <w:tcPr>
            <w:tcW w:w="4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421,450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468,398</w:t>
            </w:r>
          </w:p>
        </w:tc>
        <w:tc>
          <w:tcPr>
            <w:tcW w:w="0" w:type="dxa"/>
            <w:vAlign w:val="bottom"/>
          </w:tcPr>
          <w:p>
            <w:pPr>
              <w:spacing w:after="0"/>
              <w:rPr>
                <w:sz w:val="1"/>
                <w:szCs w:val="1"/>
                <w:color w:val="auto"/>
              </w:rPr>
            </w:pPr>
          </w:p>
        </w:tc>
      </w:tr>
      <w:tr>
        <w:trPr>
          <w:trHeight w:val="269"/>
        </w:trPr>
        <w:tc>
          <w:tcPr>
            <w:tcW w:w="4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432,595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130,997</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41,146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604,738</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432,595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112,989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586,730</w:t>
            </w:r>
          </w:p>
        </w:tc>
        <w:tc>
          <w:tcPr>
            <w:tcW w:w="0" w:type="dxa"/>
            <w:vAlign w:val="bottom"/>
          </w:tcPr>
          <w:p>
            <w:pPr>
              <w:spacing w:after="0"/>
              <w:rPr>
                <w:sz w:val="1"/>
                <w:szCs w:val="1"/>
                <w:color w:val="auto"/>
              </w:rPr>
            </w:pPr>
          </w:p>
        </w:tc>
      </w:tr>
      <w:tr>
        <w:trPr>
          <w:trHeight w:val="190"/>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18,008</w:t>
            </w:r>
          </w:p>
        </w:tc>
        <w:tc>
          <w:tcPr>
            <w:tcW w:w="0" w:type="dxa"/>
            <w:vAlign w:val="bottom"/>
          </w:tcPr>
          <w:p>
            <w:pPr>
              <w:spacing w:after="0"/>
              <w:rPr>
                <w:sz w:val="1"/>
                <w:szCs w:val="1"/>
                <w:color w:val="auto"/>
              </w:rPr>
            </w:pPr>
          </w:p>
        </w:tc>
      </w:tr>
      <w:tr>
        <w:trPr>
          <w:trHeight w:val="221"/>
        </w:trPr>
        <w:tc>
          <w:tcPr>
            <w:tcW w:w="41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432,595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604,738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98,076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107,163</w:t>
            </w:r>
          </w:p>
        </w:tc>
        <w:tc>
          <w:tcPr>
            <w:tcW w:w="0" w:type="dxa"/>
            <w:vAlign w:val="bottom"/>
          </w:tcPr>
          <w:p>
            <w:pPr>
              <w:spacing w:after="0"/>
              <w:rPr>
                <w:sz w:val="1"/>
                <w:szCs w:val="1"/>
                <w:color w:val="auto"/>
              </w:rPr>
            </w:pPr>
          </w:p>
        </w:tc>
      </w:tr>
      <w:tr>
        <w:trPr>
          <w:trHeight w:val="189"/>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25,850</w:t>
            </w:r>
          </w:p>
        </w:tc>
        <w:tc>
          <w:tcPr>
            <w:tcW w:w="0" w:type="dxa"/>
            <w:vAlign w:val="bottom"/>
          </w:tcPr>
          <w:p>
            <w:pPr>
              <w:spacing w:after="0"/>
              <w:rPr>
                <w:sz w:val="1"/>
                <w:szCs w:val="1"/>
                <w:color w:val="auto"/>
              </w:rPr>
            </w:pPr>
          </w:p>
        </w:tc>
      </w:tr>
      <w:tr>
        <w:trPr>
          <w:trHeight w:val="204"/>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10,102</w:t>
            </w:r>
          </w:p>
        </w:tc>
        <w:tc>
          <w:tcPr>
            <w:tcW w:w="0" w:type="dxa"/>
            <w:vAlign w:val="bottom"/>
          </w:tcPr>
          <w:p>
            <w:pPr>
              <w:spacing w:after="0"/>
              <w:rPr>
                <w:sz w:val="1"/>
                <w:szCs w:val="1"/>
                <w:color w:val="auto"/>
              </w:rPr>
            </w:pPr>
          </w:p>
        </w:tc>
      </w:tr>
      <w:tr>
        <w:trPr>
          <w:trHeight w:val="183"/>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9,087</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134,028</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143,115</w:t>
            </w:r>
          </w:p>
        </w:tc>
        <w:tc>
          <w:tcPr>
            <w:tcW w:w="0" w:type="dxa"/>
            <w:vAlign w:val="bottom"/>
          </w:tcPr>
          <w:p>
            <w:pPr>
              <w:spacing w:after="0"/>
              <w:rPr>
                <w:sz w:val="1"/>
                <w:szCs w:val="1"/>
                <w:color w:val="auto"/>
              </w:rPr>
            </w:pPr>
          </w:p>
        </w:tc>
      </w:tr>
      <w:tr>
        <w:trPr>
          <w:trHeight w:val="269"/>
        </w:trPr>
        <w:tc>
          <w:tcPr>
            <w:tcW w:w="4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393,454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405,850</w:t>
            </w:r>
          </w:p>
        </w:tc>
        <w:tc>
          <w:tcPr>
            <w:tcW w:w="0" w:type="dxa"/>
            <w:vAlign w:val="bottom"/>
          </w:tcPr>
          <w:p>
            <w:pPr>
              <w:spacing w:after="0"/>
              <w:rPr>
                <w:sz w:val="1"/>
                <w:szCs w:val="1"/>
                <w:color w:val="auto"/>
              </w:rPr>
            </w:pPr>
          </w:p>
        </w:tc>
      </w:tr>
      <w:tr>
        <w:trPr>
          <w:trHeight w:val="269"/>
        </w:trPr>
        <w:tc>
          <w:tcPr>
            <w:tcW w:w="4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402,541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138,130</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8,294</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548,965</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530,656</w:t>
            </w:r>
          </w:p>
        </w:tc>
        <w:tc>
          <w:tcPr>
            <w:tcW w:w="0" w:type="dxa"/>
            <w:vAlign w:val="bottom"/>
          </w:tcPr>
          <w:p>
            <w:pPr>
              <w:spacing w:after="0"/>
              <w:rPr>
                <w:sz w:val="1"/>
                <w:szCs w:val="1"/>
                <w:color w:val="auto"/>
              </w:rPr>
            </w:pPr>
          </w:p>
        </w:tc>
      </w:tr>
      <w:tr>
        <w:trPr>
          <w:trHeight w:val="190"/>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18,309</w:t>
            </w:r>
          </w:p>
        </w:tc>
        <w:tc>
          <w:tcPr>
            <w:tcW w:w="0" w:type="dxa"/>
            <w:vAlign w:val="bottom"/>
          </w:tcPr>
          <w:p>
            <w:pPr>
              <w:spacing w:after="0"/>
              <w:rPr>
                <w:sz w:val="1"/>
                <w:szCs w:val="1"/>
                <w:color w:val="auto"/>
              </w:rPr>
            </w:pPr>
          </w:p>
        </w:tc>
      </w:tr>
      <w:tr>
        <w:trPr>
          <w:trHeight w:val="221"/>
        </w:trPr>
        <w:tc>
          <w:tcPr>
            <w:tcW w:w="41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548,965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199,187</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219,381</w:t>
            </w:r>
          </w:p>
        </w:tc>
        <w:tc>
          <w:tcPr>
            <w:tcW w:w="0" w:type="dxa"/>
            <w:vAlign w:val="bottom"/>
          </w:tcPr>
          <w:p>
            <w:pPr>
              <w:spacing w:after="0"/>
              <w:rPr>
                <w:sz w:val="1"/>
                <w:szCs w:val="1"/>
                <w:color w:val="auto"/>
              </w:rPr>
            </w:pPr>
          </w:p>
        </w:tc>
      </w:tr>
      <w:tr>
        <w:trPr>
          <w:trHeight w:val="204"/>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51,270</w:t>
            </w:r>
          </w:p>
        </w:tc>
        <w:tc>
          <w:tcPr>
            <w:tcW w:w="0" w:type="dxa"/>
            <w:vAlign w:val="bottom"/>
          </w:tcPr>
          <w:p>
            <w:pPr>
              <w:spacing w:after="0"/>
              <w:rPr>
                <w:sz w:val="1"/>
                <w:szCs w:val="1"/>
                <w:color w:val="auto"/>
              </w:rPr>
            </w:pPr>
          </w:p>
        </w:tc>
      </w:tr>
      <w:tr>
        <w:trPr>
          <w:trHeight w:val="19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20,344</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270,801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290,995</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958,964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1,015,005</w:t>
            </w:r>
          </w:p>
        </w:tc>
        <w:tc>
          <w:tcPr>
            <w:tcW w:w="0" w:type="dxa"/>
            <w:vAlign w:val="bottom"/>
          </w:tcPr>
          <w:p>
            <w:pPr>
              <w:spacing w:after="0"/>
              <w:rPr>
                <w:sz w:val="1"/>
                <w:szCs w:val="1"/>
                <w:color w:val="auto"/>
              </w:rPr>
            </w:pPr>
          </w:p>
        </w:tc>
      </w:tr>
      <w:tr>
        <w:trPr>
          <w:trHeight w:val="262"/>
        </w:trPr>
        <w:tc>
          <w:tcPr>
            <w:tcW w:w="4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979,158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282,742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1,306,000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979,158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246,303</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44,100</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1,269,561</w:t>
            </w:r>
          </w:p>
        </w:tc>
        <w:tc>
          <w:tcPr>
            <w:tcW w:w="0" w:type="dxa"/>
            <w:vAlign w:val="bottom"/>
          </w:tcPr>
          <w:p>
            <w:pPr>
              <w:spacing w:after="0"/>
              <w:rPr>
                <w:sz w:val="1"/>
                <w:szCs w:val="1"/>
                <w:color w:val="auto"/>
              </w:rPr>
            </w:pPr>
          </w:p>
        </w:tc>
      </w:tr>
      <w:tr>
        <w:trPr>
          <w:trHeight w:val="197"/>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36,439</w:t>
            </w:r>
          </w:p>
        </w:tc>
        <w:tc>
          <w:tcPr>
            <w:tcW w:w="0" w:type="dxa"/>
            <w:vAlign w:val="bottom"/>
          </w:tcPr>
          <w:p>
            <w:pPr>
              <w:spacing w:after="0"/>
              <w:rPr>
                <w:sz w:val="1"/>
                <w:szCs w:val="1"/>
                <w:color w:val="auto"/>
              </w:rPr>
            </w:pPr>
          </w:p>
        </w:tc>
      </w:tr>
      <w:tr>
        <w:trPr>
          <w:trHeight w:val="196"/>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979,158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282,742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44,100</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1,306,000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8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23,217</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238,524</w:t>
            </w:r>
          </w:p>
        </w:tc>
        <w:tc>
          <w:tcPr>
            <w:tcW w:w="100" w:type="dxa"/>
            <w:vAlign w:val="bottom"/>
          </w:tcPr>
          <w:p>
            <w:pPr>
              <w:spacing w:after="0"/>
              <w:rPr>
                <w:sz w:val="16"/>
                <w:szCs w:val="16"/>
                <w:color w:val="auto"/>
              </w:rPr>
            </w:pPr>
          </w:p>
        </w:tc>
        <w:tc>
          <w:tcPr>
            <w:tcW w:w="1000" w:type="dxa"/>
            <w:vAlign w:val="bottom"/>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261,741</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52,424</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52,424</w:t>
            </w:r>
          </w:p>
        </w:tc>
        <w:tc>
          <w:tcPr>
            <w:tcW w:w="0" w:type="dxa"/>
            <w:vAlign w:val="bottom"/>
          </w:tcPr>
          <w:p>
            <w:pPr>
              <w:spacing w:after="0"/>
              <w:rPr>
                <w:sz w:val="1"/>
                <w:szCs w:val="1"/>
                <w:color w:val="auto"/>
              </w:rPr>
            </w:pPr>
          </w:p>
        </w:tc>
      </w:tr>
      <w:tr>
        <w:trPr>
          <w:trHeight w:val="190"/>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20,599</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20,599</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311,547</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334,764</w:t>
            </w:r>
          </w:p>
        </w:tc>
        <w:tc>
          <w:tcPr>
            <w:tcW w:w="0" w:type="dxa"/>
            <w:vAlign w:val="bottom"/>
          </w:tcPr>
          <w:p>
            <w:pPr>
              <w:spacing w:after="0"/>
              <w:rPr>
                <w:sz w:val="1"/>
                <w:szCs w:val="1"/>
                <w:color w:val="auto"/>
              </w:rPr>
            </w:pPr>
          </w:p>
        </w:tc>
      </w:tr>
      <w:tr>
        <w:trPr>
          <w:trHeight w:val="262"/>
        </w:trPr>
        <w:tc>
          <w:tcPr>
            <w:tcW w:w="4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1,203,048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7,903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1,226,773</w:t>
            </w: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1,226,265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327,369</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7,903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1,561,537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1,226,265</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290,359</w:t>
            </w:r>
          </w:p>
        </w:tc>
        <w:tc>
          <w:tcPr>
            <w:tcW w:w="100" w:type="dxa"/>
            <w:vAlign w:val="bottom"/>
          </w:tcPr>
          <w:p>
            <w:pPr>
              <w:spacing w:after="0"/>
              <w:rPr>
                <w:sz w:val="16"/>
                <w:szCs w:val="16"/>
                <w:color w:val="auto"/>
              </w:rPr>
            </w:pPr>
          </w:p>
        </w:tc>
        <w:tc>
          <w:tcPr>
            <w:tcW w:w="1000" w:type="dxa"/>
            <w:vAlign w:val="bottom"/>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7,903</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1,524,527</w:t>
            </w: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37,010</w:t>
            </w:r>
          </w:p>
        </w:tc>
        <w:tc>
          <w:tcPr>
            <w:tcW w:w="0" w:type="dxa"/>
            <w:vAlign w:val="bottom"/>
          </w:tcPr>
          <w:p>
            <w:pPr>
              <w:spacing w:after="0"/>
              <w:rPr>
                <w:sz w:val="1"/>
                <w:szCs w:val="1"/>
                <w:color w:val="auto"/>
              </w:rPr>
            </w:pPr>
          </w:p>
        </w:tc>
      </w:tr>
      <w:tr>
        <w:trPr>
          <w:trHeight w:val="196"/>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1,226,265</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327,369</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7,903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1,561,537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74295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880"/>
          </w:cols>
          <w:pgMar w:left="960" w:top="953" w:right="1059" w:bottom="1440" w:gutter="0" w:footer="0" w:header="0"/>
        </w:sectPr>
      </w:pPr>
    </w:p>
    <w:bookmarkStart w:id="33" w:name="page34"/>
    <w:bookmarkEnd w:id="33"/>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 and Revenue Recognized from Past Performance Obligations</w:t>
      </w:r>
    </w:p>
    <w:p>
      <w:pPr>
        <w:spacing w:after="0" w:line="252" w:lineRule="exact"/>
        <w:rPr>
          <w:sz w:val="20"/>
          <w:szCs w:val="20"/>
          <w:color w:val="auto"/>
        </w:rPr>
      </w:pPr>
    </w:p>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As of June 30, 2022 and 2021, the aggregate amount of the transaction price allocated to the performance obligations relating to workflow technology and analytics revenues that are unsatisfied (or partially unsatisfied) was not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Contract Liabilities</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90" w:lineRule="exact"/>
        <w:rPr>
          <w:sz w:val="20"/>
          <w:szCs w:val="20"/>
          <w:color w:val="auto"/>
        </w:rPr>
      </w:pPr>
    </w:p>
    <w:p>
      <w:pPr>
        <w:ind w:right="320" w:firstLine="629"/>
        <w:spacing w:after="0" w:line="296" w:lineRule="auto"/>
        <w:rPr>
          <w:sz w:val="20"/>
          <w:szCs w:val="20"/>
          <w:color w:val="auto"/>
        </w:rPr>
      </w:pPr>
      <w:r>
        <w:rPr>
          <w:rFonts w:ascii="Times New Roman" w:cs="Times New Roman" w:eastAsia="Times New Roman" w:hAnsi="Times New Roman"/>
          <w:sz w:val="17"/>
          <w:szCs w:val="17"/>
          <w:color w:val="auto"/>
        </w:rPr>
        <w:t>Receivables related to revenues from contracts with customers amounted to $58.7 million and $51.5 million as of June 30, 2022 and December 31, 2021, respectively. The Company did not identify any contract assets. There were no impairment losses on receivables as of June 30, 2022.</w:t>
      </w:r>
    </w:p>
    <w:p>
      <w:pPr>
        <w:spacing w:after="0" w:line="173"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Deferred revenue primarily relates to deferred commissions allocated to analytics products and subscription fees billed in advance of satisfying the performance obligations. Deferred revenue related to contracts with customers was $11.5 million and $9.2 million as of June 30, 2022 and December 31, 2021, respectively. The Company recognized the full amount of revenue during the six months ended June 30, 2022 and 2021, that had been recorded as deferred revenue in the respective prior year.</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has not identified any costs to obtain or fulfill its contracts under ASC 606.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Income Taxes</w:t>
      </w:r>
    </w:p>
    <w:p>
      <w:pPr>
        <w:spacing w:after="0" w:line="239" w:lineRule="exact"/>
        <w:rPr>
          <w:sz w:val="20"/>
          <w:szCs w:val="20"/>
          <w:color w:val="auto"/>
        </w:rPr>
      </w:pPr>
    </w:p>
    <w:p>
      <w:pPr>
        <w:ind w:right="20" w:firstLine="629"/>
        <w:spacing w:after="0" w:line="244" w:lineRule="auto"/>
        <w:rPr>
          <w:sz w:val="20"/>
          <w:szCs w:val="20"/>
          <w:color w:val="auto"/>
        </w:rPr>
      </w:pPr>
      <w:r>
        <w:rPr>
          <w:rFonts w:ascii="Times New Roman" w:cs="Times New Roman" w:eastAsia="Times New Roman" w:hAnsi="Times New Roman"/>
          <w:sz w:val="17"/>
          <w:szCs w:val="17"/>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and six months ended June 30, 2022 and 2021,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non-U.S. subsidiaries are subject to foreign income taxes in the jurisdictions in which they operate. The Company’s provisions for income taxes and effective tax rates were $24.9 million, 14.3%, and $26.1 million, 19.3% for the three months ended June 30, 2022 and 2021, respectively and $66.7 million, 16.0% and $106.7 million, 17.1% for the for the six months ended June 30, 2022 and 2021, respectively. Income tax expense is also affected by the differing effective tax rates in foreign, state and local jurisdictions where certain of the Company’s subsidiaries are subject to corporate taxation.</w:t>
      </w:r>
    </w:p>
    <w:p>
      <w:pPr>
        <w:spacing w:after="0" w:line="218" w:lineRule="exact"/>
        <w:rPr>
          <w:sz w:val="20"/>
          <w:szCs w:val="20"/>
          <w:color w:val="auto"/>
        </w:rPr>
      </w:pPr>
    </w:p>
    <w:p>
      <w:pPr>
        <w:ind w:right="60" w:firstLine="629"/>
        <w:spacing w:after="0" w:line="265" w:lineRule="auto"/>
        <w:rPr>
          <w:sz w:val="20"/>
          <w:szCs w:val="20"/>
          <w:color w:val="auto"/>
        </w:rPr>
      </w:pPr>
      <w:r>
        <w:rPr>
          <w:rFonts w:ascii="Times New Roman" w:cs="Times New Roman" w:eastAsia="Times New Roman" w:hAnsi="Times New Roman"/>
          <w:sz w:val="17"/>
          <w:szCs w:val="17"/>
          <w:color w:val="auto"/>
        </w:rPr>
        <w:t>Included in Other assets on the Condensed Consolidated Statements of Financial Condition at June 30, 2022 and December 31, 2021 are current income tax receivables of $61.1 million and $37.2 million, respectively. The balances at June 30, 2022 and December 31, 2021 primarily comprised income tax benefits due to the Company from federal, state, local, and foreign tax jurisdictions based on income before taxes. Included in Accounts payable, accrued expenses and other liabilities on the Condensed Consolidated Statements of Financial Condition at June 30, 2022 and December 31, 2021 are current tax liabilities of $15.8 million and $16.8 million, respectively. The balances at June 30, 2022 and December 31, 2021 primarily comprise income taxes owed to federal, state and local, and foreign tax jurisdictions based on income before taxes.</w:t>
      </w:r>
    </w:p>
    <w:p>
      <w:pPr>
        <w:spacing w:after="0" w:line="198"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Deferred income taxes arise primarily due to the amortization of the deferred tax assets recognized in connection with the IPO (see Note 4 "Tax Receivable Agreements"), the Acquisition of KCG and the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June 30, 2022 and December 31, 2021, the Company did not have any U.S. federal net operating loss carryforwards and therefore the Company did not record a deferred tax asset related to federal net operating loss carryforwards. At June 30, 2022 and December 31, 2021, the Company recorded deferred income taxes related to state and local net operating losses of $0.4 million. These net operating losses will begin to expire in 2039. The Company did not record a valuation allowance against this deferred tax asset.</w:t>
      </w:r>
    </w:p>
    <w:p>
      <w:pPr>
        <w:spacing w:after="0" w:line="203"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As a result of the ITG Acquisition, the Company had non-U.S. net operating losses at June 30, 2022 and December 31, 2021 of $66.5 million and $67.2 million, respectively, and recorded a related deferred tax asset of $12.9 million and $13.4 million, respectively. A valuation allowance of $12.9 million and $13.3 million was recorded against this deferred tax asset at June 30, 2022 and December 31, 2021, respectively as it is more likely than not that a substantial portion of this deferred tax asset will not be realized. As a result of the Acquisition of KCG, the Company had non-U.S. net operating losses at June 30, 2022 and December 31, 2021 of $239.3 million, and recorded a related deferred tax asset of $44.9 million in both years. A full valuation allowance was also recorded against this deferred tax asset at both June 30, 2022 and December 31, 2021 as it is more likely than not that this deferred tax asset will not be realized.</w:t>
      </w:r>
    </w:p>
    <w:p>
      <w:pPr>
        <w:spacing w:after="0" w:line="198"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No valuation allowance against the remaining deferred taxes was recorded as of June 30, 2022 and December 31, 2021 because it is more likely than not that these deferred tax assets will be fully realized.</w:t>
      </w:r>
    </w:p>
    <w:p>
      <w:pPr>
        <w:spacing w:after="0" w:line="173"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The Company is subject to taxation in U.S. federal, state, local and foreign jurisdictions. As of June 30, 2022, the Company’s tax years for 2015 through 2020 and 2016 through 2020 were subject to examination by U.S. and non-U.S. tax authorities, respectively. As a result of the ITG Acquisition and the Acquisition of KCG, the Company assumed any ITG and KCG tax exposures. In addition, the Company is subject to state and local income tax examinations in various jurisdictions for the tax years 2013 through 2020. The final outcome of these examinations is not yet determinable. However, the Company anticipates that adjustments related to these examinations, if any, will not result in a material change to its financial condition, results of operations and cash flows.</w:t>
      </w:r>
    </w:p>
    <w:p>
      <w:pPr>
        <w:spacing w:after="0" w:line="196" w:lineRule="exact"/>
        <w:rPr>
          <w:sz w:val="20"/>
          <w:szCs w:val="20"/>
          <w:color w:val="auto"/>
        </w:rPr>
      </w:pPr>
    </w:p>
    <w:p>
      <w:pPr>
        <w:ind w:right="300" w:firstLine="629"/>
        <w:spacing w:after="0" w:line="276" w:lineRule="auto"/>
        <w:rPr>
          <w:sz w:val="20"/>
          <w:szCs w:val="20"/>
          <w:color w:val="auto"/>
        </w:rPr>
      </w:pPr>
      <w:r>
        <w:rPr>
          <w:rFonts w:ascii="Times New Roman" w:cs="Times New Roman" w:eastAsia="Times New Roman" w:hAnsi="Times New Roman"/>
          <w:sz w:val="17"/>
          <w:szCs w:val="17"/>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spacing w:after="0" w:line="190"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The Company had $6.4 million of unrecognized tax benefits as of June 30, 2022, all of which would affect the Company’s effective tax rate if recognized. The Company has determined that there are no uncertain tax positions that would have a material impact on the Company’s financial position as of June 30,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Contingencies and Guarantees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254"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the nature of the Company’s business subjects it to claims, lawsuits, regulatory examinations or investigations and other proceedings. The Company and its subsidiaries are subject to several of these matters at the present time. 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In addition, there are numerous factors that result in a greater degree of complexity in class-action lawsuits as compared to other types of litigation. There can be no assurance that these legal proceedings will not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5" w:name="page36"/>
    <w:bookmarkEnd w:id="35"/>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 xml:space="preserve">On November 30, 2020, the Company was named as a defendant in </w:t>
      </w:r>
      <w:r>
        <w:rPr>
          <w:rFonts w:ascii="Times New Roman" w:cs="Times New Roman" w:eastAsia="Times New Roman" w:hAnsi="Times New Roman"/>
          <w:sz w:val="17"/>
          <w:szCs w:val="17"/>
          <w:i w:val="1"/>
          <w:iCs w:val="1"/>
          <w:color w:val="auto"/>
        </w:rPr>
        <w:t>In re United States Oil Fund, LP Securities Litigation</w:t>
      </w:r>
      <w:r>
        <w:rPr>
          <w:rFonts w:ascii="Times New Roman" w:cs="Times New Roman" w:eastAsia="Times New Roman" w:hAnsi="Times New Roman"/>
          <w:sz w:val="17"/>
          <w:szCs w:val="17"/>
          <w:color w:val="auto"/>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and plaintiffs subsequently filed their opposition to the motion on March 30, 2021. The Company believes that the claims are without merit and is defending itself vigorously.</w:t>
      </w:r>
    </w:p>
    <w:p>
      <w:pPr>
        <w:spacing w:after="0" w:line="185" w:lineRule="exact"/>
        <w:rPr>
          <w:sz w:val="20"/>
          <w:szCs w:val="20"/>
          <w:color w:val="auto"/>
        </w:rPr>
      </w:pPr>
    </w:p>
    <w:p>
      <w:pPr>
        <w:ind w:right="20" w:firstLine="629"/>
        <w:spacing w:after="0" w:line="249" w:lineRule="auto"/>
        <w:rPr>
          <w:sz w:val="20"/>
          <w:szCs w:val="20"/>
          <w:color w:val="auto"/>
        </w:rPr>
      </w:pPr>
      <w:r>
        <w:rPr>
          <w:rFonts w:ascii="Times New Roman" w:cs="Times New Roman" w:eastAsia="Times New Roman" w:hAnsi="Times New Roman"/>
          <w:sz w:val="17"/>
          <w:szCs w:val="17"/>
          <w:color w:val="auto"/>
        </w:rPr>
        <w:t xml:space="preserve">On August 31, 2021, the Company was named as a defendant in </w:t>
      </w:r>
      <w:r>
        <w:rPr>
          <w:rFonts w:ascii="Times New Roman" w:cs="Times New Roman" w:eastAsia="Times New Roman" w:hAnsi="Times New Roman"/>
          <w:sz w:val="17"/>
          <w:szCs w:val="17"/>
          <w:i w:val="1"/>
          <w:iCs w:val="1"/>
          <w:color w:val="auto"/>
        </w:rPr>
        <w:t>Alers v. Robinhood Financial, LLC et al</w:t>
      </w:r>
      <w:r>
        <w:rPr>
          <w:rFonts w:ascii="Times New Roman" w:cs="Times New Roman" w:eastAsia="Times New Roman" w:hAnsi="Times New Roman"/>
          <w:sz w:val="17"/>
          <w:szCs w:val="17"/>
          <w:color w:val="auto"/>
        </w:rPr>
        <w:t xml:space="preserve"> No. 21-cv-61848. The complaint was filed in federal district court in Florida on behalf of a putative class, and asserts claims against the Company and numerous other financial institutions alleging a breach of fiduciary duty by Robinhood and aiding and abetting thereof by the Company and other market making firms. The complaint did not specify the amount of alleged damages. On December 31, 2021, plaintiffs filed an amended complaint, after which, on January 21, 2022, Robinhood and the market-maker defendants moved to transfer the case to the Northern District of California, or in the alternative, to dismiss the amended complaint. The motion for transfer was granted on July 1, 2022. The Company believes that the claims are without merit and is defending itself vigorously.</w:t>
      </w:r>
    </w:p>
    <w:p>
      <w:pPr>
        <w:spacing w:after="0" w:line="211"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 xml:space="preserve">On March 7, 2022, the Company was named as a defendant in </w:t>
      </w:r>
      <w:r>
        <w:rPr>
          <w:rFonts w:ascii="Times New Roman" w:cs="Times New Roman" w:eastAsia="Times New Roman" w:hAnsi="Times New Roman"/>
          <w:sz w:val="17"/>
          <w:szCs w:val="17"/>
          <w:i w:val="1"/>
          <w:iCs w:val="1"/>
          <w:color w:val="auto"/>
        </w:rPr>
        <w:t>Iron Workers Local No. 55 Pension Fund v. Virtu Financial, Inc.</w:t>
      </w:r>
      <w:r>
        <w:rPr>
          <w:rFonts w:ascii="Times New Roman" w:cs="Times New Roman" w:eastAsia="Times New Roman" w:hAnsi="Times New Roman"/>
          <w:sz w:val="17"/>
          <w:szCs w:val="17"/>
          <w:color w:val="auto"/>
        </w:rPr>
        <w:t>, No. 2022-0211-PAF pending in the Court of Chancery of the State of Delaware. The complaint, filed by a purported stockholder, seeks to compel the inspection of certain Company books and records pursuant to Section 220 of the Delaware General Corporation Law. The complaint alleges that the stockholder seeks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believes that the claims are without merit and is defending itself vigorously.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Legal and Regulatory Matters</w:t>
      </w:r>
    </w:p>
    <w:p>
      <w:pPr>
        <w:spacing w:after="0" w:line="241" w:lineRule="exact"/>
        <w:rPr>
          <w:sz w:val="20"/>
          <w:szCs w:val="20"/>
          <w:color w:val="auto"/>
        </w:rPr>
      </w:pPr>
    </w:p>
    <w:p>
      <w:pPr>
        <w:ind w:right="60" w:firstLine="629"/>
        <w:spacing w:after="0" w:line="241" w:lineRule="auto"/>
        <w:rPr>
          <w:sz w:val="20"/>
          <w:szCs w:val="20"/>
          <w:color w:val="auto"/>
        </w:rPr>
      </w:pPr>
      <w:r>
        <w:rPr>
          <w:rFonts w:ascii="Times New Roman" w:cs="Times New Roman" w:eastAsia="Times New Roman" w:hAnsi="Times New Roman"/>
          <w:sz w:val="17"/>
          <w:szCs w:val="17"/>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w:t>
      </w:r>
    </w:p>
    <w:p>
      <w:pPr>
        <w:spacing w:after="0" w:line="200" w:lineRule="exact"/>
        <w:rPr>
          <w:sz w:val="20"/>
          <w:szCs w:val="20"/>
          <w:color w:val="auto"/>
        </w:rPr>
      </w:pPr>
    </w:p>
    <w:p>
      <w:pPr>
        <w:spacing w:after="0" w:line="222" w:lineRule="exact"/>
        <w:rPr>
          <w:sz w:val="20"/>
          <w:szCs w:val="20"/>
          <w:color w:val="auto"/>
        </w:rPr>
      </w:pPr>
    </w:p>
    <w:p>
      <w:pPr>
        <w:ind w:right="80" w:firstLine="629"/>
        <w:spacing w:after="0" w:line="296" w:lineRule="auto"/>
        <w:rPr>
          <w:sz w:val="20"/>
          <w:szCs w:val="20"/>
          <w:color w:val="auto"/>
        </w:rPr>
      </w:pPr>
      <w:r>
        <w:rPr>
          <w:rFonts w:ascii="Times New Roman" w:cs="Times New Roman" w:eastAsia="Times New Roman" w:hAnsi="Times New Roman"/>
          <w:sz w:val="17"/>
          <w:szCs w:val="17"/>
          <w:color w:val="auto"/>
        </w:rPr>
        <w:t>The Company is currently the subject of various regulatory reviews and investigations by state, federal and foreign regulators and SROs, including the SEC and FINRA. In some instances, these matters may result in a disciplinary action and/or a civil or administrative action.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Representations and Warranties; Indemnification Arrangements</w:t>
      </w:r>
    </w:p>
    <w:p>
      <w:pPr>
        <w:spacing w:after="0" w:line="254" w:lineRule="exact"/>
        <w:rPr>
          <w:sz w:val="20"/>
          <w:szCs w:val="20"/>
          <w:color w:val="auto"/>
        </w:rPr>
      </w:pPr>
    </w:p>
    <w:p>
      <w:pPr>
        <w:ind w:firstLine="629"/>
        <w:spacing w:after="0" w:line="268" w:lineRule="auto"/>
        <w:rPr>
          <w:sz w:val="20"/>
          <w:szCs w:val="20"/>
          <w:color w:val="auto"/>
        </w:rPr>
      </w:pPr>
      <w:r>
        <w:rPr>
          <w:rFonts w:ascii="Times New Roman" w:cs="Times New Roman" w:eastAsia="Times New Roman" w:hAnsi="Times New Roman"/>
          <w:sz w:val="17"/>
          <w:szCs w:val="17"/>
          <w:color w:val="auto"/>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 For example, in November 2013, KCG sold Urban Financial of America, LLC (“Urban”), the reverse mortgage origination and securitization business previously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1" w:right="359" w:bottom="1440" w:gutter="0" w:footer="0" w:header="0"/>
        </w:sectPr>
      </w:pPr>
    </w:p>
    <w:bookmarkStart w:id="36" w:name="page37"/>
    <w:bookmarkEnd w:id="36"/>
    <w:p>
      <w:pPr>
        <w:ind w:right="540"/>
        <w:spacing w:after="0" w:line="296" w:lineRule="auto"/>
        <w:rPr>
          <w:sz w:val="20"/>
          <w:szCs w:val="20"/>
          <w:color w:val="auto"/>
        </w:rPr>
      </w:pPr>
      <w:r>
        <w:rPr>
          <w:rFonts w:ascii="Times New Roman" w:cs="Times New Roman" w:eastAsia="Times New Roman" w:hAnsi="Times New Roman"/>
          <w:sz w:val="17"/>
          <w:szCs w:val="17"/>
          <w:color w:val="auto"/>
        </w:rPr>
        <w:t>owned by Knight Capital Group, Inc., to an investor group now known as Finance of America Reverse, LLC (“FAR”). Pursuant to the terms of the Stock Purchase Agreement between KCG and FAR, Virtu has certain continuing obligations related to KCG's prior ownership of Urban.</w:t>
      </w:r>
    </w:p>
    <w:p>
      <w:pPr>
        <w:spacing w:after="0" w:line="173"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Leases</w:t>
      </w:r>
    </w:p>
    <w:p>
      <w:pPr>
        <w:spacing w:after="0" w:line="252" w:lineRule="exact"/>
        <w:rPr>
          <w:sz w:val="20"/>
          <w:szCs w:val="20"/>
          <w:color w:val="auto"/>
        </w:rPr>
      </w:pPr>
    </w:p>
    <w:p>
      <w:pPr>
        <w:jc w:val="both"/>
        <w:ind w:right="200" w:firstLine="629"/>
        <w:spacing w:after="0" w:line="276" w:lineRule="auto"/>
        <w:rPr>
          <w:sz w:val="20"/>
          <w:szCs w:val="20"/>
          <w:color w:val="auto"/>
        </w:rPr>
      </w:pPr>
      <w:r>
        <w:rPr>
          <w:rFonts w:ascii="Times New Roman" w:cs="Times New Roman" w:eastAsia="Times New Roman" w:hAnsi="Times New Roman"/>
          <w:sz w:val="17"/>
          <w:szCs w:val="17"/>
          <w:color w:val="auto"/>
        </w:rPr>
        <w:t>The Company primarily enters into lessee arrangements for corporate office space, data centers, and technology equipment. For more information on lease accounting, see Note 2 "Summary of Significant Accounting Policies" and Note 17 "Leases" to the Consolidated Financial Statements of the Company's 2021 Annual Report on Form 10-K.</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Lease assets and liabilities are summarized as follows:</w:t>
      </w:r>
    </w:p>
    <w:p>
      <w:pPr>
        <w:sectPr>
          <w:pgSz w:w="11900" w:h="16838" w:orient="portrait"/>
          <w:cols w:equalWidth="0" w:num="1">
            <w:col w:w="11240"/>
          </w:cols>
          <w:pgMar w:left="320" w:top="868" w:right="339" w:bottom="1440" w:gutter="0" w:footer="0" w:header="0"/>
        </w:sectPr>
      </w:pPr>
    </w:p>
    <w:p>
      <w:pPr>
        <w:spacing w:after="0" w:line="2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Operating leases</w:t>
      </w:r>
    </w:p>
    <w:p>
      <w:pPr>
        <w:spacing w:after="0" w:line="35" w:lineRule="exact"/>
        <w:rPr>
          <w:sz w:val="20"/>
          <w:szCs w:val="20"/>
          <w:color w:val="auto"/>
        </w:rPr>
      </w:pPr>
    </w:p>
    <w:p>
      <w:pPr>
        <w:ind w:left="220" w:right="80"/>
        <w:spacing w:after="0" w:line="324" w:lineRule="auto"/>
        <w:rPr>
          <w:sz w:val="20"/>
          <w:szCs w:val="20"/>
          <w:color w:val="auto"/>
        </w:rPr>
      </w:pPr>
      <w:r>
        <w:rPr>
          <w:rFonts w:ascii="Times New Roman" w:cs="Times New Roman" w:eastAsia="Times New Roman" w:hAnsi="Times New Roman"/>
          <w:sz w:val="14"/>
          <w:szCs w:val="14"/>
          <w:color w:val="auto"/>
        </w:rPr>
        <w:t>Operating lease right-of-use assets Operating lease liabilities</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Finance leases</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Property and equipment, at cost</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Accumulated depreciation</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Finance lease liabilities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0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280" w:type="dxa"/>
            <w:vAlign w:val="bottom"/>
          </w:tcPr>
          <w:p>
            <w:pPr>
              <w:spacing w:after="0"/>
              <w:rPr>
                <w:sz w:val="16"/>
                <w:szCs w:val="16"/>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0" w:type="dxa"/>
            <w:vAlign w:val="bottom"/>
          </w:tcPr>
          <w:p>
            <w:pPr>
              <w:spacing w:after="0"/>
              <w:rPr>
                <w:sz w:val="16"/>
                <w:szCs w:val="16"/>
                <w:color w:val="auto"/>
              </w:rPr>
            </w:pP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6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208,476</w:t>
            </w:r>
          </w:p>
        </w:tc>
        <w:tc>
          <w:tcPr>
            <w:tcW w:w="10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225,328</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278,745</w:t>
            </w:r>
          </w:p>
        </w:tc>
      </w:tr>
      <w:tr>
        <w:trPr>
          <w:trHeight w:val="655"/>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18,965</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(12,465)</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-774700</wp:posOffset>
            </wp:positionV>
            <wp:extent cx="7028180" cy="1244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-483235</wp:posOffset>
            </wp:positionV>
            <wp:extent cx="7028180" cy="1244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-233680</wp:posOffset>
            </wp:positionV>
            <wp:extent cx="7028180" cy="1244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-1032510</wp:posOffset>
            </wp:positionV>
            <wp:extent cx="7028180" cy="133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28180"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80"/>
          </w:cols>
          <w:pgMar w:left="320" w:top="868" w:right="339" w:bottom="1440" w:gutter="0" w:footer="0" w:header="0"/>
          <w:type w:val="continuous"/>
        </w:sectPr>
      </w:pP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Weighted average remaining lease term and discount rate are as follows:</w:t>
      </w:r>
    </w:p>
    <w:p>
      <w:pPr>
        <w:spacing w:after="0" w:line="283"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08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0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3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7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89"/>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6.41 years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 years</w:t>
            </w:r>
          </w:p>
        </w:tc>
      </w:tr>
      <w:tr>
        <w:trPr>
          <w:trHeight w:val="204"/>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2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2.23 years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 years</w:t>
            </w:r>
          </w:p>
        </w:tc>
      </w:tr>
      <w:tr>
        <w:trPr>
          <w:trHeight w:val="18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4"/>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1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5.47 %</w:t>
            </w:r>
          </w:p>
        </w:tc>
      </w:tr>
      <w:tr>
        <w:trPr>
          <w:trHeight w:val="182"/>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1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r>
    </w:tbl>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components of lease expense are as follows:</w:t>
      </w:r>
    </w:p>
    <w:p>
      <w:pPr>
        <w:spacing w:after="0" w:line="283"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3120" w:type="dxa"/>
            <w:vAlign w:val="bottom"/>
            <w:gridSpan w:val="4"/>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9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18,426</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18,676</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36,494</w:t>
            </w:r>
          </w:p>
        </w:tc>
        <w:tc>
          <w:tcPr>
            <w:tcW w:w="12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37,776</w:t>
            </w:r>
          </w:p>
        </w:tc>
        <w:tc>
          <w:tcPr>
            <w:tcW w:w="0" w:type="dxa"/>
            <w:vAlign w:val="bottom"/>
          </w:tcPr>
          <w:p>
            <w:pPr>
              <w:spacing w:after="0"/>
              <w:rPr>
                <w:sz w:val="1"/>
                <w:szCs w:val="1"/>
                <w:color w:val="auto"/>
              </w:rPr>
            </w:pPr>
          </w:p>
        </w:tc>
      </w:tr>
      <w:tr>
        <w:trPr>
          <w:trHeight w:val="204"/>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1,349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3,245</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3,231</w:t>
            </w:r>
          </w:p>
        </w:tc>
        <w:tc>
          <w:tcPr>
            <w:tcW w:w="0" w:type="dxa"/>
            <w:vAlign w:val="bottom"/>
          </w:tcPr>
          <w:p>
            <w:pPr>
              <w:spacing w:after="0"/>
              <w:rPr>
                <w:sz w:val="1"/>
                <w:szCs w:val="1"/>
                <w:color w:val="auto"/>
              </w:rPr>
            </w:pPr>
          </w:p>
        </w:tc>
      </w:tr>
      <w:tr>
        <w:trPr>
          <w:trHeight w:val="190"/>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Impairment of ROU Asset</w:t>
            </w:r>
          </w:p>
        </w:tc>
        <w:tc>
          <w:tcPr>
            <w:tcW w:w="42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1,198</w:t>
            </w:r>
          </w:p>
        </w:tc>
        <w:tc>
          <w:tcPr>
            <w:tcW w:w="0" w:type="dxa"/>
            <w:vAlign w:val="bottom"/>
          </w:tcPr>
          <w:p>
            <w:pPr>
              <w:spacing w:after="0"/>
              <w:rPr>
                <w:sz w:val="1"/>
                <w:szCs w:val="1"/>
                <w:color w:val="auto"/>
              </w:rPr>
            </w:pPr>
          </w:p>
        </w:tc>
      </w:tr>
      <w:tr>
        <w:trPr>
          <w:trHeight w:val="221"/>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42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19,775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42,205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4,923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8,868</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ROU Asset</w:t>
            </w:r>
          </w:p>
        </w:tc>
        <w:tc>
          <w:tcPr>
            <w:tcW w:w="420" w:type="dxa"/>
            <w:vAlign w:val="bottom"/>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1,986</w:t>
            </w:r>
          </w:p>
        </w:tc>
        <w:tc>
          <w:tcPr>
            <w:tcW w:w="10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w:t>
            </w:r>
          </w:p>
        </w:tc>
        <w:tc>
          <w:tcPr>
            <w:tcW w:w="10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20" w:type="dxa"/>
            <w:vAlign w:val="bottom"/>
          </w:tcPr>
          <w:p>
            <w:pPr>
              <w:spacing w:after="0"/>
              <w:rPr>
                <w:sz w:val="16"/>
                <w:szCs w:val="16"/>
                <w:color w:val="auto"/>
              </w:rPr>
            </w:pPr>
          </w:p>
        </w:tc>
        <w:tc>
          <w:tcPr>
            <w:tcW w:w="38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3,564</w:t>
            </w:r>
          </w:p>
        </w:tc>
        <w:tc>
          <w:tcPr>
            <w:tcW w:w="0" w:type="dxa"/>
            <w:vAlign w:val="bottom"/>
          </w:tcPr>
          <w:p>
            <w:pPr>
              <w:spacing w:after="0"/>
              <w:rPr>
                <w:sz w:val="1"/>
                <w:szCs w:val="1"/>
                <w:color w:val="auto"/>
              </w:rPr>
            </w:pPr>
          </w:p>
        </w:tc>
      </w:tr>
      <w:tr>
        <w:trPr>
          <w:trHeight w:val="197"/>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4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2,082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4,068</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3,697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type w:val="continuous"/>
        </w:sectPr>
      </w:pPr>
    </w:p>
    <w:bookmarkStart w:id="37" w:name="page38"/>
    <w:bookmarkEnd w:id="37"/>
    <w:p>
      <w:pPr>
        <w:ind w:left="640"/>
        <w:spacing w:after="0"/>
        <w:rPr>
          <w:sz w:val="20"/>
          <w:szCs w:val="20"/>
          <w:color w:val="auto"/>
        </w:rPr>
      </w:pPr>
      <w:r>
        <w:rPr>
          <w:rFonts w:ascii="Times New Roman" w:cs="Times New Roman" w:eastAsia="Times New Roman" w:hAnsi="Times New Roman"/>
          <w:sz w:val="17"/>
          <w:szCs w:val="17"/>
          <w:color w:val="auto"/>
        </w:rPr>
        <w:t>Future minimum lease payments under operating and finance leases with non-cancelable lease terms, as of June 30, 2022, are as follows:</w:t>
      </w:r>
    </w:p>
    <w:p>
      <w:pPr>
        <w:spacing w:after="0" w:line="283" w:lineRule="exact"/>
        <w:rPr>
          <w:sz w:val="20"/>
          <w:szCs w:val="20"/>
          <w:color w:val="auto"/>
        </w:rPr>
      </w:pPr>
    </w:p>
    <w:tbl>
      <w:tblPr>
        <w:tblLayout w:type="fixed"/>
        <w:tblInd w:w="2580" w:type="dxa"/>
        <w:tblCellMar>
          <w:top w:w="0" w:type="dxa"/>
          <w:left w:w="0" w:type="dxa"/>
          <w:bottom w:w="0" w:type="dxa"/>
          <w:right w:w="0" w:type="dxa"/>
        </w:tblCellMar>
      </w:tblPr>
      <w:tr>
        <w:trPr>
          <w:trHeight w:val="184"/>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39,970</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4,069</w:t>
            </w: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65,275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6,076</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4,465</w:t>
            </w: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34,200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 and thereafter</w:t>
            </w: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98,435</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lease payments</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330,263</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15,210</w:t>
            </w:r>
          </w:p>
        </w:tc>
      </w:tr>
      <w:tr>
        <w:trPr>
          <w:trHeight w:val="197"/>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imputed interest</w:t>
            </w: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(72,590)</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(1,516)</w:t>
            </w:r>
          </w:p>
        </w:tc>
      </w:tr>
      <w:tr>
        <w:trPr>
          <w:trHeight w:val="196"/>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lease liability</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257,673</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13,694</w:t>
            </w: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Cash</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cash and cash equivalents together with restricted or segregated cash</w:t>
      </w:r>
    </w:p>
    <w:p>
      <w:pPr>
        <w:spacing w:after="0" w:line="32"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as reported within the Condensed Consolidated Statements of Financial Condition to the sum of the same such amounts shown in the Condensed Consolidated Statements of Cash Flows.</w:t>
      </w:r>
    </w:p>
    <w:p>
      <w:pPr>
        <w:spacing w:after="0" w:line="224"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6"/>
                <w:szCs w:val="16"/>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810,649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1,071,463</w:t>
            </w:r>
          </w:p>
        </w:tc>
      </w:tr>
      <w:tr>
        <w:trPr>
          <w:trHeight w:val="190"/>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49,490</w:t>
            </w:r>
          </w:p>
        </w:tc>
      </w:tr>
      <w:tr>
        <w:trPr>
          <w:trHeight w:val="221"/>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the statement of cash flows</w:t>
            </w: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849,770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1,120,953</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Capital Structure</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84.6% of the combined voting power of our common stock as a result of its ownership of our Class A, Class C and Class D Common Stock. The Company holds approximately a 61.0% interest in Virtu Financial at June 30, 2022.</w:t>
      </w:r>
    </w:p>
    <w:p>
      <w:pPr>
        <w:spacing w:after="0" w:line="196"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During the period prior to certain reorganization transactions and IPO, Class A-2 profits interests and Class B interests in Virtu Financial were issued to Employee Holdco (as defined below) on behalf of certain key employees and stakeholders. In connection with these reorganization transactions, all Class A-2 profits interests and Class B interests were reclassified into Virtu Financial Units. As of June 30, 2022 and December 31, 2021, there were 4,462,840 and 4,791,839 Virtu Financial Units outstanding held by Employee Holdco (as defined below), respectively, and 328,999 and 427,903 of such Virtu Financial Units and corresponding Class C Common Stock were exchanged into Class A Common Stock, forfeited or repurchased during the six months ended June 30, 2022 and 2021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2015 Management Incentive Plan</w:t>
      </w:r>
    </w:p>
    <w:p>
      <w:pPr>
        <w:spacing w:after="0" w:line="254"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June 5, 2020 and June 2, 2022. The Amended and Restated 2015 Management Incentive Plan provides for the grant of stock options, restricted stock units, and other awards based on an aggregate of 26,000,000 shares of Class A Common Stock, subject to additional sublimits, including limits on the total option grant to any one participant in a single year and the total performance award to any one participant in a single year.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38" w:name="page39"/>
    <w:bookmarkEnd w:id="38"/>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Investment Technology Group, Inc. 2007 Omnibus Equity Compensation Plan</w:t>
      </w:r>
    </w:p>
    <w:p>
      <w:pPr>
        <w:spacing w:after="0" w:line="25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Equity Plan and the Assumed Awards. As of the ITG Closing Date, the aggregate number of shares of Class A Common Stock subject to such Assumed Awards was 2,497,028 and the aggregate number of shares of Class A Common Stock that remained issuable pursuant to the Amended and Restated ITG 2007 Equity Plan was 1,230,406.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54"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new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Additionally, on November 3, 2021 the Company's Board of Directors authorized the expansion of the program by an additional $750 million to $1,220 million and extending the duration of the program through November 3, 2023.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June 30, 2022, the Company repurchased approximately 26.8 million shares of Class A Common Stock and Virtu Financial Units for approximately $773.8 million. As of June 30, 2022, the Company has approximately $446.2 million remaining capacity for future purchases of shares of Class A Common Stock and Virtu Financial Units under the program.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Exchanges</w:t>
      </w:r>
    </w:p>
    <w:p>
      <w:pPr>
        <w:spacing w:after="0" w:line="254"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During the six months ended June 30, 2022, and 2021, pursuant to the exchange agreement by and among the Company, Virtu Financial and holders of Virtu Financial Units, certain current and former employees elected to exchange 92,930, and 382,281 units, respectively in Virtu Financial held directly or on their behalf by Virtu Employee Holdco LLC (“Employee Holdco”) on a one-for-one basis for shares of Class A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Issuance</w:t>
      </w:r>
    </w:p>
    <w:p>
      <w:pPr>
        <w:spacing w:after="0" w:line="254"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On March 20, 2020, in connection with and in consideration of the Founder Member’s commitments under the Founder Member Loan Facility (as described in Note 8 "Borrowings"), the Company delivered to the Founder Member a warrant (the “Warrant”) to purchase shares of the Company’s Class A Common Stock. Pursuant to the Warrant, the Founder Member was entitled to purchase up to 3,000,000 shares of Class A Common Stock on or after May 22, 2020 up to and including January 15, 2022. If at any time during the term of the Founder Member Loan Facility, the Founder Member Loans equal to or greater than $100 million had remained outstanding for a certain period of time specified in the Warrant, the number of shares would have increased to 10,000,000. The Founder Member Loan Facility Term expired on September 20, 2020 without the Company having borrowed any Founder Member Loans thereunder (as described in Note 8 "Borrowings"). The exercise price per share of the Class A Common Stock issuable pursuant to the Warrant was $22.98, which in accordance with the terms of the Warrant, is equal to the average of the volume weighted average prices of the Class A Common Stock for the ten (10) trading days following May 7, 2020, the date on which the Company publicly announced its earnings results for the first quarter of 2020. On December 17, 2021, the Founder Member exercised in full the Warrant to purchase 3,000,000 shares of the Company's Class A Common Stock. The Warrant and Class A Common Stock issued pursuant to the Warrant were offered, issued and sold, in reliance on the exemption from the registration requirements of the Securities Act of 1933, as amended (the "Securities Act"), set forth under Section 4(a)(2) of the Securities Act relating to sales by an issuer not involving any public offering.</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39" w:name="page40"/>
    <w:bookmarkEnd w:id="39"/>
    <w:p>
      <w:pPr>
        <w:ind w:firstLine="629"/>
        <w:spacing w:after="0" w:line="267" w:lineRule="auto"/>
        <w:rPr>
          <w:sz w:val="20"/>
          <w:szCs w:val="20"/>
          <w:color w:val="auto"/>
        </w:rPr>
      </w:pPr>
      <w:r>
        <w:rPr>
          <w:rFonts w:ascii="Times New Roman" w:cs="Times New Roman" w:eastAsia="Times New Roman" w:hAnsi="Times New Roman"/>
          <w:sz w:val="17"/>
          <w:szCs w:val="17"/>
          <w:color w:val="auto"/>
        </w:rPr>
        <w:t>Upon issuance, the fair value of the Warrant was determined using a Black-Scholes-Merton model, and was recorded as a debt issuance cost within Other Assets on the Condensed Consolidated Statements of Financial Condition and as an increase to Additional paid-in capital on the Condensed Consolidated Statements of Changes in Equity. The balance was amortized on a straight-line basis from March 20, 2020 through September 20, 2020, the date on which the Founder Member Loan Facility expired, and recorded as expense within Debt issue cost related to debt refinancing, prepayment and commitment fees in the Condensed Consolidated Statements of Comprehensive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Income</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changes in Other Comprehensive Income for the three and six months ended June 30, 2022, and 2021:</w:t>
      </w:r>
    </w:p>
    <w:p>
      <w:pPr>
        <w:spacing w:after="0" w:line="139"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18,906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27,486</w:t>
            </w:r>
          </w:p>
        </w:tc>
        <w:tc>
          <w:tcPr>
            <w:tcW w:w="0" w:type="dxa"/>
            <w:vAlign w:val="bottom"/>
          </w:tcPr>
          <w:p>
            <w:pPr>
              <w:spacing w:after="0"/>
              <w:rPr>
                <w:sz w:val="1"/>
                <w:szCs w:val="1"/>
                <w:color w:val="auto"/>
              </w:rPr>
            </w:pPr>
          </w:p>
        </w:tc>
      </w:tr>
      <w:tr>
        <w:trPr>
          <w:trHeight w:val="19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(2,887)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(13,660)</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16,019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13,826</w:t>
            </w:r>
          </w:p>
        </w:tc>
        <w:tc>
          <w:tcPr>
            <w:tcW w:w="0" w:type="dxa"/>
            <w:vAlign w:val="bottom"/>
          </w:tcPr>
          <w:p>
            <w:pPr>
              <w:spacing w:after="0"/>
              <w:rPr>
                <w:sz w:val="1"/>
                <w:szCs w:val="1"/>
                <w:color w:val="auto"/>
              </w:rPr>
            </w:pPr>
          </w:p>
        </w:tc>
      </w:tr>
    </w:tbl>
    <w:p>
      <w:pPr>
        <w:ind w:left="720" w:right="680" w:firstLine="9"/>
        <w:spacing w:after="0" w:line="233" w:lineRule="auto"/>
        <w:tabs>
          <w:tab w:leader="none" w:pos="893"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reclassified from AOCI to income are included within Financing interest expense on long-term borrowings on the Condensed Consolidated Statements of Comprehensive Income. As of June 30, 2022, the Company expects approximately $9.0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-246380</wp:posOffset>
            </wp:positionV>
            <wp:extent cx="38760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91"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(24,952)</w:t>
            </w:r>
          </w:p>
        </w:tc>
        <w:tc>
          <w:tcPr>
            <w:tcW w:w="0" w:type="dxa"/>
            <w:vAlign w:val="bottom"/>
          </w:tcPr>
          <w:p>
            <w:pPr>
              <w:spacing w:after="0"/>
              <w:rPr>
                <w:sz w:val="1"/>
                <w:szCs w:val="1"/>
                <w:color w:val="auto"/>
              </w:rPr>
            </w:pPr>
          </w:p>
        </w:tc>
      </w:tr>
      <w:tr>
        <w:trPr>
          <w:trHeight w:val="19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(19,117)</w:t>
            </w:r>
          </w:p>
        </w:tc>
        <w:tc>
          <w:tcPr>
            <w:tcW w:w="0" w:type="dxa"/>
            <w:vAlign w:val="bottom"/>
          </w:tcPr>
          <w:p>
            <w:pPr>
              <w:spacing w:after="0"/>
              <w:rPr>
                <w:sz w:val="1"/>
                <w:szCs w:val="1"/>
                <w:color w:val="auto"/>
              </w:rPr>
            </w:pPr>
          </w:p>
        </w:tc>
      </w:tr>
    </w:tbl>
    <w:p>
      <w:pPr>
        <w:ind w:left="720"/>
        <w:spacing w:after="0"/>
        <w:rPr>
          <w:sz w:val="20"/>
          <w:szCs w:val="20"/>
          <w:color w:val="auto"/>
        </w:rPr>
      </w:pPr>
      <w:r>
        <w:rPr>
          <w:rFonts w:ascii="Times New Roman" w:cs="Times New Roman" w:eastAsia="Times New Roman" w:hAnsi="Times New Roman"/>
          <w:sz w:val="12"/>
          <w:szCs w:val="12"/>
          <w:color w:val="auto"/>
        </w:rPr>
        <w:t>(1) Amounts reclassified from AOCI to income are included within Financing interest expense on long-term borrowings on the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-78740</wp:posOffset>
            </wp:positionV>
            <wp:extent cx="38760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355"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4"/>
                <w:szCs w:val="14"/>
                <w:color w:val="auto"/>
                <w:w w:val="98"/>
              </w:rPr>
              <w:t>32,797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27,486</w:t>
            </w:r>
          </w:p>
        </w:tc>
        <w:tc>
          <w:tcPr>
            <w:tcW w:w="0" w:type="dxa"/>
            <w:vAlign w:val="bottom"/>
          </w:tcPr>
          <w:p>
            <w:pPr>
              <w:spacing w:after="0"/>
              <w:rPr>
                <w:sz w:val="1"/>
                <w:szCs w:val="1"/>
                <w:color w:val="auto"/>
              </w:rPr>
            </w:pPr>
          </w:p>
        </w:tc>
      </w:tr>
      <w:tr>
        <w:trPr>
          <w:trHeight w:val="190"/>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left="730"/>
              <w:spacing w:after="0"/>
              <w:rPr>
                <w:sz w:val="20"/>
                <w:szCs w:val="20"/>
                <w:color w:val="auto"/>
              </w:rPr>
            </w:pPr>
            <w:r>
              <w:rPr>
                <w:rFonts w:ascii="Times New Roman" w:cs="Times New Roman" w:eastAsia="Times New Roman" w:hAnsi="Times New Roman"/>
                <w:sz w:val="14"/>
                <w:szCs w:val="14"/>
                <w:color w:val="auto"/>
              </w:rPr>
              <w:t>(13,945)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(13,660)</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4"/>
                <w:szCs w:val="14"/>
                <w:color w:val="auto"/>
                <w:w w:val="98"/>
              </w:rPr>
              <w:t>18,852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13,826</w:t>
            </w:r>
          </w:p>
        </w:tc>
        <w:tc>
          <w:tcPr>
            <w:tcW w:w="0" w:type="dxa"/>
            <w:vAlign w:val="bottom"/>
          </w:tcPr>
          <w:p>
            <w:pPr>
              <w:spacing w:after="0"/>
              <w:rPr>
                <w:sz w:val="1"/>
                <w:szCs w:val="1"/>
                <w:color w:val="auto"/>
              </w:rPr>
            </w:pPr>
          </w:p>
        </w:tc>
      </w:tr>
    </w:tbl>
    <w:p>
      <w:pPr>
        <w:ind w:left="720" w:right="660" w:firstLine="9"/>
        <w:spacing w:after="0" w:line="225" w:lineRule="auto"/>
        <w:tabs>
          <w:tab w:leader="none" w:pos="893"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reclassified from AOCI to income are included within Financing interest expense on long-term borrowings on the Consolidated Statements of Comprehensive Income. As of June 30, 2022, the Company expects approximately $9.0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-237490</wp:posOffset>
            </wp:positionV>
            <wp:extent cx="38760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104"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(24,952)</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5,835</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(19,117)</w:t>
            </w:r>
          </w:p>
        </w:tc>
        <w:tc>
          <w:tcPr>
            <w:tcW w:w="0" w:type="dxa"/>
            <w:vAlign w:val="bottom"/>
          </w:tcPr>
          <w:p>
            <w:pPr>
              <w:spacing w:after="0"/>
              <w:rPr>
                <w:sz w:val="1"/>
                <w:szCs w:val="1"/>
                <w:color w:val="auto"/>
              </w:rPr>
            </w:pPr>
          </w:p>
        </w:tc>
      </w:tr>
    </w:tbl>
    <w:p>
      <w:pPr>
        <w:ind w:left="720"/>
        <w:spacing w:after="0"/>
        <w:rPr>
          <w:sz w:val="20"/>
          <w:szCs w:val="20"/>
          <w:color w:val="auto"/>
        </w:rPr>
      </w:pPr>
      <w:r>
        <w:rPr>
          <w:rFonts w:ascii="Times New Roman" w:cs="Times New Roman" w:eastAsia="Times New Roman" w:hAnsi="Times New Roman"/>
          <w:sz w:val="12"/>
          <w:szCs w:val="12"/>
          <w:color w:val="auto"/>
        </w:rPr>
        <w:t>(1) Amounts reclassified from AOCI to income are included within Financing interest expense on long-term borrowings on the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-78740</wp:posOffset>
            </wp:positionV>
            <wp:extent cx="38760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03" w:right="3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18. Share-based Compensation</w:t>
      </w:r>
    </w:p>
    <w:p>
      <w:pPr>
        <w:spacing w:after="0" w:line="252" w:lineRule="exact"/>
        <w:rPr>
          <w:sz w:val="20"/>
          <w:szCs w:val="20"/>
          <w:color w:val="auto"/>
        </w:rPr>
      </w:pPr>
    </w:p>
    <w:p>
      <w:pPr>
        <w:jc w:val="both"/>
        <w:ind w:right="140" w:firstLine="629"/>
        <w:spacing w:after="0" w:line="276" w:lineRule="auto"/>
        <w:rPr>
          <w:sz w:val="20"/>
          <w:szCs w:val="20"/>
          <w:color w:val="auto"/>
        </w:rPr>
      </w:pPr>
      <w:r>
        <w:rPr>
          <w:rFonts w:ascii="Times New Roman" w:cs="Times New Roman" w:eastAsia="Times New Roman" w:hAnsi="Times New Roman"/>
          <w:sz w:val="17"/>
          <w:szCs w:val="17"/>
          <w:color w:val="auto"/>
        </w:rPr>
        <w:t>Pursuant to the Amended and Restated 2015 Management Incentive Plan as described in Note 17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activity related to stock options for the six months ended June 30, 2022, and 2021:</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980" w:type="dxa"/>
            <w:vAlign w:val="bottom"/>
          </w:tcPr>
          <w:p>
            <w:pPr>
              <w:spacing w:after="0"/>
              <w:rPr>
                <w:sz w:val="10"/>
                <w:szCs w:val="10"/>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00" w:type="dxa"/>
            <w:vAlign w:val="bottom"/>
          </w:tcPr>
          <w:p>
            <w:pPr>
              <w:spacing w:after="0"/>
              <w:rPr>
                <w:sz w:val="10"/>
                <w:szCs w:val="10"/>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jc w:val="center"/>
              <w:ind w:right="90"/>
              <w:spacing w:after="0" w:line="126"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Remaining Contractual</w:t>
            </w: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90"/>
              <w:spacing w:after="0" w:line="143"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0" w:type="dxa"/>
            <w:vAlign w:val="bottom"/>
          </w:tcPr>
          <w:p>
            <w:pPr>
              <w:spacing w:after="0"/>
              <w:rPr>
                <w:sz w:val="1"/>
                <w:szCs w:val="1"/>
                <w:color w:val="auto"/>
              </w:rPr>
            </w:pPr>
          </w:p>
        </w:tc>
      </w:tr>
      <w:tr>
        <w:trPr>
          <w:trHeight w:val="195"/>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2,324,152</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4.24</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2,324,152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(407,997)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June 30, 2021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1,916,155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3.74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1,916,155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2021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1,795,655</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3.24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1,795,655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(268,879)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June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1,521,776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2.74</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1,521,776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both"/>
        <w:ind w:right="20" w:firstLine="629"/>
        <w:spacing w:after="0" w:line="276" w:lineRule="auto"/>
        <w:rPr>
          <w:sz w:val="20"/>
          <w:szCs w:val="20"/>
          <w:color w:val="auto"/>
        </w:rPr>
      </w:pPr>
      <w:r>
        <w:rPr>
          <w:rFonts w:ascii="Times New Roman" w:cs="Times New Roman" w:eastAsia="Times New Roman" w:hAnsi="Times New Roman"/>
          <w:sz w:val="17"/>
          <w:szCs w:val="17"/>
          <w:color w:val="auto"/>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Investment Technology Group, Inc. 2007 Omnibus Equity Compensation Plan</w:t>
      </w:r>
    </w:p>
    <w:p>
      <w:pPr>
        <w:spacing w:after="0" w:line="254"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Equity Plan and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 Restricted Stock Units and Restricted Stock Awards</w:t>
      </w:r>
    </w:p>
    <w:p>
      <w:pPr>
        <w:spacing w:after="0" w:line="254"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Pursuant to the Amended and Restated 2015 Management Incentive Plan as described in Note 17 "Capital Structure", subsequent to the IPO, shares of immediately vested Class A Common Stock, RSUs and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six months ended June 30, 2022, and 2021, respectively, there were 580,710, and 633,938 shares of immediately vested Class A Common Stock granted as part of year-end compensation. In addition, the Company accrued compensation expense of $9.6 million and $6.5 million for the three months ended June 30, 2022, and 2021, respectively, and $15.5 million, and $11.5 million for the six months ended June 30, 2022, and 2021,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41" w:name="page42"/>
    <w:bookmarkEnd w:id="41"/>
    <w:p>
      <w:pPr>
        <w:ind w:left="640"/>
        <w:spacing w:after="0"/>
        <w:rPr>
          <w:sz w:val="20"/>
          <w:szCs w:val="20"/>
          <w:color w:val="auto"/>
        </w:rPr>
      </w:pPr>
      <w:r>
        <w:rPr>
          <w:rFonts w:ascii="Times New Roman" w:cs="Times New Roman" w:eastAsia="Times New Roman" w:hAnsi="Times New Roman"/>
          <w:sz w:val="17"/>
          <w:szCs w:val="17"/>
          <w:color w:val="auto"/>
        </w:rPr>
        <w:t>The following table summarizes activity related to RSUs (including the Assumed Awards) and RSAs for the six months ended June 30, 2022,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 and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2"/>
        </w:trPr>
        <w:tc>
          <w:tcPr>
            <w:tcW w:w="86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 Fair</w:t>
            </w:r>
          </w:p>
        </w:tc>
        <w:tc>
          <w:tcPr>
            <w:tcW w:w="0" w:type="dxa"/>
            <w:vAlign w:val="bottom"/>
          </w:tcPr>
          <w:p>
            <w:pPr>
              <w:spacing w:after="0"/>
              <w:rPr>
                <w:sz w:val="1"/>
                <w:szCs w:val="1"/>
                <w:color w:val="auto"/>
              </w:rPr>
            </w:pPr>
          </w:p>
        </w:tc>
      </w:tr>
      <w:tr>
        <w:trPr>
          <w:trHeight w:val="191"/>
        </w:trPr>
        <w:tc>
          <w:tcPr>
            <w:tcW w:w="86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RSAs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3,393,084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2,106,795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w:t>
            </w:r>
          </w:p>
        </w:tc>
        <w:tc>
          <w:tcPr>
            <w:tcW w:w="0" w:type="dxa"/>
            <w:vAlign w:val="bottom"/>
          </w:tcPr>
          <w:p>
            <w:pPr>
              <w:spacing w:after="0"/>
              <w:rPr>
                <w:sz w:val="1"/>
                <w:szCs w:val="1"/>
                <w:color w:val="auto"/>
              </w:rPr>
            </w:pPr>
          </w:p>
        </w:tc>
      </w:tr>
      <w:tr>
        <w:trPr>
          <w:trHeight w:val="19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(1,929,323)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23.27</w:t>
            </w:r>
          </w:p>
        </w:tc>
        <w:tc>
          <w:tcPr>
            <w:tcW w:w="0" w:type="dxa"/>
            <w:vAlign w:val="bottom"/>
          </w:tcPr>
          <w:p>
            <w:pPr>
              <w:spacing w:after="0"/>
              <w:rPr>
                <w:sz w:val="1"/>
                <w:szCs w:val="1"/>
                <w:color w:val="auto"/>
              </w:rPr>
            </w:pPr>
          </w:p>
        </w:tc>
      </w:tr>
      <w:tr>
        <w:trPr>
          <w:trHeight w:val="221"/>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June 30, 2021</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3,458,496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3,224,447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0" w:type="dxa"/>
            <w:vAlign w:val="bottom"/>
          </w:tcPr>
          <w:p>
            <w:pPr>
              <w:spacing w:after="0"/>
              <w:rPr>
                <w:sz w:val="1"/>
                <w:szCs w:val="1"/>
                <w:color w:val="auto"/>
              </w:rPr>
            </w:pPr>
          </w:p>
        </w:tc>
      </w:tr>
      <w:tr>
        <w:trPr>
          <w:trHeight w:val="189"/>
        </w:trPr>
        <w:tc>
          <w:tcPr>
            <w:tcW w:w="8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 (1)</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2,951,863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30.03</w:t>
            </w: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25.47</w:t>
            </w:r>
          </w:p>
        </w:tc>
        <w:tc>
          <w:tcPr>
            <w:tcW w:w="0" w:type="dxa"/>
            <w:vAlign w:val="bottom"/>
          </w:tcPr>
          <w:p>
            <w:pPr>
              <w:spacing w:after="0"/>
              <w:rPr>
                <w:sz w:val="1"/>
                <w:szCs w:val="1"/>
                <w:color w:val="auto"/>
              </w:rPr>
            </w:pPr>
          </w:p>
        </w:tc>
      </w:tr>
      <w:tr>
        <w:trPr>
          <w:trHeight w:val="190"/>
        </w:trPr>
        <w:tc>
          <w:tcPr>
            <w:tcW w:w="8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(1,669,030)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0" w:type="dxa"/>
            <w:vAlign w:val="bottom"/>
          </w:tcPr>
          <w:p>
            <w:pPr>
              <w:spacing w:after="0"/>
              <w:rPr>
                <w:sz w:val="1"/>
                <w:szCs w:val="1"/>
                <w:color w:val="auto"/>
              </w:rPr>
            </w:pPr>
          </w:p>
        </w:tc>
      </w:tr>
      <w:tr>
        <w:trPr>
          <w:trHeight w:val="20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June 30, 2022</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4,185,060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2"/>
          <w:szCs w:val="12"/>
          <w:color w:val="auto"/>
        </w:rPr>
        <w:t>(1) Excluded in the number of RSUs and RSAs are 75,000 participating RSAs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-78740</wp:posOffset>
            </wp:positionV>
            <wp:extent cx="873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334"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The Company recognized $9.5 million and $6.1 million for the three months ended June 30, 2022, and 2021, respectively, and $18.1 million, and $13.9 million for the six months ended June 30, 2022, and 2021, respectively, of compensation expense in relation to RSUs. As of June 30, 2022 and December 31, 2021, total unrecognized share-based compensation expense related to unvested RSUs was $79.5 million and $41.9 million, respectively, and this amount is to be recognized over a weighted average period of 1.5 years and 0.9 years, respectively. Awards in which the specific performance conditions have not been met are not included in unrecognized share-based compensation expense.</w:t>
      </w:r>
    </w:p>
    <w:p>
      <w:pPr>
        <w:spacing w:after="0" w:line="196"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 The Company recognized $7.3 million as compensation cost under the DCP as of June 30, 2022.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Regulatory Requirement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Subsidiary</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Company's U.S. broker-dealer subsidiary, VAL, is subject to the SEC Uniform Net Capital Rule 15c3-1, which requires the maintenance of minimum net capital as detailed in the table below. Pursuant to New York Stock Exchange ("NYSE") rules, VAL was also required to maintain $1.0 million of capital in connection with the operation of its designated market maker (“DMM”) business as of June 30, 2022. The required amount is determined under the exchange rules as the greater of (i) $1 million or (ii) $75,000 for every 0.1% of NYSE transaction dollar volume in each of the securities for which the Company is registered as the DMM.</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VAL's regulatory capital and regulatory capital requirements as of June 30, 2022 was as follows:</w:t>
      </w:r>
    </w:p>
    <w:p>
      <w:pPr>
        <w:spacing w:after="0" w:line="3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523,360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520,967</w:t>
            </w:r>
          </w:p>
        </w:tc>
        <w:tc>
          <w:tcPr>
            <w:tcW w:w="0" w:type="dxa"/>
            <w:vAlign w:val="bottom"/>
          </w:tcPr>
          <w:p>
            <w:pPr>
              <w:spacing w:after="0"/>
              <w:rPr>
                <w:sz w:val="1"/>
                <w:szCs w:val="1"/>
                <w:color w:val="auto"/>
              </w:rPr>
            </w:pPr>
          </w:p>
        </w:tc>
      </w:tr>
    </w:tbl>
    <w:p>
      <w:pPr>
        <w:spacing w:after="0" w:line="361" w:lineRule="exact"/>
        <w:rPr>
          <w:sz w:val="20"/>
          <w:szCs w:val="20"/>
          <w:color w:val="auto"/>
        </w:rPr>
      </w:pPr>
    </w:p>
    <w:p>
      <w:pPr>
        <w:ind w:right="160" w:firstLine="629"/>
        <w:spacing w:after="0" w:line="276" w:lineRule="auto"/>
        <w:rPr>
          <w:sz w:val="20"/>
          <w:szCs w:val="20"/>
          <w:color w:val="auto"/>
        </w:rPr>
      </w:pPr>
      <w:r>
        <w:rPr>
          <w:rFonts w:ascii="Times New Roman" w:cs="Times New Roman" w:eastAsia="Times New Roman" w:hAnsi="Times New Roman"/>
          <w:sz w:val="17"/>
          <w:szCs w:val="17"/>
          <w:color w:val="auto"/>
        </w:rPr>
        <w:t xml:space="preserve">As of June 30, 2022, VAL had $32.6 million of cash in special reserve bank accounts for the benefit of customers pursuant to SEC Rule 15c3-3, </w:t>
      </w:r>
      <w:r>
        <w:rPr>
          <w:rFonts w:ascii="Times New Roman" w:cs="Times New Roman" w:eastAsia="Times New Roman" w:hAnsi="Times New Roman"/>
          <w:sz w:val="17"/>
          <w:szCs w:val="17"/>
          <w:i w:val="1"/>
          <w:iCs w:val="1"/>
          <w:color w:val="auto"/>
        </w:rPr>
        <w:t xml:space="preserve">Computation for Determination of Reserve Requirements, </w:t>
      </w:r>
      <w:r>
        <w:rPr>
          <w:rFonts w:ascii="Times New Roman" w:cs="Times New Roman" w:eastAsia="Times New Roman" w:hAnsi="Times New Roman"/>
          <w:sz w:val="17"/>
          <w:szCs w:val="17"/>
          <w:color w:val="auto"/>
        </w:rPr>
        <w:t>and $5.8 million of cash in reserve bank accounts for the benefit of proprietary accounts of brokers.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balances are included within Cash restricted or segregated under regulations and other on the Condensed Consolidated Statements of Financial Condition.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VAL's regulatory capital and regulatory capital requirements as of December 31, 2021 was as follows:</w:t>
      </w:r>
    </w:p>
    <w:p>
      <w:pPr>
        <w:spacing w:after="0" w:line="3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536,647</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535,453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42" w:name="page43"/>
    <w:bookmarkEnd w:id="42"/>
    <w:p>
      <w:pPr>
        <w:jc w:val="both"/>
        <w:ind w:right="120" w:firstLine="629"/>
        <w:spacing w:after="0" w:line="296" w:lineRule="auto"/>
        <w:rPr>
          <w:sz w:val="20"/>
          <w:szCs w:val="20"/>
          <w:color w:val="auto"/>
        </w:rPr>
      </w:pPr>
      <w:r>
        <w:rPr>
          <w:rFonts w:ascii="Times New Roman" w:cs="Times New Roman" w:eastAsia="Times New Roman" w:hAnsi="Times New Roman"/>
          <w:sz w:val="17"/>
          <w:szCs w:val="17"/>
          <w:color w:val="auto"/>
        </w:rPr>
        <w:t xml:space="preserve">As of December 31, 2021, VAL had $43.0 million of cash in special reserve bank accounts for the benefit of customers pursuant to SEC Rule 15c3-3, </w:t>
      </w:r>
      <w:r>
        <w:rPr>
          <w:rFonts w:ascii="Times New Roman" w:cs="Times New Roman" w:eastAsia="Times New Roman" w:hAnsi="Times New Roman"/>
          <w:sz w:val="17"/>
          <w:szCs w:val="17"/>
          <w:i w:val="1"/>
          <w:iCs w:val="1"/>
          <w:color w:val="auto"/>
        </w:rPr>
        <w:t xml:space="preserve">Computation for Determination of Reserve Requirements, </w:t>
      </w:r>
      <w:r>
        <w:rPr>
          <w:rFonts w:ascii="Times New Roman" w:cs="Times New Roman" w:eastAsia="Times New Roman" w:hAnsi="Times New Roman"/>
          <w:sz w:val="17"/>
          <w:szCs w:val="17"/>
          <w:color w:val="auto"/>
        </w:rPr>
        <w:t>and $5.8 million of cash in reserve bank accounts for the benefit of proprietary accounts of brokers.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Subsidiaries</w:t>
      </w:r>
    </w:p>
    <w:p>
      <w:pPr>
        <w:spacing w:after="0" w:line="252" w:lineRule="exact"/>
        <w:rPr>
          <w:sz w:val="20"/>
          <w:szCs w:val="20"/>
          <w:color w:val="auto"/>
        </w:rPr>
      </w:pPr>
    </w:p>
    <w:p>
      <w:pPr>
        <w:ind w:right="220" w:firstLine="629"/>
        <w:spacing w:after="0" w:line="270" w:lineRule="auto"/>
        <w:rPr>
          <w:sz w:val="20"/>
          <w:szCs w:val="20"/>
          <w:color w:val="auto"/>
        </w:rPr>
      </w:pPr>
      <w:r>
        <w:rPr>
          <w:rFonts w:ascii="Times New Roman" w:cs="Times New Roman" w:eastAsia="Times New Roman" w:hAnsi="Times New Roman"/>
          <w:sz w:val="17"/>
          <w:szCs w:val="17"/>
          <w:color w:val="auto"/>
        </w:rPr>
        <w:t>The Company’s foreign subsidiaries are subject to regulatory capital requirements set by local regulatory bodies, including the Investment Industry Regulatory Organization of Canada (“IIROC”), the Central Bank of Ireland ("CBI"), the Financial Conduct Authority ("FCA") in the United Kingdom, the Australian Securities and Investments Commission ("ASIC"), the Securities and Futures Commission in Hong Kong ("SFC"), and the Monetary Authority of Singapore ("MAS").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regulatory net capital balances and regulatory capital requirements applicable to the Company's foreign subsidiaries as of June 30, 2022 were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12"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Canada Corp</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12,865</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6"/>
                <w:szCs w:val="16"/>
                <w:color w:val="auto"/>
              </w:rPr>
            </w:pPr>
          </w:p>
        </w:tc>
        <w:tc>
          <w:tcPr>
            <w:tcW w:w="64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12,671</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Canada ULC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Europe Limited (1)</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29,266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95,786</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Financial Ireland Limited (1)</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44,142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43,939</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UK Limited (1)</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13,168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19,524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3,788</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Singapore Pte. Ltd.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62,129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73,152</w:t>
            </w:r>
          </w:p>
        </w:tc>
        <w:tc>
          <w:tcPr>
            <w:tcW w:w="0" w:type="dxa"/>
            <w:vAlign w:val="bottom"/>
          </w:tcPr>
          <w:p>
            <w:pPr>
              <w:spacing w:after="0"/>
              <w:rPr>
                <w:sz w:val="1"/>
                <w:szCs w:val="1"/>
                <w:color w:val="auto"/>
              </w:rPr>
            </w:pPr>
          </w:p>
        </w:tc>
      </w:tr>
      <w:tr>
        <w:trPr>
          <w:trHeight w:val="159"/>
        </w:trPr>
        <w:tc>
          <w:tcPr>
            <w:tcW w:w="570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(1) Preliminary</w:t>
            </w: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right="280" w:firstLine="629"/>
        <w:spacing w:after="0" w:line="276" w:lineRule="auto"/>
        <w:rPr>
          <w:sz w:val="20"/>
          <w:szCs w:val="20"/>
          <w:color w:val="auto"/>
        </w:rPr>
      </w:pPr>
      <w:r>
        <w:rPr>
          <w:rFonts w:ascii="Times New Roman" w:cs="Times New Roman" w:eastAsia="Times New Roman" w:hAnsi="Times New Roman"/>
          <w:sz w:val="17"/>
          <w:szCs w:val="17"/>
          <w:color w:val="auto"/>
        </w:rPr>
        <w:t>As of June 30, 2022, Virtu ITG Europe Limited and Virtu ITG Canada Corp had $0.2 million and $0.4 million, respectively, of segregated funds on deposit for trade clearing and settlement activity, and Virtu ITG Hong Kong Ltd. had $30 thousand of segregated balances under a collateral account control agreement for the benefit of certain customers.</w:t>
      </w:r>
    </w:p>
    <w:p>
      <w:pPr>
        <w:spacing w:after="0" w:line="190"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The regulatory net capital balances and regulatory capital requirements applicable to the Company's foreign subsidiaries as of December 31, 2021 were as follows:</w:t>
      </w:r>
    </w:p>
    <w:tbl>
      <w:tblPr>
        <w:tblLayout w:type="fixed"/>
        <w:tblInd w:w="180" w:type="dxa"/>
        <w:tblCellMar>
          <w:top w:w="0" w:type="dxa"/>
          <w:left w:w="0" w:type="dxa"/>
          <w:bottom w:w="0" w:type="dxa"/>
          <w:right w:w="0" w:type="dxa"/>
        </w:tblCellMar>
      </w:tblPr>
      <w:tr>
        <w:trPr>
          <w:trHeight w:val="145"/>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Canada Corp</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15,482</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6"/>
                <w:szCs w:val="16"/>
                <w:color w:val="auto"/>
              </w:rPr>
            </w:pPr>
          </w:p>
        </w:tc>
        <w:tc>
          <w:tcPr>
            <w:tcW w:w="64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Canada ULC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Europe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39,756</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Financial Ireland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47,872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59,421</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UK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25,022</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w:t>
            </w:r>
          </w:p>
        </w:tc>
        <w:tc>
          <w:tcPr>
            <w:tcW w:w="0" w:type="dxa"/>
            <w:vAlign w:val="bottom"/>
          </w:tcPr>
          <w:p>
            <w:pPr>
              <w:spacing w:after="0"/>
              <w:rPr>
                <w:sz w:val="1"/>
                <w:szCs w:val="1"/>
                <w:color w:val="auto"/>
              </w:rPr>
            </w:pPr>
          </w:p>
        </w:tc>
      </w:tr>
      <w:tr>
        <w:trPr>
          <w:trHeight w:val="182"/>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both"/>
        <w:ind w:right="100" w:firstLine="629"/>
        <w:spacing w:after="0" w:line="276" w:lineRule="auto"/>
        <w:rPr>
          <w:sz w:val="20"/>
          <w:szCs w:val="20"/>
          <w:color w:val="auto"/>
        </w:rPr>
      </w:pPr>
      <w:r>
        <w:rPr>
          <w:rFonts w:ascii="Times New Roman" w:cs="Times New Roman" w:eastAsia="Times New Roman" w:hAnsi="Times New Roman"/>
          <w:sz w:val="17"/>
          <w:szCs w:val="17"/>
          <w:color w:val="auto"/>
        </w:rPr>
        <w:t>As of December 31, 2021, Virtu ITG Europe Limited and Virtu ITG Canada Corp had $0.1 million and $0.4 million, respectively, of funds on deposit for trade clearing and settlement activity, and Virtu ITG Hong Kong Ltd had $30 thousand of segregated balances under a collateral account control agreement for the benefit of certain customers.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20. Geographic Information and Business Segments</w:t>
      </w:r>
    </w:p>
    <w:p>
      <w:pPr>
        <w:spacing w:after="0" w:line="252" w:lineRule="exact"/>
        <w:rPr>
          <w:sz w:val="20"/>
          <w:szCs w:val="20"/>
          <w:color w:val="auto"/>
        </w:rPr>
      </w:pPr>
    </w:p>
    <w:p>
      <w:pPr>
        <w:ind w:right="40" w:firstLine="629"/>
        <w:spacing w:after="0" w:line="264" w:lineRule="auto"/>
        <w:rPr>
          <w:sz w:val="20"/>
          <w:szCs w:val="20"/>
          <w:color w:val="auto"/>
        </w:rPr>
      </w:pPr>
      <w:r>
        <w:rPr>
          <w:rFonts w:ascii="Times New Roman" w:cs="Times New Roman" w:eastAsia="Times New Roman" w:hAnsi="Times New Roman"/>
          <w:sz w:val="17"/>
          <w:szCs w:val="17"/>
          <w:color w:val="auto"/>
        </w:rPr>
        <w:t>The Company operates its business in the U.S. and internationally, primarily in Europe, Asia and Canada.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and six months ended June 30, 2022, and 2021</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46"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40" w:type="dxa"/>
            <w:vAlign w:val="bottom"/>
            <w:gridSpan w:val="4"/>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4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485,744</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429,588</w:t>
            </w:r>
          </w:p>
        </w:tc>
        <w:tc>
          <w:tcPr>
            <w:tcW w:w="16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1,035,193</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1,245,641</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58,072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66,106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187,475</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29,420</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77,320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72,268</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Canada</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12,938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29,968</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9,218</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21,885</w:t>
            </w:r>
          </w:p>
        </w:tc>
        <w:tc>
          <w:tcPr>
            <w:tcW w:w="0" w:type="dxa"/>
            <w:vAlign w:val="bottom"/>
          </w:tcPr>
          <w:p>
            <w:pPr>
              <w:spacing w:after="0"/>
              <w:rPr>
                <w:sz w:val="1"/>
                <w:szCs w:val="1"/>
                <w:color w:val="auto"/>
              </w:rPr>
            </w:pPr>
          </w:p>
        </w:tc>
      </w:tr>
      <w:tr>
        <w:trPr>
          <w:trHeight w:val="197"/>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1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4,300</w:t>
            </w:r>
          </w:p>
        </w:tc>
        <w:tc>
          <w:tcPr>
            <w:tcW w:w="0" w:type="dxa"/>
            <w:vAlign w:val="bottom"/>
          </w:tcPr>
          <w:p>
            <w:pPr>
              <w:spacing w:after="0"/>
              <w:rPr>
                <w:sz w:val="1"/>
                <w:szCs w:val="1"/>
                <w:color w:val="auto"/>
              </w:rPr>
            </w:pPr>
          </w:p>
        </w:tc>
      </w:tr>
      <w:tr>
        <w:trPr>
          <w:trHeight w:val="19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604,738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548,965</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1,306,000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1,561,537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w:t>
      </w:r>
    </w:p>
    <w:p>
      <w:pPr>
        <w:spacing w:after="0" w:line="250"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The Market Making segment principally consists of market making in the cash, futures and options markets across global equities,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198"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spacing w:after="0" w:line="209"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73" w:lineRule="exact"/>
        <w:rPr>
          <w:sz w:val="20"/>
          <w:szCs w:val="20"/>
          <w:color w:val="auto"/>
        </w:rPr>
      </w:pPr>
    </w:p>
    <w:p>
      <w:pPr>
        <w:ind w:right="160" w:firstLine="629"/>
        <w:spacing w:after="0" w:line="276" w:lineRule="auto"/>
        <w:rPr>
          <w:sz w:val="20"/>
          <w:szCs w:val="20"/>
          <w:color w:val="auto"/>
        </w:rPr>
      </w:pPr>
      <w:r>
        <w:rPr>
          <w:rFonts w:ascii="Times New Roman" w:cs="Times New Roman" w:eastAsia="Times New Roman" w:hAnsi="Times New Roman"/>
          <w:sz w:val="17"/>
          <w:szCs w:val="17"/>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June 30, 2022 and 2021 and are summarized in the following table:</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971" w:right="3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200" w:type="dxa"/>
            <w:vAlign w:val="bottom"/>
          </w:tcPr>
          <w:p>
            <w:pPr>
              <w:spacing w:after="0"/>
              <w:rPr>
                <w:sz w:val="13"/>
                <w:szCs w:val="13"/>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Execution</w:t>
            </w:r>
          </w:p>
        </w:tc>
        <w:tc>
          <w:tcPr>
            <w:tcW w:w="20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3"/>
                <w:szCs w:val="13"/>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0"/>
        </w:trPr>
        <w:tc>
          <w:tcPr>
            <w:tcW w:w="6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Making</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432,595</w:t>
            </w:r>
          </w:p>
        </w:tc>
        <w:tc>
          <w:tcPr>
            <w:tcW w:w="10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130,997</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604,738</w:t>
            </w:r>
          </w:p>
        </w:tc>
        <w:tc>
          <w:tcPr>
            <w:tcW w:w="0" w:type="dxa"/>
            <w:vAlign w:val="bottom"/>
          </w:tcPr>
          <w:p>
            <w:pPr>
              <w:spacing w:after="0"/>
              <w:rPr>
                <w:sz w:val="1"/>
                <w:szCs w:val="1"/>
                <w:color w:val="auto"/>
              </w:rPr>
            </w:pPr>
          </w:p>
        </w:tc>
      </w:tr>
      <w:tr>
        <w:trPr>
          <w:trHeight w:val="204"/>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173,784</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402,541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548,965</w:t>
            </w:r>
          </w:p>
        </w:tc>
        <w:tc>
          <w:tcPr>
            <w:tcW w:w="0" w:type="dxa"/>
            <w:vAlign w:val="bottom"/>
          </w:tcPr>
          <w:p>
            <w:pPr>
              <w:spacing w:after="0"/>
              <w:rPr>
                <w:sz w:val="1"/>
                <w:szCs w:val="1"/>
                <w:color w:val="auto"/>
              </w:rPr>
            </w:pPr>
          </w:p>
        </w:tc>
      </w:tr>
      <w:tr>
        <w:trPr>
          <w:trHeight w:val="204"/>
        </w:trPr>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135,002</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Company's Pre-tax earnings by segment for the six months ended June 30, 2022, and 2021 are summarized in the following table:</w:t>
      </w:r>
    </w:p>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Consolidated Total</w:t>
            </w:r>
          </w:p>
        </w:tc>
      </w:tr>
      <w:tr>
        <w:trPr>
          <w:trHeight w:val="23"/>
        </w:trPr>
        <w:tc>
          <w:tcPr>
            <w:tcW w:w="46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979,158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282,742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1,306,000</w:t>
            </w:r>
          </w:p>
        </w:tc>
      </w:tr>
      <w:tr>
        <w:trPr>
          <w:trHeight w:val="189"/>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1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349,668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42,813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415,494</w:t>
            </w:r>
          </w:p>
        </w:tc>
      </w:tr>
      <w:tr>
        <w:trPr>
          <w:trHeight w:val="217"/>
        </w:trPr>
        <w:tc>
          <w:tcPr>
            <w:tcW w:w="4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0"/>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1,226,265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327,369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1,561,537</w:t>
            </w:r>
          </w:p>
        </w:tc>
      </w:tr>
      <w:tr>
        <w:trPr>
          <w:trHeight w:val="182"/>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1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577,848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44,409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624,789</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Related Party Transactions</w:t>
      </w:r>
    </w:p>
    <w:p>
      <w:pPr>
        <w:spacing w:after="0" w:line="252" w:lineRule="exact"/>
        <w:rPr>
          <w:sz w:val="20"/>
          <w:szCs w:val="20"/>
          <w:color w:val="auto"/>
        </w:rPr>
      </w:pPr>
    </w:p>
    <w:p>
      <w:pPr>
        <w:ind w:right="340" w:firstLine="629"/>
        <w:spacing w:after="0" w:line="296" w:lineRule="auto"/>
        <w:rPr>
          <w:sz w:val="20"/>
          <w:szCs w:val="20"/>
          <w:color w:val="auto"/>
        </w:rPr>
      </w:pPr>
      <w:r>
        <w:rPr>
          <w:rFonts w:ascii="Times New Roman" w:cs="Times New Roman" w:eastAsia="Times New Roman" w:hAnsi="Times New Roman"/>
          <w:sz w:val="17"/>
          <w:szCs w:val="17"/>
          <w:color w:val="auto"/>
        </w:rPr>
        <w:t>The Company incurs expenses and maintains balances with its affiliates in the ordinary course of business. As of June 30, 2022, and December 31, 2021 the Company had net receivables from its affiliates of $7.5 million and $2.2 million, respectively.</w:t>
      </w:r>
    </w:p>
    <w:p>
      <w:pPr>
        <w:spacing w:after="0" w:line="173" w:lineRule="exact"/>
        <w:rPr>
          <w:sz w:val="20"/>
          <w:szCs w:val="20"/>
          <w:color w:val="auto"/>
        </w:rPr>
      </w:pPr>
    </w:p>
    <w:p>
      <w:pPr>
        <w:jc w:val="both"/>
        <w:ind w:right="40" w:firstLine="629"/>
        <w:spacing w:after="0" w:line="276" w:lineRule="auto"/>
        <w:rPr>
          <w:sz w:val="20"/>
          <w:szCs w:val="20"/>
          <w:color w:val="auto"/>
        </w:rPr>
      </w:pPr>
      <w:r>
        <w:rPr>
          <w:rFonts w:ascii="Times New Roman" w:cs="Times New Roman" w:eastAsia="Times New Roman" w:hAnsi="Times New Roman"/>
          <w:sz w:val="17"/>
          <w:szCs w:val="17"/>
          <w:color w:val="auto"/>
        </w:rPr>
        <w:t>The Company has held a minority interest in JNX since 2016 (see Note 9 "Financial Assets and Liabilities"). The Company pays exchange fees to JNX for the trading activities conducted on its proprietary trading system. The Company paid $3.7 million and $3.4 million for the three months ended June 30, 2022 and 2021, respectively, $7.5 million and $6.3 million for the six months ended June 30, 2022 and 2021, respectively, to JNX for these trading activities.</w:t>
      </w:r>
    </w:p>
    <w:p>
      <w:pPr>
        <w:spacing w:after="0" w:line="190"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The Company pays monthly use fees to two JVs in which it holds interests (see Note 11 "Variable Interest Entities"). These monthly fees are for the use of microwave communication networks operated by each of these JVs and are recorded within Communications and data processing on the Condensed Consolidated Statements of Comprehensive Income. The Company made payments to these JVs of $5.5 million and $4.7 million for the three months ended June 30, 2022 and 2021, respectively, and $10.9 million and $9.3 million for the six months ended June 30, 2022 and 2021, respectively.</w:t>
      </w:r>
    </w:p>
    <w:p>
      <w:pPr>
        <w:spacing w:after="0" w:line="19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Company purchases network connections services from affiliates of Level 3 Communications (“Level 3”). Temasek and its affiliates have a significant ownership interest in Level 3. The Company made payments to Level 3 for these services of $0.2 million and $0.3 million for the three months ended June 30, 2022 and 2021, respectively, and $0.5 million and $0.7 million for the six months ended June 30, 2022 and 2021, respectively.</w:t>
      </w:r>
    </w:p>
    <w:p>
      <w:pPr>
        <w:spacing w:after="0" w:line="190" w:lineRule="exact"/>
        <w:rPr>
          <w:sz w:val="20"/>
          <w:szCs w:val="20"/>
          <w:color w:val="auto"/>
        </w:rPr>
      </w:pPr>
    </w:p>
    <w:p>
      <w:pPr>
        <w:ind w:right="320" w:firstLine="629"/>
        <w:spacing w:after="0" w:line="296" w:lineRule="auto"/>
        <w:rPr>
          <w:sz w:val="20"/>
          <w:szCs w:val="20"/>
          <w:color w:val="auto"/>
        </w:rPr>
      </w:pPr>
      <w:r>
        <w:rPr>
          <w:rFonts w:ascii="Times New Roman" w:cs="Times New Roman" w:eastAsia="Times New Roman" w:hAnsi="Times New Roman"/>
          <w:sz w:val="17"/>
          <w:szCs w:val="17"/>
          <w:color w:val="auto"/>
        </w:rPr>
        <w:t>The Company makes commission-sharing arrangement ("CSA") payments to affiliates of DBS Group Holdings ("DBS"). Temasek and its affiliates have a significant ownership interest in DBS. Payments made for the three and six months ended June 30, 2022 and 2021 were immaterial.</w:t>
      </w:r>
    </w:p>
    <w:p>
      <w:pPr>
        <w:spacing w:after="0" w:line="173"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The Company has an interest in Members Exchange, a member-owned equities exchange. The Company pays regulatory and transaction fees and receives rebates from trading activities. The Company received rebates of $6.2 million and made payments of $0.1 million for the three months ended June 30, 2022 and 2021, respectively, and received rebates of $12.8 million and $0.7 million for the six months ended June 30, 2022 and 2021, respectively.</w:t>
      </w:r>
    </w:p>
    <w:p>
      <w:pPr>
        <w:spacing w:after="0" w:line="190" w:lineRule="exact"/>
        <w:rPr>
          <w:sz w:val="20"/>
          <w:szCs w:val="20"/>
          <w:color w:val="auto"/>
        </w:rPr>
      </w:pPr>
    </w:p>
    <w:p>
      <w:pPr>
        <w:ind w:right="20" w:firstLine="629"/>
        <w:spacing w:after="0" w:line="276" w:lineRule="auto"/>
        <w:rPr>
          <w:sz w:val="20"/>
          <w:szCs w:val="20"/>
          <w:color w:val="auto"/>
        </w:rPr>
      </w:pPr>
      <w:r>
        <w:rPr>
          <w:rFonts w:ascii="Times New Roman" w:cs="Times New Roman" w:eastAsia="Times New Roman" w:hAnsi="Times New Roman"/>
          <w:sz w:val="17"/>
          <w:szCs w:val="17"/>
          <w:color w:val="auto"/>
        </w:rPr>
        <w:t>In the second quarter of 2022, the Company formed a JV to support the growth and expansion of a multi-asset request-for-quote communication platform. The Company consolidates this JV, and recorded noncontrolling interest of $39.2 million in the condensed consolidated statement of changes in equity as of June 30, 2022. Refer to Note 11 "Variable Interest Entities" for further details.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22. Subsequent Events</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90" w:lineRule="exact"/>
        <w:rPr>
          <w:sz w:val="20"/>
          <w:szCs w:val="20"/>
          <w:color w:val="auto"/>
        </w:rPr>
      </w:pPr>
    </w:p>
    <w:p>
      <w:pPr>
        <w:jc w:val="both"/>
        <w:ind w:right="100" w:firstLine="629"/>
        <w:spacing w:after="0" w:line="296" w:lineRule="auto"/>
        <w:rPr>
          <w:sz w:val="20"/>
          <w:szCs w:val="20"/>
          <w:color w:val="auto"/>
        </w:rPr>
      </w:pPr>
      <w:r>
        <w:rPr>
          <w:rFonts w:ascii="Times New Roman" w:cs="Times New Roman" w:eastAsia="Times New Roman" w:hAnsi="Times New Roman"/>
          <w:sz w:val="17"/>
          <w:szCs w:val="17"/>
          <w:color w:val="auto"/>
        </w:rPr>
        <w:t>On July 27, 2022, the Company’s Board of Directors declared a dividend of $0.24 per share of Class A Common Stock and Class B Common Stock and per participating Restricted Stock Unit and Restricted Stock Award that will be paid on September 15, 2022 to holders of record as of September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971"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8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i w:val="1"/>
          <w:iCs w:val="1"/>
          <w:color w:val="auto"/>
        </w:rPr>
        <w:t>The following management’s discussion and analysis covers the three and six months ended June 30, 2022 and 2021 and should be read in conjunction with the condensed consolidated financial statements of Virtu Financial, Inc. (the Company") for the period ended June 30, 2022, which are in Part 1, Item 1 of this Quarterly Report on Form 10-Q, and the audited consolidated financial statements and accompanying notes and MD&amp;A for the year ended December 31, 2021, which are included in Items 8 and 7 respectively, of the Company's Annual Report on Form 10-K for the year ended December 31, 2021.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21"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our Annual Report on Form 10-K for the year ended December 31, 2021, as filed with the Securities and Exchange Commission ("SEC") on February 18, 2022 (the "2021 Form 10-K"),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2021 Form 10-K, could affect our actual financial results or results of operations and cash flows, and could cause actual results to differ materially from those in such forward-looking statements, including but not limited to:</w:t>
      </w:r>
    </w:p>
    <w:p>
      <w:pPr>
        <w:spacing w:after="0" w:line="83" w:lineRule="exact"/>
        <w:rPr>
          <w:sz w:val="20"/>
          <w:szCs w:val="20"/>
          <w:color w:val="auto"/>
        </w:rPr>
      </w:pPr>
    </w:p>
    <w:p>
      <w:pPr>
        <w:ind w:left="940" w:right="260" w:hanging="149"/>
        <w:spacing w:after="0" w:line="270"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continuing impacts of COVID-19 and the governmental and other responses thereto, including but not limited to the risk of employees and executives contracting COVID-19 and the deployment of our business continuity plan pursuant to which a significant number of our employees may work remotely and our return to office plan, each of which may increase operational risk, as well as increases in market, counterparty and other forms of operational risk;</w:t>
      </w:r>
    </w:p>
    <w:p>
      <w:pPr>
        <w:spacing w:after="0" w:line="63"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levels of overall trading activity;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upon trading counterparties and clearing houses performing their obligations to us;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of our customized trading platform;</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inherent to the electronic market making business and trading generally;</w:t>
      </w:r>
    </w:p>
    <w:p>
      <w:pPr>
        <w:spacing w:after="0" w:line="105" w:lineRule="exact"/>
        <w:rPr>
          <w:rFonts w:ascii="Times New Roman" w:cs="Times New Roman" w:eastAsia="Times New Roman" w:hAnsi="Times New Roman"/>
          <w:sz w:val="17"/>
          <w:szCs w:val="17"/>
          <w:color w:val="auto"/>
        </w:rPr>
      </w:pPr>
    </w:p>
    <w:p>
      <w:pPr>
        <w:ind w:left="940" w:right="140" w:hanging="149"/>
        <w:spacing w:after="0" w:line="253"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regulatory, congressional, and media scrutiny, including attention to electronic trading, wholesale market making and off-exchange trading, payment for order flow, and other market structure topics and both the impact of potential changes in regulation or law which could have an adverse effect on our business as well as the potential impact upon public perception of us or of companies in our industry;</w:t>
      </w:r>
    </w:p>
    <w:p>
      <w:pPr>
        <w:spacing w:after="0" w:line="2"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market making activities and execution services;</w:t>
      </w:r>
    </w:p>
    <w:p>
      <w:pPr>
        <w:spacing w:after="0" w:line="100"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continued access to sources of liquidity;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self-clearing and other operational elements of our business, including but limited to risks related to funding and liquidity;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applicable regulatory capital requirements;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legal and regulatory-based liabilities;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7" w:name="page48"/>
    <w:bookmarkEnd w:id="47"/>
    <w:p>
      <w:pPr>
        <w:jc w:val="both"/>
        <w:ind w:left="940" w:right="380" w:hanging="149"/>
        <w:spacing w:after="0" w:line="276"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laws and regulations applicable to our operations in the U.S. and abroad;</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need to maintain and continue developing proprietary technologies;</w:t>
      </w:r>
    </w:p>
    <w:p>
      <w:pPr>
        <w:spacing w:after="0" w:line="118" w:lineRule="exact"/>
        <w:rPr>
          <w:rFonts w:ascii="Times New Roman" w:cs="Times New Roman" w:eastAsia="Times New Roman" w:hAnsi="Times New Roman"/>
          <w:sz w:val="17"/>
          <w:szCs w:val="17"/>
          <w:color w:val="auto"/>
        </w:rPr>
      </w:pPr>
    </w:p>
    <w:p>
      <w:pPr>
        <w:ind w:left="940" w:right="340" w:hanging="149"/>
        <w:spacing w:after="0" w:line="296"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Acquisition of KCG and the ITG Acquisition (each as defined below) on ongoing business operations generally, including the assumption of potential liabilities and risks relating to these historical acquisitions;</w:t>
      </w:r>
    </w:p>
    <w:p>
      <w:pPr>
        <w:spacing w:after="0" w:line="41"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capacity constraints, system failures, and delays;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third-party infrastructure or systems;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open source software;</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or enforce our intellectual property rights in our proprietary technology;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confidential and proprietary information;</w:t>
      </w:r>
    </w:p>
    <w:p>
      <w:pPr>
        <w:spacing w:after="0" w:line="118" w:lineRule="exact"/>
        <w:rPr>
          <w:rFonts w:ascii="Times New Roman" w:cs="Times New Roman" w:eastAsia="Times New Roman" w:hAnsi="Times New Roman"/>
          <w:sz w:val="17"/>
          <w:szCs w:val="17"/>
          <w:color w:val="auto"/>
        </w:rPr>
      </w:pPr>
    </w:p>
    <w:p>
      <w:pPr>
        <w:ind w:left="940" w:right="260" w:hanging="149"/>
        <w:spacing w:after="0" w:line="296"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systems from internal or external cyber threats that could result in damage to our computer systems, business interruption, loss of data, monetary payment demands or other consequences;</w:t>
      </w:r>
    </w:p>
    <w:p>
      <w:pPr>
        <w:spacing w:after="0" w:line="41"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international operations and expansion, including failed acquisitions or dispositions;</w:t>
      </w:r>
    </w:p>
    <w:p>
      <w:pPr>
        <w:spacing w:after="0" w:line="118" w:lineRule="exact"/>
        <w:rPr>
          <w:rFonts w:ascii="Times New Roman" w:cs="Times New Roman" w:eastAsia="Times New Roman" w:hAnsi="Times New Roman"/>
          <w:sz w:val="17"/>
          <w:szCs w:val="17"/>
          <w:color w:val="auto"/>
        </w:rPr>
      </w:pPr>
    </w:p>
    <w:p>
      <w:pPr>
        <w:ind w:left="940" w:right="120" w:hanging="149"/>
        <w:spacing w:after="0" w:line="270" w:lineRule="auto"/>
        <w:tabs>
          <w:tab w:leader="none" w:pos="9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and changes in economic conditions (such as volatility in the financial markets, inflation, monetary conditions and foreign currency and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geopolitical conflicts, natural disasters, pandemics or extreme weather;</w:t>
      </w:r>
    </w:p>
    <w:p>
      <w:pPr>
        <w:spacing w:after="0" w:line="63"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potential growth and associated corporate actions;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access, or delay in accessing the capital markets to sell shares or raise additional capital;</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executives and failure to recruit and retain qualified personnel; and</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losing access to a significant exchange or other trading venue.</w:t>
      </w:r>
    </w:p>
    <w:p>
      <w:pPr>
        <w:spacing w:after="0" w:line="250"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194" w:lineRule="exact"/>
        <w:rPr>
          <w:sz w:val="20"/>
          <w:szCs w:val="20"/>
          <w:color w:val="auto"/>
        </w:rPr>
      </w:pPr>
    </w:p>
    <w:p>
      <w:pPr>
        <w:ind w:right="240" w:firstLine="629"/>
        <w:spacing w:after="0" w:line="276" w:lineRule="auto"/>
        <w:rPr>
          <w:sz w:val="20"/>
          <w:szCs w:val="20"/>
          <w:color w:val="auto"/>
        </w:rPr>
      </w:pPr>
      <w:r>
        <w:rPr>
          <w:rFonts w:ascii="Times New Roman" w:cs="Times New Roman" w:eastAsia="Times New Roman" w:hAnsi="Times New Roman"/>
          <w:sz w:val="17"/>
          <w:szCs w:val="17"/>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48" w:name="page49"/>
    <w:bookmarkEnd w:id="48"/>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spacing w:after="0" w:line="196" w:lineRule="exact"/>
        <w:rPr>
          <w:sz w:val="20"/>
          <w:szCs w:val="20"/>
          <w:color w:val="auto"/>
        </w:rPr>
      </w:pPr>
    </w:p>
    <w:p>
      <w:pPr>
        <w:ind w:right="20" w:firstLine="629"/>
        <w:spacing w:after="0" w:line="274" w:lineRule="auto"/>
        <w:rPr>
          <w:sz w:val="20"/>
          <w:szCs w:val="20"/>
          <w:color w:val="auto"/>
        </w:rPr>
      </w:pPr>
      <w:r>
        <w:rPr>
          <w:rFonts w:ascii="Times New Roman" w:cs="Times New Roman" w:eastAsia="Times New Roman" w:hAnsi="Times New Roman"/>
          <w:sz w:val="17"/>
          <w:szCs w:val="17"/>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200" w:lineRule="exact"/>
        <w:rPr>
          <w:sz w:val="20"/>
          <w:szCs w:val="20"/>
          <w:color w:val="auto"/>
        </w:rPr>
      </w:pPr>
    </w:p>
    <w:p>
      <w:pPr>
        <w:spacing w:after="0" w:line="205"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94"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Making</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203" w:lineRule="exact"/>
        <w:rPr>
          <w:sz w:val="20"/>
          <w:szCs w:val="20"/>
          <w:color w:val="auto"/>
        </w:rPr>
      </w:pPr>
    </w:p>
    <w:p>
      <w:pPr>
        <w:ind w:right="300" w:firstLine="629"/>
        <w:spacing w:after="0" w:line="276" w:lineRule="auto"/>
        <w:rPr>
          <w:sz w:val="20"/>
          <w:szCs w:val="20"/>
          <w:color w:val="auto"/>
        </w:rPr>
      </w:pPr>
      <w:r>
        <w:rPr>
          <w:rFonts w:ascii="Times New Roman" w:cs="Times New Roman" w:eastAsia="Times New Roman" w:hAnsi="Times New Roman"/>
          <w:sz w:val="17"/>
          <w:szCs w:val="17"/>
          <w:color w:val="auto"/>
        </w:rPr>
        <w:t>We believe the overall level of volumes and realized volatility in the various markets we serve have the greatest impact on our market making businesses. Increases in market volatility can cause bid/ask spreads to widen as market participants are more willing to pay market makers like us to transact immediately and as a result, market makers' capture rate per notional amount transacted increases.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Execution Services</w:t>
      </w:r>
    </w:p>
    <w:p>
      <w:pPr>
        <w:spacing w:after="0" w:line="254"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w:t>
      </w:r>
    </w:p>
    <w:p>
      <w:pPr>
        <w:spacing w:after="0" w:line="254" w:lineRule="exact"/>
        <w:rPr>
          <w:sz w:val="20"/>
          <w:szCs w:val="20"/>
          <w:color w:val="auto"/>
        </w:rPr>
      </w:pPr>
    </w:p>
    <w:p>
      <w:pPr>
        <w:ind w:right="600" w:firstLine="629"/>
        <w:spacing w:after="0" w:line="296" w:lineRule="auto"/>
        <w:rPr>
          <w:sz w:val="20"/>
          <w:szCs w:val="20"/>
          <w:color w:val="auto"/>
        </w:rPr>
      </w:pPr>
      <w:r>
        <w:rPr>
          <w:rFonts w:ascii="Times New Roman" w:cs="Times New Roman" w:eastAsia="Times New Roman" w:hAnsi="Times New Roman"/>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Acquisition of ITG</w:t>
      </w:r>
    </w:p>
    <w:p>
      <w:pPr>
        <w:spacing w:after="0" w:line="252"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On March 1, 2019, the "ITG Closing Date", we announced the completion of Investment Technology Group, Inc. and its subsidiaries ("ITG") in an all-cash transaction (the "ITG Acquisition"). In connection with the ITG Acquisition, Virtu Financial, VFH Parent LLC, a Delaware limited liability company and a subsidiary of Virtu Financial ("VFH"), and Impala Borrower LLC (the "Acquisition Borrower"), a subsidiary of the Company, entered into the Credit Agreement, with the lenders party thereto, Jefferies Finance LLC, as administrative agent and Jefferies Finance LLC and RBC Capital Markets, as joint lead arrangers and joint bookrunners (the "Acquisition Credit Agreement"). The Acquisition Credit Agreement provided (i) a senior secured first lien term loan (together with the Acquisition Incremental Term Loans, as defined below; the "Acquisition First Lien Term Loan Facility") in an aggregate principal amount of $1,500.0 million, drawn in its entirety on the ITG Closing Date, of which approximately $404.5 million was borrowed by VFH to repay all amounts outstanding under a previous term loan facility and the remaining approximately $1,095.0 million borrowed by the Acquisition Borrower to finance the consideration and fees and expenses paid in connection with the ITG Acquisition, and (ii) a $50.0 million senior secured first lien revolving facility to VFH (the "Acquisition First Lien Revolving Facility"), with a $5.0 million letter of credit subfacility and a $5.0 million swingline subfacility. After the ITG Closing Date, VFH assumed the obligations of the Acquisition Borrower in respect of the acquisition term loans. On October 9, 2019, VFH entered into an amendment (“Amendment No. 1”), which amended the Acquisition Credit Agreement dated as of March 1, 2019, to, among other things, provide for $525.0 million in aggregate principal amount of incremental term loans (the “Acquisition Incremental Term Loans”), and amend the related collateral agreement. On March 2, 2020, VFH entered into a second amendment (“Amendment No. 2”), which further amended the Acquisition Credit Agreement to, among other things, reduce the interest rate spread over adjusted LIBOR or the alternate base rate by 0.50% per annum and eliminated any step-down in the spread based on VFH's first lien leverage ratio.</w:t>
      </w:r>
    </w:p>
    <w:p>
      <w:pPr>
        <w:spacing w:after="0" w:line="190" w:lineRule="exact"/>
        <w:rPr>
          <w:sz w:val="20"/>
          <w:szCs w:val="20"/>
          <w:color w:val="auto"/>
        </w:rPr>
      </w:pPr>
    </w:p>
    <w:p>
      <w:pPr>
        <w:ind w:right="340" w:firstLine="629"/>
        <w:spacing w:after="0" w:line="257" w:lineRule="auto"/>
        <w:rPr>
          <w:sz w:val="20"/>
          <w:szCs w:val="20"/>
          <w:color w:val="auto"/>
        </w:rPr>
      </w:pPr>
      <w:r>
        <w:rPr>
          <w:rFonts w:ascii="Times New Roman" w:cs="Times New Roman" w:eastAsia="Times New Roman" w:hAnsi="Times New Roman"/>
          <w:sz w:val="17"/>
          <w:szCs w:val="17"/>
          <w:color w:val="auto"/>
        </w:rPr>
        <w:t>On January 13, 2022 (the "Credit Agreement Closing Date"), VFH and Virtu Financial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w:t>
      </w:r>
    </w:p>
    <w:p>
      <w:pPr>
        <w:spacing w:after="0" w:line="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7"/>
          <w:szCs w:val="17"/>
          <w:color w:val="auto"/>
        </w:rPr>
        <w:t>Agreement”). The Credit Agreement provides (i) a senior secured first lien 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2015 Management Incentive Plan</w:t>
      </w:r>
    </w:p>
    <w:p>
      <w:pPr>
        <w:spacing w:after="0" w:line="239"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shares of Class A Common Stock to an aggregate of 21,000,000 shares of Class A Common Stock and the amendment was approved by the Company’s shareholders at the Company’s annual meeting of shareholders on June 5, 2020. On April 22, 2022, the Company’s Board of Directors adopted another amendment to the Company’s Amended and Restated</w:t>
      </w:r>
    </w:p>
    <w:p>
      <w:pPr>
        <w:spacing w:after="0" w:line="5"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7"/>
          <w:szCs w:val="17"/>
          <w:color w:val="auto"/>
        </w:rPr>
        <w:t>2015 Management Incentive Plan in order to increase the number of shares of the Company’s Class A Common Stock reserved for issuance, and in respect of which awards may be granted under the Amended and Restated 2015 Plan from 21,000,000 shares of Class A Common Stock to an aggregate of 26,000,000 shares of Class A Common Stock and the amendment was approved by the Company’s shareholders at the Company’s annual meeting of shareholders on June 2, 2022.</w:t>
      </w:r>
    </w:p>
    <w:p>
      <w:pPr>
        <w:spacing w:after="0" w:line="220"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In connection with the IPO, non-qualified stock options to purchase 9,228,000 shares were granted at the IPO per share price, each of which vests in equal annual installments over a period of four years from the grant date and expires not later than 10 years from the grant date. Subsequent to the IPO and through June 30, 2022, options to purchase 1,633,750 shares in the aggregate were forfeited and 6,072,474 options were exercised. The fair value of the stock option grants was determined through the application of the Black-Scholes-Merton model and was recognized on a straight-line basis over the vesting period. In connection with and subsequent to the IPO, 1,677,318 shares of immediately vested Class A Common Stock and 2,620,051 restricted stock units were granted, which vest over a period of up to 4 years and are settled in shares of Class A Common Stock. The fair value of the Class A Common Stock and restricted stock units was determined based on the volume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50" w:name="page51"/>
    <w:bookmarkEnd w:id="50"/>
    <w:p>
      <w:pPr>
        <w:ind w:right="60"/>
        <w:spacing w:after="0" w:line="296" w:lineRule="auto"/>
        <w:rPr>
          <w:sz w:val="20"/>
          <w:szCs w:val="20"/>
          <w:color w:val="auto"/>
        </w:rPr>
      </w:pPr>
      <w:r>
        <w:rPr>
          <w:rFonts w:ascii="Times New Roman" w:cs="Times New Roman" w:eastAsia="Times New Roman" w:hAnsi="Times New Roman"/>
          <w:sz w:val="17"/>
          <w:szCs w:val="17"/>
          <w:color w:val="auto"/>
        </w:rPr>
        <w:t>weighted average price for the three days preceding the grant, and with respect to the restricted stock units is recognized on a straight-line basis over the vesting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Amended and Restated Investment Technology Group, Inc. 2007 Omnibus Equity Compensation Plan</w:t>
      </w:r>
    </w:p>
    <w:p>
      <w:pPr>
        <w:spacing w:after="0" w:line="252"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On the ITG Closing Date, the Company assumed the Amended and Restated ITG 2007 Omnibus Equity Compensation Plan, dated as of June 8, 2017 (the “Amended and Restated ITG 2007 Equity Plan”) and certain stock option awards, restricted stock unit awards, deferred stock unit awards and performance stock unit awards granted under the Amended and Restated ITG 2007 Equity Plan (the “Assumed Awards”). The Assumed Awards are subject to the same terms and conditions that were applicable to them under the Amended and Restated ITG 2007 Equity Plan, except that (i) the Assumed Awards relate to shares of the Company’s Class A Common Stock, (ii) the number of shares of Class A Common Stock subject to the Assumed Awards was the result of an adjustment based upon an Exchange Ratio (as defined in the Agreement and Plan of Merger by and between the Company, Impala Merger Sub, Inc., a Delaware corporation and an indirect wholly owned subsidiary of the Company, and ITG, dated as of November 6, 2018, the “ITG Merger Agreement”) and (iii) the performance share unit awards were converted into service-based vesting restricted stock unit awards that were no longer subject to any performance based vesting conditions. As of the ITG Closing Date, the aggregate number of shares of Class A Common Stock subject to such Assumed Awards was 2,497,028 and the aggregate number of shares of Class A Common Stock that remained issuable pursuant to the Amended and Restated ITG 2007 Equity Plan was 1,230,406. The Company filed a Registration Statement on Form S-8 on the ITG Closing Date to register such shares of Class A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Parent Company Financial Information</w:t>
      </w:r>
    </w:p>
    <w:p>
      <w:pPr>
        <w:spacing w:after="0" w:line="254"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There are no material differences between our condensed consolidated financial statements and the financial statements of Virtu Financial except as follows: (i) cash and cash equivalents reflected on our Condensed Consolidated Statements of Financial Condition as of June 30, 2022 in the amount of $13.2 million; (ii) deferred tax assets reflected on our Condensed Consolidated Statements of Financial Condition as of June 30, 2022 in the amount of $133.4 million and tax receivable agreement obligation in the amount of $237.9 million, in each case as described in greater detail in Note 4 "Tax Receivable Agreements" of Part I Item 1 “Financial Statements” of this Quarterly Report on Form 10-Q; (iii) a portion of the member's equity of Virtu Financial is represented as noncontrolling interest on our Condensed Consolidated Statements of Financial Condition as of June 30, 2022; and (iv) provision for corporate income tax in the amount of $13.7 million and $40.8 million reflected on our Condensed Consolidated Statements of Comprehensive Income for the three and six months ended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52" w:lineRule="exact"/>
        <w:rPr>
          <w:sz w:val="20"/>
          <w:szCs w:val="20"/>
          <w:color w:val="auto"/>
        </w:rPr>
      </w:pPr>
    </w:p>
    <w:p>
      <w:pPr>
        <w:ind w:right="54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shows our i) Total revenue, ii) Total operating expenses, and iii) Income before income taxes and noncontrolling interest by segment for the three and six months ended June 30, 2022, and 2021:</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26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56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432,595</w:t>
            </w:r>
          </w:p>
        </w:tc>
        <w:tc>
          <w:tcPr>
            <w:tcW w:w="100" w:type="dxa"/>
            <w:vAlign w:val="bottom"/>
          </w:tcPr>
          <w:p>
            <w:pPr>
              <w:spacing w:after="0"/>
              <w:rPr>
                <w:sz w:val="15"/>
                <w:szCs w:val="15"/>
                <w:color w:val="auto"/>
              </w:rPr>
            </w:pP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402,541</w:t>
            </w:r>
          </w:p>
        </w:tc>
        <w:tc>
          <w:tcPr>
            <w:tcW w:w="12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979,158</w:t>
            </w: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1,226,265</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307,149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277,970</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629,490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648,417</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124,571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349,668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577,848</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327,369</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123,110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134,072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259,729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282,960</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44,409</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7,903</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5,371</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40,451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6,373</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2,532</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604,738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548,965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1,561,537</w:t>
            </w:r>
          </w:p>
        </w:tc>
      </w:tr>
      <w:tr>
        <w:trPr>
          <w:trHeight w:val="197"/>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430,954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413,963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890,506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936,748</w:t>
            </w:r>
          </w:p>
        </w:tc>
      </w:tr>
      <w:tr>
        <w:trPr>
          <w:trHeight w:val="196"/>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173,784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135,002</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415,494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624,789</w:t>
            </w: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our results of operations for the three and six months ended June 30, 2022, and 2021:</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0"/>
        </w:trPr>
        <w:tc>
          <w:tcPr>
            <w:tcW w:w="5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395,928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384,832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918,235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1,197,576</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30,792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9,545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16,541</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136,340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143,115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334,764</w:t>
            </w: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41,678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11,473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44,966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12,656</w:t>
            </w:r>
          </w:p>
        </w:tc>
        <w:tc>
          <w:tcPr>
            <w:tcW w:w="0" w:type="dxa"/>
            <w:vAlign w:val="bottom"/>
          </w:tcPr>
          <w:p>
            <w:pPr>
              <w:spacing w:after="0"/>
              <w:rPr>
                <w:sz w:val="1"/>
                <w:szCs w:val="1"/>
                <w:color w:val="auto"/>
              </w:rPr>
            </w:pPr>
          </w:p>
        </w:tc>
      </w:tr>
      <w:tr>
        <w:trPr>
          <w:trHeight w:val="196"/>
        </w:trPr>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604,738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548,965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1,306,000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1,561,537</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156,986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170,691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307,366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430,023</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Communication and data processing</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55,699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52,507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104,197</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Employee compensation and payroll taxes</w:t>
            </w: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98,604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83,849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202,084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188,620</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48,716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24,971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48,999</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Operations and administrative</w:t>
            </w: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13,577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21,753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47,408</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16,334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16,349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33,127</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16,277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18,077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36,154</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3,667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4,888</w:t>
            </w:r>
          </w:p>
        </w:tc>
        <w:tc>
          <w:tcPr>
            <w:tcW w:w="0" w:type="dxa"/>
            <w:vAlign w:val="bottom"/>
          </w:tcPr>
          <w:p>
            <w:pPr>
              <w:spacing w:after="0"/>
              <w:rPr>
                <w:sz w:val="1"/>
                <w:szCs w:val="1"/>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1,989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3,744</w:t>
            </w:r>
          </w:p>
        </w:tc>
        <w:tc>
          <w:tcPr>
            <w:tcW w:w="0" w:type="dxa"/>
            <w:vAlign w:val="bottom"/>
          </w:tcPr>
          <w:p>
            <w:pPr>
              <w:spacing w:after="0"/>
              <w:rPr>
                <w:sz w:val="1"/>
                <w:szCs w:val="1"/>
                <w:color w:val="auto"/>
              </w:rPr>
            </w:pP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0"/>
        </w:trPr>
        <w:tc>
          <w:tcPr>
            <w:tcW w:w="52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22,089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20,113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39,605</w:t>
            </w:r>
          </w:p>
        </w:tc>
        <w:tc>
          <w:tcPr>
            <w:tcW w:w="0" w:type="dxa"/>
            <w:vAlign w:val="bottom"/>
          </w:tcPr>
          <w:p>
            <w:pPr>
              <w:spacing w:after="0"/>
              <w:rPr>
                <w:sz w:val="1"/>
                <w:szCs w:val="1"/>
                <w:color w:val="auto"/>
              </w:rPr>
            </w:pPr>
          </w:p>
        </w:tc>
      </w:tr>
      <w:tr>
        <w:trPr>
          <w:trHeight w:val="196"/>
        </w:trPr>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430,954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413,963</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890,506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936,748</w:t>
            </w:r>
          </w:p>
        </w:tc>
        <w:tc>
          <w:tcPr>
            <w:tcW w:w="0" w:type="dxa"/>
            <w:vAlign w:val="bottom"/>
          </w:tcPr>
          <w:p>
            <w:pPr>
              <w:spacing w:after="0"/>
              <w:rPr>
                <w:sz w:val="1"/>
                <w:szCs w:val="1"/>
                <w:color w:val="auto"/>
              </w:rPr>
            </w:pP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173,784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135,002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624,789</w:t>
            </w:r>
          </w:p>
        </w:tc>
        <w:tc>
          <w:tcPr>
            <w:tcW w:w="0" w:type="dxa"/>
            <w:vAlign w:val="bottom"/>
          </w:tcPr>
          <w:p>
            <w:pPr>
              <w:spacing w:after="0"/>
              <w:rPr>
                <w:sz w:val="1"/>
                <w:szCs w:val="1"/>
                <w:color w:val="auto"/>
              </w:rPr>
            </w:pPr>
          </w:p>
        </w:tc>
      </w:tr>
      <w:tr>
        <w:trPr>
          <w:trHeight w:val="197"/>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24,888</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26,095</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106,650</w:t>
            </w:r>
          </w:p>
        </w:tc>
        <w:tc>
          <w:tcPr>
            <w:tcW w:w="0" w:type="dxa"/>
            <w:vAlign w:val="bottom"/>
          </w:tcPr>
          <w:p>
            <w:pPr>
              <w:spacing w:after="0"/>
              <w:rPr>
                <w:sz w:val="1"/>
                <w:szCs w:val="1"/>
                <w:color w:val="auto"/>
              </w:rPr>
            </w:pPr>
          </w:p>
        </w:tc>
      </w:tr>
      <w:tr>
        <w:trPr>
          <w:trHeight w:val="196"/>
        </w:trPr>
        <w:tc>
          <w:tcPr>
            <w:tcW w:w="5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148,896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108,907</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348,820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518,139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20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86" w:lineRule="exact"/>
        <w:rPr>
          <w:sz w:val="20"/>
          <w:szCs w:val="20"/>
          <w:color w:val="auto"/>
        </w:rPr>
      </w:pPr>
    </w:p>
    <w:p>
      <w:pPr>
        <w:ind w:right="14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represents revenue earned from bid/ask spreads. Trading income is generated in the normal course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 making activities and is typically proportional to the level of trading activity, or volumes, and bid/ask spreads in the asset classes we serve. Our trading income is highly diversified by asset class and geography and comprises of small amounts earned on millions of trades on various exchanges. Our trading income, net, results from gains and losses associated with trading strategies, which are designed to capture small bid ask spreads, while hedging risks. Trading income, net, accounted for 70% and 77% of our total revenues for the six months ended June 30, 2022 and 2021, respectively.</w:t>
      </w:r>
    </w:p>
    <w:p>
      <w:pPr>
        <w:spacing w:after="0" w:line="192" w:lineRule="exact"/>
        <w:rPr>
          <w:sz w:val="20"/>
          <w:szCs w:val="20"/>
          <w:color w:val="auto"/>
        </w:rPr>
      </w:pPr>
    </w:p>
    <w:p>
      <w:pPr>
        <w:ind w:right="10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Our market making activities require us to hold securities on a regular basis, and we generate revenues in the form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88"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We earn revenues on transactions for which we charge explicit commissions or commission equivalents,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which include the majority of 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 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203" w:lineRule="exact"/>
        <w:rPr>
          <w:sz w:val="20"/>
          <w:szCs w:val="20"/>
          <w:color w:val="auto"/>
        </w:rPr>
      </w:pPr>
    </w:p>
    <w:p>
      <w:pPr>
        <w:ind w:right="460" w:firstLine="629"/>
        <w:spacing w:after="0" w:line="276" w:lineRule="auto"/>
        <w:rPr>
          <w:sz w:val="20"/>
          <w:szCs w:val="20"/>
          <w:color w:val="auto"/>
        </w:rPr>
      </w:pPr>
      <w:r>
        <w:rPr>
          <w:rFonts w:ascii="Times New Roman" w:cs="Times New Roman" w:eastAsia="Times New Roman" w:hAnsi="Times New Roman"/>
          <w:sz w:val="17"/>
          <w:szCs w:val="17"/>
          <w:color w:val="auto"/>
        </w:rPr>
        <w:t>Technology licensing fees are charged for the licensing of our proprietary technology and the provision of related services, including hosting, management and support. These fees include an up-front component and a recurring fee for the relevant terms, which may include both fixed and variable components. Revenue is recognized ratably for these services over the contractual term of the agreement.</w:t>
      </w:r>
    </w:p>
    <w:p>
      <w:pPr>
        <w:spacing w:after="0" w:line="186" w:lineRule="exact"/>
        <w:rPr>
          <w:sz w:val="20"/>
          <w:szCs w:val="20"/>
          <w:color w:val="auto"/>
        </w:rPr>
      </w:pPr>
    </w:p>
    <w:p>
      <w:pPr>
        <w:ind w:right="6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We have interests in multiple strategic investments and telecommunications joint ventures (“JVs”). We record our pro-rata share of each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JV’s earnings or losses within Other, net, while fees related to the use of communication services provided by the JVs are recorded within Communications and data processing.</w:t>
      </w:r>
    </w:p>
    <w:p>
      <w:pPr>
        <w:spacing w:after="0" w:line="174" w:lineRule="exact"/>
        <w:rPr>
          <w:sz w:val="20"/>
          <w:szCs w:val="20"/>
          <w:color w:val="auto"/>
        </w:rPr>
      </w:pPr>
    </w:p>
    <w:p>
      <w:pPr>
        <w:ind w:right="220" w:firstLine="629"/>
        <w:spacing w:after="0" w:line="260" w:lineRule="auto"/>
        <w:rPr>
          <w:sz w:val="20"/>
          <w:szCs w:val="20"/>
          <w:color w:val="auto"/>
        </w:rPr>
      </w:pPr>
      <w:r>
        <w:rPr>
          <w:rFonts w:ascii="Times New Roman" w:cs="Times New Roman" w:eastAsia="Times New Roman" w:hAnsi="Times New Roman"/>
          <w:sz w:val="17"/>
          <w:szCs w:val="17"/>
          <w:color w:val="auto"/>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spacing w:after="0" w:line="203" w:lineRule="exact"/>
        <w:rPr>
          <w:sz w:val="20"/>
          <w:szCs w:val="20"/>
          <w:color w:val="auto"/>
        </w:rPr>
      </w:pPr>
    </w:p>
    <w:p>
      <w:pPr>
        <w:ind w:right="280" w:firstLine="629"/>
        <w:spacing w:after="0" w:line="296" w:lineRule="auto"/>
        <w:rPr>
          <w:sz w:val="20"/>
          <w:szCs w:val="20"/>
          <w:color w:val="auto"/>
        </w:rPr>
      </w:pPr>
      <w:r>
        <w:rPr>
          <w:rFonts w:ascii="Times New Roman" w:cs="Times New Roman" w:eastAsia="Times New Roman" w:hAnsi="Times New Roman"/>
          <w:sz w:val="17"/>
          <w:szCs w:val="17"/>
          <w:color w:val="auto"/>
        </w:rPr>
        <w:t>Other, net can also include gains on sales of strategic investments and businesses, as well as revenues from service agreements related to the sale of businesses.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0"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are our most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198" w:lineRule="exact"/>
        <w:rPr>
          <w:sz w:val="20"/>
          <w:szCs w:val="20"/>
          <w:color w:val="auto"/>
        </w:rPr>
      </w:pPr>
    </w:p>
    <w:p>
      <w:pPr>
        <w:ind w:right="6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represent primarily fixed expenses for leased equipment, equipment co-location, network 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88" w:lineRule="exact"/>
        <w:rPr>
          <w:sz w:val="20"/>
          <w:szCs w:val="20"/>
          <w:color w:val="auto"/>
        </w:rPr>
      </w:pPr>
    </w:p>
    <w:p>
      <w:pPr>
        <w:ind w:right="14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include employee salaries, cash and non-cash incentive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employee benefits, payroll taxes, severance and other employee related costs. Employee compensation and payroll taxes also includes non-cash compensation expenses with respect to restricted stock units and restricted stock awards granted in connection with and subsequent to the IPO pursuant to the Amended and Restated 2015 Management Incentive Plan and Class A Common Stock underlying certain awards assumed pursuant to the Amended and Restated ITG 2007 Equity Plan.</w:t>
      </w:r>
    </w:p>
    <w:p>
      <w:pPr>
        <w:spacing w:after="0" w:line="192" w:lineRule="exact"/>
        <w:rPr>
          <w:sz w:val="20"/>
          <w:szCs w:val="20"/>
          <w:color w:val="auto"/>
        </w:rPr>
      </w:pPr>
    </w:p>
    <w:p>
      <w:pPr>
        <w:ind w:right="1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We incur interest expense from loaning certain equity securities in the general course of our market making activities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pursuant to collateralized lending transactions. Typically, dividend expense is incurred when a dividend is paid on securities sold short.</w:t>
      </w:r>
    </w:p>
    <w:p>
      <w:pPr>
        <w:spacing w:after="0" w:line="165" w:lineRule="exact"/>
        <w:rPr>
          <w:sz w:val="20"/>
          <w:szCs w:val="20"/>
          <w:color w:val="auto"/>
        </w:rPr>
      </w:pPr>
    </w:p>
    <w:p>
      <w:pPr>
        <w:ind w:right="16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represents occupancy, recruiting, travel and related expense, professional fees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expenses.</w:t>
      </w:r>
    </w:p>
    <w:p>
      <w:pPr>
        <w:spacing w:after="0" w:line="165" w:lineRule="exact"/>
        <w:rPr>
          <w:sz w:val="20"/>
          <w:szCs w:val="20"/>
          <w:color w:val="auto"/>
        </w:rPr>
      </w:pPr>
    </w:p>
    <w:p>
      <w:pPr>
        <w:ind w:right="80"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expense results from the depreciation of fixed assets, such as computing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193" w:lineRule="exact"/>
        <w:rPr>
          <w:sz w:val="20"/>
          <w:szCs w:val="20"/>
          <w:color w:val="auto"/>
        </w:rPr>
      </w:pPr>
    </w:p>
    <w:p>
      <w:pPr>
        <w:ind w:right="2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represents the amortization of finite lived intangible assets acquired in connection with the acquisition of certain assets from Nyenburgh Holding B.V., Teza Technologies, the Acquisition of KCG, and the ITG Acquisition. These assets are amortized over their useful lives, ranging from 1 to 15 years, except for certain assets which were categorized as having indefinite useful lives.</w:t>
      </w:r>
    </w:p>
    <w:p>
      <w:pPr>
        <w:spacing w:after="0" w:line="188" w:lineRule="exact"/>
        <w:rPr>
          <w:sz w:val="20"/>
          <w:szCs w:val="20"/>
          <w:color w:val="auto"/>
        </w:rPr>
      </w:pPr>
    </w:p>
    <w:p>
      <w:pPr>
        <w:ind w:right="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represents the write-off expense related to certain office space we ceased use of as part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effort to integrate and consolidate office space. The aggregate write-off amount includes the impairment of operating lease right-of-use assets, leasehold improvements and fixed assets, and dilapidation charges.</w:t>
      </w:r>
    </w:p>
    <w:p>
      <w:pPr>
        <w:spacing w:after="0" w:line="183" w:lineRule="exact"/>
        <w:rPr>
          <w:sz w:val="20"/>
          <w:szCs w:val="20"/>
          <w:color w:val="auto"/>
        </w:rPr>
      </w:pPr>
    </w:p>
    <w:p>
      <w:pPr>
        <w:jc w:val="both"/>
        <w:ind w:right="32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As a result of the refinancing or early termination of our long-term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borrowings, we accelerate the capitalized debt issue cost and the discount on the term loan that would otherwise be amortized or accreted over the life of the term loan. Premium paid in connection with retiring outstanding bonds, and commitment fees paid for lines of credit are also included in this category.</w:t>
      </w:r>
    </w:p>
    <w:p>
      <w:pPr>
        <w:spacing w:after="0" w:line="183" w:lineRule="exact"/>
        <w:rPr>
          <w:sz w:val="20"/>
          <w:szCs w:val="20"/>
          <w:color w:val="auto"/>
        </w:rPr>
      </w:pPr>
    </w:p>
    <w:p>
      <w:pPr>
        <w:ind w:right="1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primarily reflect professional fees incurred by us in connection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one or more acquisitions or dispositions.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4" w:name="page55"/>
    <w:bookmarkEnd w:id="54"/>
    <w:p>
      <w:pPr>
        <w:ind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long-term borrowings. </w:t>
      </w:r>
      <w:r>
        <w:rPr>
          <w:rFonts w:ascii="Times New Roman" w:cs="Times New Roman" w:eastAsia="Times New Roman" w:hAnsi="Times New Roman"/>
          <w:sz w:val="17"/>
          <w:szCs w:val="17"/>
          <w:color w:val="auto"/>
        </w:rPr>
        <w:t>Financing interest expense reflects interest accrued on outstanding indebtedness under our long-term borrowing arrangements.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(benefit from) income taxes</w:t>
      </w:r>
    </w:p>
    <w:p>
      <w:pPr>
        <w:spacing w:after="0" w:line="254" w:lineRule="exact"/>
        <w:rPr>
          <w:sz w:val="20"/>
          <w:szCs w:val="20"/>
          <w:color w:val="auto"/>
        </w:rPr>
      </w:pPr>
    </w:p>
    <w:p>
      <w:pPr>
        <w:ind w:right="980" w:firstLine="629"/>
        <w:spacing w:after="0" w:line="296" w:lineRule="auto"/>
        <w:rPr>
          <w:sz w:val="20"/>
          <w:szCs w:val="20"/>
          <w:color w:val="auto"/>
        </w:rPr>
      </w:pPr>
      <w:r>
        <w:rPr>
          <w:rFonts w:ascii="Times New Roman" w:cs="Times New Roman" w:eastAsia="Times New Roman" w:hAnsi="Times New Roman"/>
          <w:sz w:val="17"/>
          <w:szCs w:val="17"/>
          <w:color w:val="auto"/>
        </w:rPr>
        <w:t>We are subject to U.S. federal, state and local, and foreign income tax at the rate applicable to corporations less the rate attributable to the noncontrolling interest in Virtu Financial.</w:t>
      </w:r>
    </w:p>
    <w:p>
      <w:pPr>
        <w:spacing w:after="0" w:line="173" w:lineRule="exact"/>
        <w:rPr>
          <w:sz w:val="20"/>
          <w:szCs w:val="20"/>
          <w:color w:val="auto"/>
        </w:rPr>
      </w:pPr>
    </w:p>
    <w:p>
      <w:pPr>
        <w:jc w:val="both"/>
        <w:ind w:right="180" w:firstLine="629"/>
        <w:spacing w:after="0" w:line="264" w:lineRule="auto"/>
        <w:rPr>
          <w:sz w:val="20"/>
          <w:szCs w:val="20"/>
          <w:color w:val="auto"/>
        </w:rPr>
      </w:pPr>
      <w:r>
        <w:rPr>
          <w:rFonts w:ascii="Times New Roman" w:cs="Times New Roman" w:eastAsia="Times New Roman" w:hAnsi="Times New Roman"/>
          <w:sz w:val="17"/>
          <w:szCs w:val="17"/>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w:t>
      </w:r>
    </w:p>
    <w:p>
      <w:pPr>
        <w:spacing w:after="0" w:line="2"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91"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13 "Income Taxes" of Part I Item 1 “Financial Statements”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Non-GAAP Financial Measures and Other Items</w:t>
      </w:r>
    </w:p>
    <w:p>
      <w:pPr>
        <w:spacing w:after="0" w:line="252"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To supplement our condensed consolidated financial statements presented in accordance with generally accepted accounting principles in the United States (“U.S. GAAP”), we use the following non-U.S. GAAP (“Non-GAAP”) financial measures of financial performance:</w:t>
      </w:r>
    </w:p>
    <w:p>
      <w:pPr>
        <w:spacing w:after="0" w:line="173" w:lineRule="exact"/>
        <w:rPr>
          <w:sz w:val="20"/>
          <w:szCs w:val="20"/>
          <w:color w:val="auto"/>
        </w:rPr>
      </w:pPr>
    </w:p>
    <w:p>
      <w:pPr>
        <w:ind w:left="1020" w:right="20" w:hanging="229"/>
        <w:spacing w:after="0" w:line="262" w:lineRule="auto"/>
        <w:tabs>
          <w:tab w:leader="none" w:pos="10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including daily averages.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market making activities.</w:t>
      </w:r>
    </w:p>
    <w:p>
      <w:pPr>
        <w:spacing w:after="0" w:line="74" w:lineRule="exact"/>
        <w:rPr>
          <w:rFonts w:ascii="Times New Roman" w:cs="Times New Roman" w:eastAsia="Times New Roman" w:hAnsi="Times New Roman"/>
          <w:sz w:val="17"/>
          <w:szCs w:val="17"/>
          <w:color w:val="auto"/>
        </w:rPr>
      </w:pPr>
    </w:p>
    <w:p>
      <w:pPr>
        <w:ind w:left="1020" w:right="100" w:hanging="229"/>
        <w:spacing w:after="0" w:line="267" w:lineRule="auto"/>
        <w:tabs>
          <w:tab w:leader="none" w:pos="10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reserves for legal matters, transaction advisory fees and expenses, termination of office leases, charges related to share-based compensation and other expenses, which includes COVID-19 one-time costs and donations and Other, net.</w:t>
      </w:r>
    </w:p>
    <w:p>
      <w:pPr>
        <w:spacing w:after="0" w:line="65" w:lineRule="exact"/>
        <w:rPr>
          <w:rFonts w:ascii="Times New Roman" w:cs="Times New Roman" w:eastAsia="Times New Roman" w:hAnsi="Times New Roman"/>
          <w:sz w:val="17"/>
          <w:szCs w:val="17"/>
          <w:color w:val="auto"/>
        </w:rPr>
      </w:pPr>
    </w:p>
    <w:p>
      <w:pPr>
        <w:ind w:left="1020" w:right="340" w:hanging="229"/>
        <w:spacing w:after="0" w:line="270" w:lineRule="auto"/>
        <w:tabs>
          <w:tab w:leader="none" w:pos="10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“Normalized Adjusted Net Income”, “Normalized Adjusted Net Income before income taxes”, “Normalized provision for income taxes”, and “Normalized Adjusted EPS”, which we calculate by adjusting Net Income to exclude certain items including gains and losses from strategic investments and the sales of businesses, and other non-cash items, assuming that all vested and unvested Virtu Financial Units have been exchanged for Class A Common Stock, and applying an effective tax rate, which was approximately 24%.</w:t>
      </w:r>
    </w:p>
    <w:p>
      <w:pPr>
        <w:spacing w:after="0" w:line="63"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Margins, which are calculated by dividing net income, EBITDA, and Adjusted EBITDA by Adjusted Net Trading Income.</w:t>
      </w:r>
    </w:p>
    <w:p>
      <w:pPr>
        <w:spacing w:after="0" w:line="250"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207"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194" w:lineRule="exact"/>
        <w:rPr>
          <w:sz w:val="20"/>
          <w:szCs w:val="20"/>
          <w:color w:val="auto"/>
        </w:rPr>
      </w:pPr>
    </w:p>
    <w:p>
      <w:pPr>
        <w:ind w:left="1020" w:hanging="229"/>
        <w:spacing w:after="0"/>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every cash expenditure, future requirements for capital expenditures or contractual commitments;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56" w:name="page57"/>
    <w:bookmarkEnd w:id="56"/>
    <w:p>
      <w:pPr>
        <w:ind w:left="1020" w:right="380" w:hanging="229"/>
        <w:spacing w:after="0" w:line="296" w:lineRule="auto"/>
        <w:tabs>
          <w:tab w:leader="none" w:pos="10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EBITDA-based measures do not reflect the significant interest expense or the cash requirements necessary to service interest or principal payment on our debt;</w:t>
      </w:r>
    </w:p>
    <w:p>
      <w:pPr>
        <w:spacing w:after="0" w:line="41" w:lineRule="exact"/>
        <w:rPr>
          <w:rFonts w:ascii="Times New Roman" w:cs="Times New Roman" w:eastAsia="Times New Roman" w:hAnsi="Times New Roman"/>
          <w:sz w:val="17"/>
          <w:szCs w:val="17"/>
          <w:color w:val="auto"/>
        </w:rPr>
      </w:pPr>
    </w:p>
    <w:p>
      <w:pPr>
        <w:ind w:left="1020" w:right="60" w:hanging="229"/>
        <w:spacing w:after="0" w:line="296" w:lineRule="auto"/>
        <w:tabs>
          <w:tab w:leader="none" w:pos="10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41"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are not adjusted for all non-cash income or expense items that are reflected in our consolidated statements of cash flows;</w:t>
      </w:r>
    </w:p>
    <w:p>
      <w:pPr>
        <w:spacing w:after="0" w:line="118"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the impact of earnings or charges resulting from matters we consider not to be indicative of our ongoing operations; and</w:t>
      </w:r>
    </w:p>
    <w:p>
      <w:pPr>
        <w:spacing w:after="0" w:line="118"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limitations on our costs related to transferring earnings from our subsidiaries to us.</w:t>
      </w:r>
    </w:p>
    <w:p>
      <w:pPr>
        <w:spacing w:after="0" w:line="250"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198" w:lineRule="exact"/>
        <w:rPr>
          <w:sz w:val="20"/>
          <w:szCs w:val="20"/>
          <w:color w:val="auto"/>
        </w:rPr>
      </w:pPr>
    </w:p>
    <w:p>
      <w:pPr>
        <w:ind w:right="4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reconciles the Condensed Consolidated Statements of Comprehensive Income to arrive at Adjusted Net Trading Income, EBITDA, Adjusted EBITDA, and Operating Margins for the three and six months ended June 30, 2022, and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44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7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Trading income, net to Adjusted Net Trading Income</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income, net</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395,928</w:t>
            </w:r>
          </w:p>
        </w:tc>
        <w:tc>
          <w:tcPr>
            <w:tcW w:w="12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384,832</w:t>
            </w:r>
          </w:p>
        </w:tc>
        <w:tc>
          <w:tcPr>
            <w:tcW w:w="14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918,235</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1,197,576</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30,792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9,545</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51,804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16,541</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2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136,340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143,115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290,995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334,764</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(156,986)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(170,691)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(307,366)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(430,023)</w:t>
            </w:r>
          </w:p>
        </w:tc>
        <w:tc>
          <w:tcPr>
            <w:tcW w:w="0" w:type="dxa"/>
            <w:vAlign w:val="bottom"/>
          </w:tcPr>
          <w:p>
            <w:pPr>
              <w:spacing w:after="0"/>
              <w:rPr>
                <w:sz w:val="1"/>
                <w:szCs w:val="1"/>
                <w:color w:val="auto"/>
              </w:rPr>
            </w:pPr>
          </w:p>
        </w:tc>
      </w:tr>
      <w:tr>
        <w:trPr>
          <w:trHeight w:val="190"/>
        </w:trPr>
        <w:tc>
          <w:tcPr>
            <w:tcW w:w="57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(48,716)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(24,971)</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(91,254)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(48,999)</w:t>
            </w:r>
          </w:p>
        </w:tc>
        <w:tc>
          <w:tcPr>
            <w:tcW w:w="0" w:type="dxa"/>
            <w:vAlign w:val="bottom"/>
          </w:tcPr>
          <w:p>
            <w:pPr>
              <w:spacing w:after="0"/>
              <w:rPr>
                <w:sz w:val="1"/>
                <w:szCs w:val="1"/>
                <w:color w:val="auto"/>
              </w:rPr>
            </w:pPr>
          </w:p>
        </w:tc>
      </w:tr>
      <w:tr>
        <w:trPr>
          <w:trHeight w:val="221"/>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357,358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341,830</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862,414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1,069,859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EBITDA and Adjusted EBITDA</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148,896</w:t>
            </w:r>
          </w:p>
        </w:tc>
        <w:tc>
          <w:tcPr>
            <w:tcW w:w="12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108,907</w:t>
            </w:r>
          </w:p>
        </w:tc>
        <w:tc>
          <w:tcPr>
            <w:tcW w:w="14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348,820</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518,139</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22,089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20,113</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43,422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39,605</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2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1,989</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27,121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3,744</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16,334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16,349</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33,812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33,127</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16,277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18,077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32,757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36,154</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24,888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26,095</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66,674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106,650</w:t>
            </w:r>
          </w:p>
        </w:tc>
        <w:tc>
          <w:tcPr>
            <w:tcW w:w="0" w:type="dxa"/>
            <w:vAlign w:val="bottom"/>
          </w:tcPr>
          <w:p>
            <w:pPr>
              <w:spacing w:after="0"/>
              <w:rPr>
                <w:sz w:val="1"/>
                <w:szCs w:val="1"/>
                <w:color w:val="auto"/>
              </w:rPr>
            </w:pPr>
          </w:p>
        </w:tc>
      </w:tr>
      <w:tr>
        <w:trPr>
          <w:trHeight w:val="18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229,921</w:t>
            </w:r>
          </w:p>
        </w:tc>
        <w:tc>
          <w:tcPr>
            <w:tcW w:w="12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191,530</w:t>
            </w:r>
          </w:p>
        </w:tc>
        <w:tc>
          <w:tcPr>
            <w:tcW w:w="14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552,606</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737,419</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Severance</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757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1,020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2,759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3,039</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2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558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3,667</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4,888</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(41,631)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(11,434)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(37,369)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(8,603)</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18,997</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12,552</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32,709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25,330</w:t>
            </w:r>
          </w:p>
        </w:tc>
        <w:tc>
          <w:tcPr>
            <w:tcW w:w="0" w:type="dxa"/>
            <w:vAlign w:val="bottom"/>
          </w:tcPr>
          <w:p>
            <w:pPr>
              <w:spacing w:after="0"/>
              <w:rPr>
                <w:sz w:val="1"/>
                <w:szCs w:val="1"/>
                <w:color w:val="auto"/>
              </w:rPr>
            </w:pPr>
          </w:p>
        </w:tc>
      </w:tr>
      <w:tr>
        <w:trPr>
          <w:trHeight w:val="19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209,279</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197,332</w:t>
            </w:r>
          </w:p>
        </w:tc>
        <w:tc>
          <w:tcPr>
            <w:tcW w:w="140" w:type="dxa"/>
            <w:vAlign w:val="bottom"/>
          </w:tcPr>
          <w:p>
            <w:pPr>
              <w:spacing w:after="0"/>
              <w:rPr>
                <w:sz w:val="16"/>
                <w:szCs w:val="16"/>
                <w:color w:val="auto"/>
              </w:rPr>
            </w:pP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553,069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762,056</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Operating Margins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Margin (1)</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48.4 %</w:t>
            </w:r>
          </w:p>
        </w:tc>
        <w:tc>
          <w:tcPr>
            <w:tcW w:w="0" w:type="dxa"/>
            <w:vAlign w:val="bottom"/>
          </w:tcPr>
          <w:p>
            <w:pPr>
              <w:spacing w:after="0"/>
              <w:rPr>
                <w:sz w:val="1"/>
                <w:szCs w:val="1"/>
                <w:color w:val="auto"/>
              </w:rPr>
            </w:pPr>
          </w:p>
        </w:tc>
      </w:tr>
      <w:tr>
        <w:trPr>
          <w:trHeight w:val="189"/>
        </w:trPr>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EBITDA Margin (2)</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56.0 %</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68.9 %</w:t>
            </w:r>
          </w:p>
        </w:tc>
        <w:tc>
          <w:tcPr>
            <w:tcW w:w="0" w:type="dxa"/>
            <w:vAlign w:val="bottom"/>
          </w:tcPr>
          <w:p>
            <w:pPr>
              <w:spacing w:after="0"/>
              <w:rPr>
                <w:sz w:val="1"/>
                <w:szCs w:val="1"/>
                <w:color w:val="auto"/>
              </w:rPr>
            </w:pPr>
          </w:p>
        </w:tc>
      </w:tr>
      <w:tr>
        <w:trPr>
          <w:trHeight w:val="204"/>
        </w:trPr>
        <w:tc>
          <w:tcPr>
            <w:tcW w:w="5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Adjusted EBITDA Margin (3)</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58.6 %</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57.7 %</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71.2 %</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400" w:hanging="395"/>
        <w:spacing w:after="0"/>
        <w:tabs>
          <w:tab w:leader="none" w:pos="4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net income by Adjusted Net Trading Income.</w:t>
      </w:r>
    </w:p>
    <w:p>
      <w:pPr>
        <w:spacing w:after="0" w:line="17"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EBITDA by Adjusted Net Trading Income.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7" w:name="page58"/>
    <w:bookmarkEnd w:id="57"/>
    <w:p>
      <w:pPr>
        <w:ind w:left="400" w:hanging="395"/>
        <w:spacing w:after="0"/>
        <w:tabs>
          <w:tab w:leader="none" w:pos="4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Adjusted EBITDA by Adjusted Net Trading Income.</w:t>
      </w:r>
    </w:p>
    <w:p>
      <w:pPr>
        <w:spacing w:after="0" w:line="200" w:lineRule="exact"/>
        <w:rPr>
          <w:sz w:val="20"/>
          <w:szCs w:val="20"/>
          <w:color w:val="auto"/>
        </w:rPr>
      </w:pP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reconciles Net Income to arrive at Normalized Adjusted Net Income before income taxes, Normalized provision for income taxes,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Normalized Adjusted Net Income and Normalized Adjusted EPS for the three and six months ended June 30, 2022, and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300" w:type="dxa"/>
            <w:vAlign w:val="bottom"/>
            <w:gridSpan w:val="4"/>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2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7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Normalized Adjusted Net Income</w:t>
            </w: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148,896</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108,907</w:t>
            </w:r>
          </w:p>
        </w:tc>
        <w:tc>
          <w:tcPr>
            <w:tcW w:w="14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348,820</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518,139</w:t>
            </w:r>
          </w:p>
        </w:tc>
        <w:tc>
          <w:tcPr>
            <w:tcW w:w="0" w:type="dxa"/>
            <w:vAlign w:val="bottom"/>
          </w:tcPr>
          <w:p>
            <w:pPr>
              <w:spacing w:after="0"/>
              <w:rPr>
                <w:sz w:val="1"/>
                <w:szCs w:val="1"/>
                <w:color w:val="auto"/>
              </w:rPr>
            </w:pPr>
          </w:p>
        </w:tc>
      </w:tr>
      <w:tr>
        <w:trPr>
          <w:trHeight w:val="204"/>
        </w:trPr>
        <w:tc>
          <w:tcPr>
            <w:tcW w:w="5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26,095</w:t>
            </w:r>
          </w:p>
        </w:tc>
        <w:tc>
          <w:tcPr>
            <w:tcW w:w="1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66,674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106,650</w:t>
            </w:r>
          </w:p>
        </w:tc>
        <w:tc>
          <w:tcPr>
            <w:tcW w:w="0" w:type="dxa"/>
            <w:vAlign w:val="bottom"/>
          </w:tcPr>
          <w:p>
            <w:pPr>
              <w:spacing w:after="0"/>
              <w:rPr>
                <w:sz w:val="1"/>
                <w:szCs w:val="1"/>
                <w:color w:val="auto"/>
              </w:rPr>
            </w:pPr>
          </w:p>
        </w:tc>
      </w:tr>
      <w:tr>
        <w:trPr>
          <w:trHeight w:val="183"/>
        </w:trPr>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173,784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135,002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415,494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624,789</w:t>
            </w:r>
          </w:p>
        </w:tc>
        <w:tc>
          <w:tcPr>
            <w:tcW w:w="0" w:type="dxa"/>
            <w:vAlign w:val="bottom"/>
          </w:tcPr>
          <w:p>
            <w:pPr>
              <w:spacing w:after="0"/>
              <w:rPr>
                <w:sz w:val="1"/>
                <w:szCs w:val="1"/>
                <w:color w:val="auto"/>
              </w:rPr>
            </w:pPr>
          </w:p>
        </w:tc>
      </w:tr>
      <w:tr>
        <w:trPr>
          <w:trHeight w:val="217"/>
        </w:trPr>
        <w:tc>
          <w:tcPr>
            <w:tcW w:w="29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36,154</w:t>
            </w:r>
          </w:p>
        </w:tc>
        <w:tc>
          <w:tcPr>
            <w:tcW w:w="0" w:type="dxa"/>
            <w:vAlign w:val="bottom"/>
          </w:tcPr>
          <w:p>
            <w:pPr>
              <w:spacing w:after="0"/>
              <w:rPr>
                <w:sz w:val="1"/>
                <w:szCs w:val="1"/>
                <w:color w:val="auto"/>
              </w:rPr>
            </w:pPr>
          </w:p>
        </w:tc>
      </w:tr>
      <w:tr>
        <w:trPr>
          <w:trHeight w:val="204"/>
        </w:trPr>
        <w:tc>
          <w:tcPr>
            <w:tcW w:w="5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3,744</w:t>
            </w:r>
          </w:p>
        </w:tc>
        <w:tc>
          <w:tcPr>
            <w:tcW w:w="0" w:type="dxa"/>
            <w:vAlign w:val="bottom"/>
          </w:tcPr>
          <w:p>
            <w:pPr>
              <w:spacing w:after="0"/>
              <w:rPr>
                <w:sz w:val="1"/>
                <w:szCs w:val="1"/>
                <w:color w:val="auto"/>
              </w:rPr>
            </w:pPr>
          </w:p>
        </w:tc>
      </w:tr>
      <w:tr>
        <w:trPr>
          <w:trHeight w:val="189"/>
        </w:trPr>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Severance</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3,039</w:t>
            </w:r>
          </w:p>
        </w:tc>
        <w:tc>
          <w:tcPr>
            <w:tcW w:w="0" w:type="dxa"/>
            <w:vAlign w:val="bottom"/>
          </w:tcPr>
          <w:p>
            <w:pPr>
              <w:spacing w:after="0"/>
              <w:rPr>
                <w:sz w:val="1"/>
                <w:szCs w:val="1"/>
                <w:color w:val="auto"/>
              </w:rPr>
            </w:pPr>
          </w:p>
        </w:tc>
      </w:tr>
      <w:tr>
        <w:trPr>
          <w:trHeight w:val="204"/>
        </w:trPr>
        <w:tc>
          <w:tcPr>
            <w:tcW w:w="5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9"/>
        </w:trPr>
        <w:tc>
          <w:tcPr>
            <w:tcW w:w="59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4,888</w:t>
            </w:r>
          </w:p>
        </w:tc>
        <w:tc>
          <w:tcPr>
            <w:tcW w:w="0" w:type="dxa"/>
            <w:vAlign w:val="bottom"/>
          </w:tcPr>
          <w:p>
            <w:pPr>
              <w:spacing w:after="0"/>
              <w:rPr>
                <w:sz w:val="1"/>
                <w:szCs w:val="1"/>
                <w:color w:val="auto"/>
              </w:rPr>
            </w:pPr>
          </w:p>
        </w:tc>
      </w:tr>
      <w:tr>
        <w:trPr>
          <w:trHeight w:val="204"/>
        </w:trPr>
        <w:tc>
          <w:tcPr>
            <w:tcW w:w="5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(11,434)</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(8,603)</w:t>
            </w: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18,997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12,552</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32,709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25,330</w:t>
            </w:r>
          </w:p>
        </w:tc>
        <w:tc>
          <w:tcPr>
            <w:tcW w:w="0" w:type="dxa"/>
            <w:vAlign w:val="bottom"/>
          </w:tcPr>
          <w:p>
            <w:pPr>
              <w:spacing w:after="0"/>
              <w:rPr>
                <w:sz w:val="1"/>
                <w:szCs w:val="1"/>
                <w:color w:val="auto"/>
              </w:rPr>
            </w:pPr>
          </w:p>
        </w:tc>
      </w:tr>
      <w:tr>
        <w:trPr>
          <w:trHeight w:val="196"/>
        </w:trPr>
        <w:tc>
          <w:tcPr>
            <w:tcW w:w="5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Normalized Adjusted Net Income before income taxes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170,856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160,870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475,835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689,324</w:t>
            </w: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4"/>
                <w:szCs w:val="14"/>
                <w:color w:val="auto"/>
              </w:rPr>
              <w:t>Normalized provision for income taxes (1)</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41,006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38,609</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114,201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165,438</w:t>
            </w:r>
          </w:p>
        </w:tc>
        <w:tc>
          <w:tcPr>
            <w:tcW w:w="0" w:type="dxa"/>
            <w:vAlign w:val="bottom"/>
          </w:tcPr>
          <w:p>
            <w:pPr>
              <w:spacing w:after="0"/>
              <w:rPr>
                <w:sz w:val="1"/>
                <w:szCs w:val="1"/>
                <w:color w:val="auto"/>
              </w:rPr>
            </w:pPr>
          </w:p>
        </w:tc>
      </w:tr>
      <w:tr>
        <w:trPr>
          <w:trHeight w:val="196"/>
        </w:trPr>
        <w:tc>
          <w:tcPr>
            <w:tcW w:w="5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Normalized Adjusted Net Income</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122,261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523,886</w:t>
            </w:r>
          </w:p>
        </w:tc>
        <w:tc>
          <w:tcPr>
            <w:tcW w:w="0" w:type="dxa"/>
            <w:vAlign w:val="bottom"/>
          </w:tcPr>
          <w:p>
            <w:pPr>
              <w:spacing w:after="0"/>
              <w:rPr>
                <w:sz w:val="1"/>
                <w:szCs w:val="1"/>
                <w:color w:val="auto"/>
              </w:rPr>
            </w:pPr>
          </w:p>
        </w:tc>
      </w:tr>
      <w:tr>
        <w:trPr>
          <w:trHeight w:val="262"/>
        </w:trPr>
        <w:tc>
          <w:tcPr>
            <w:tcW w:w="29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Adjusted shares outstanding (2)</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178,886,524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194,770,445</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181,017,758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195,861,065</w:t>
            </w:r>
          </w:p>
        </w:tc>
        <w:tc>
          <w:tcPr>
            <w:tcW w:w="0" w:type="dxa"/>
            <w:vAlign w:val="bottom"/>
          </w:tcPr>
          <w:p>
            <w:pPr>
              <w:spacing w:after="0"/>
              <w:rPr>
                <w:sz w:val="1"/>
                <w:szCs w:val="1"/>
                <w:color w:val="auto"/>
              </w:rPr>
            </w:pPr>
          </w:p>
        </w:tc>
      </w:tr>
      <w:tr>
        <w:trPr>
          <w:trHeight w:val="262"/>
        </w:trPr>
        <w:tc>
          <w:tcPr>
            <w:tcW w:w="292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Normalized Adjusted EPS</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0.63</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31"/>
        </w:trPr>
        <w:tc>
          <w:tcPr>
            <w:tcW w:w="2920" w:type="dxa"/>
            <w:vAlign w:val="bottom"/>
            <w:tcBorders>
              <w:bottom w:val="single" w:sz="8" w:color="auto"/>
            </w:tcBorders>
          </w:tcPr>
          <w:p>
            <w:pPr>
              <w:spacing w:after="0"/>
              <w:rPr>
                <w:sz w:val="11"/>
                <w:szCs w:val="11"/>
                <w:color w:val="auto"/>
              </w:rPr>
            </w:pPr>
          </w:p>
        </w:tc>
        <w:tc>
          <w:tcPr>
            <w:tcW w:w="2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00" w:hanging="395"/>
        <w:spacing w:after="0"/>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U.S. federal, state, and local income tax rate applicable to corporations of approximately 24% for all periods presented.</w:t>
      </w:r>
    </w:p>
    <w:p>
      <w:pPr>
        <w:spacing w:after="0" w:line="17" w:lineRule="exact"/>
        <w:rPr>
          <w:rFonts w:ascii="Times New Roman" w:cs="Times New Roman" w:eastAsia="Times New Roman" w:hAnsi="Times New Roman"/>
          <w:sz w:val="16"/>
          <w:szCs w:val="16"/>
          <w:color w:val="auto"/>
        </w:rPr>
      </w:pPr>
    </w:p>
    <w:p>
      <w:pPr>
        <w:ind w:left="400" w:right="60" w:hanging="395"/>
        <w:spacing w:after="0" w:line="247" w:lineRule="auto"/>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dilutive impact of options, restricted stock units and restricted stock awards outstanding under the Amended and Restated 2015 Management Incentive Plan and the Amended and Restated ITG 2007 Equity Plan during the three and six months ended June 30, 2022, and 2021.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2" w:right="339" w:bottom="1440" w:gutter="0" w:footer="0" w:header="0"/>
        </w:sectPr>
      </w:pPr>
    </w:p>
    <w:bookmarkStart w:id="58" w:name="page59"/>
    <w:bookmarkEnd w:id="58"/>
    <w:p>
      <w:pPr>
        <w:ind w:left="640"/>
        <w:spacing w:after="0"/>
        <w:rPr>
          <w:sz w:val="20"/>
          <w:szCs w:val="20"/>
          <w:color w:val="auto"/>
        </w:rPr>
      </w:pPr>
      <w:r>
        <w:rPr>
          <w:rFonts w:ascii="Times New Roman" w:cs="Times New Roman" w:eastAsia="Times New Roman" w:hAnsi="Times New Roman"/>
          <w:sz w:val="17"/>
          <w:szCs w:val="17"/>
          <w:color w:val="auto"/>
        </w:rPr>
        <w:t>The following tables reconcile Trading income, net to Adjusted Net Trading Income by segment for the three and six months ended June 30, 2022,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w:t>
      </w:r>
    </w:p>
    <w:p>
      <w:pPr>
        <w:spacing w:after="0" w:line="82"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390,263</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5,665</w:t>
            </w:r>
          </w:p>
        </w:tc>
        <w:tc>
          <w:tcPr>
            <w:tcW w:w="100" w:type="dxa"/>
            <w:vAlign w:val="bottom"/>
          </w:tcPr>
          <w:p>
            <w:pPr>
              <w:spacing w:after="0"/>
              <w:rPr>
                <w:sz w:val="16"/>
                <w:szCs w:val="16"/>
                <w:color w:val="auto"/>
              </w:rPr>
            </w:pPr>
          </w:p>
        </w:tc>
        <w:tc>
          <w:tcPr>
            <w:tcW w:w="106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395,928</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125,195</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136,340</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30,792</w:t>
            </w:r>
          </w:p>
        </w:tc>
        <w:tc>
          <w:tcPr>
            <w:tcW w:w="0" w:type="dxa"/>
            <w:vAlign w:val="bottom"/>
          </w:tcPr>
          <w:p>
            <w:pPr>
              <w:spacing w:after="0"/>
              <w:rPr>
                <w:sz w:val="1"/>
                <w:szCs w:val="1"/>
                <w:color w:val="auto"/>
              </w:rPr>
            </w:pPr>
          </w:p>
        </w:tc>
      </w:tr>
      <w:tr>
        <w:trPr>
          <w:trHeight w:val="142"/>
        </w:trPr>
        <w:tc>
          <w:tcPr>
            <w:tcW w:w="37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(131,121)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(25,865)</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(156,986)</w:t>
            </w:r>
          </w:p>
        </w:tc>
        <w:tc>
          <w:tcPr>
            <w:tcW w:w="0" w:type="dxa"/>
            <w:vAlign w:val="bottom"/>
          </w:tcPr>
          <w:p>
            <w:pPr>
              <w:spacing w:after="0"/>
              <w:rPr>
                <w:sz w:val="1"/>
                <w:szCs w:val="1"/>
                <w:color w:val="auto"/>
              </w:rPr>
            </w:pPr>
          </w:p>
        </w:tc>
      </w:tr>
      <w:tr>
        <w:trPr>
          <w:trHeight w:val="19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(48,716)</w:t>
            </w:r>
          </w:p>
        </w:tc>
        <w:tc>
          <w:tcPr>
            <w:tcW w:w="0" w:type="dxa"/>
            <w:vAlign w:val="bottom"/>
          </w:tcPr>
          <w:p>
            <w:pPr>
              <w:spacing w:after="0"/>
              <w:rPr>
                <w:sz w:val="1"/>
                <w:szCs w:val="1"/>
                <w:color w:val="auto"/>
              </w:rPr>
            </w:pPr>
          </w:p>
        </w:tc>
      </w:tr>
      <w:tr>
        <w:trPr>
          <w:trHeight w:val="221"/>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357,358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380,644</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100" w:type="dxa"/>
            <w:vAlign w:val="bottom"/>
          </w:tcPr>
          <w:p>
            <w:pPr>
              <w:spacing w:after="0"/>
              <w:rPr>
                <w:sz w:val="16"/>
                <w:szCs w:val="16"/>
                <w:color w:val="auto"/>
              </w:rPr>
            </w:pPr>
          </w:p>
        </w:tc>
        <w:tc>
          <w:tcPr>
            <w:tcW w:w="1060" w:type="dxa"/>
            <w:vAlign w:val="bottom"/>
            <w:tcBorders>
              <w:top w:val="single" w:sz="8" w:color="auto"/>
            </w:tcBorders>
          </w:tcPr>
          <w:p>
            <w:pPr>
              <w:jc w:val="right"/>
              <w:ind w:right="8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384,832</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134,028</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143,115</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9,545</w:t>
            </w:r>
          </w:p>
        </w:tc>
        <w:tc>
          <w:tcPr>
            <w:tcW w:w="0" w:type="dxa"/>
            <w:vAlign w:val="bottom"/>
          </w:tcPr>
          <w:p>
            <w:pPr>
              <w:spacing w:after="0"/>
              <w:rPr>
                <w:sz w:val="1"/>
                <w:szCs w:val="1"/>
                <w:color w:val="auto"/>
              </w:rPr>
            </w:pPr>
          </w:p>
        </w:tc>
      </w:tr>
      <w:tr>
        <w:trPr>
          <w:trHeight w:val="138"/>
        </w:trPr>
        <w:tc>
          <w:tcPr>
            <w:tcW w:w="376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(144,784)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(25,907)</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(170,691)</w:t>
            </w:r>
          </w:p>
        </w:tc>
        <w:tc>
          <w:tcPr>
            <w:tcW w:w="0" w:type="dxa"/>
            <w:vAlign w:val="bottom"/>
          </w:tcPr>
          <w:p>
            <w:pPr>
              <w:spacing w:after="0"/>
              <w:rPr>
                <w:sz w:val="1"/>
                <w:szCs w:val="1"/>
                <w:color w:val="auto"/>
              </w:rPr>
            </w:pPr>
          </w:p>
        </w:tc>
      </w:tr>
      <w:tr>
        <w:trPr>
          <w:trHeight w:val="196"/>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(24,971)</w:t>
            </w:r>
          </w:p>
        </w:tc>
        <w:tc>
          <w:tcPr>
            <w:tcW w:w="0" w:type="dxa"/>
            <w:vAlign w:val="bottom"/>
          </w:tcPr>
          <w:p>
            <w:pPr>
              <w:spacing w:after="0"/>
              <w:rPr>
                <w:sz w:val="1"/>
                <w:szCs w:val="1"/>
                <w:color w:val="auto"/>
              </w:rPr>
            </w:pPr>
          </w:p>
        </w:tc>
      </w:tr>
      <w:tr>
        <w:trPr>
          <w:trHeight w:val="221"/>
        </w:trPr>
        <w:tc>
          <w:tcPr>
            <w:tcW w:w="3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341,830</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906,621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918,235</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270,801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290,995</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51,804</w:t>
            </w:r>
          </w:p>
        </w:tc>
        <w:tc>
          <w:tcPr>
            <w:tcW w:w="0" w:type="dxa"/>
            <w:vAlign w:val="bottom"/>
          </w:tcPr>
          <w:p>
            <w:pPr>
              <w:spacing w:after="0"/>
              <w:rPr>
                <w:sz w:val="1"/>
                <w:szCs w:val="1"/>
                <w:color w:val="auto"/>
              </w:rPr>
            </w:pPr>
          </w:p>
        </w:tc>
      </w:tr>
      <w:tr>
        <w:trPr>
          <w:trHeight w:val="131"/>
        </w:trPr>
        <w:tc>
          <w:tcPr>
            <w:tcW w:w="37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(254,636)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(52,730)</w:t>
            </w: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(307,366)</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(88,382)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(91,254)</w:t>
            </w: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635,572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226,842</w:t>
            </w:r>
          </w:p>
        </w:tc>
        <w:tc>
          <w:tcPr>
            <w:tcW w:w="1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862,414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tbl>
      <w:tblPr>
        <w:tblLayout w:type="fixed"/>
        <w:tblInd w:w="122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1,181,926</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15,650</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1,197,576</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311,547</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334,764</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16,541</w:t>
            </w:r>
          </w:p>
        </w:tc>
        <w:tc>
          <w:tcPr>
            <w:tcW w:w="0" w:type="dxa"/>
            <w:vAlign w:val="bottom"/>
          </w:tcPr>
          <w:p>
            <w:pPr>
              <w:spacing w:after="0"/>
              <w:rPr>
                <w:sz w:val="1"/>
                <w:szCs w:val="1"/>
                <w:color w:val="auto"/>
              </w:rPr>
            </w:pPr>
          </w:p>
        </w:tc>
      </w:tr>
      <w:tr>
        <w:trPr>
          <w:trHeight w:val="135"/>
        </w:trPr>
        <w:tc>
          <w:tcPr>
            <w:tcW w:w="3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(367,978)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(62,045)</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(430,023)</w:t>
            </w:r>
          </w:p>
        </w:tc>
        <w:tc>
          <w:tcPr>
            <w:tcW w:w="0" w:type="dxa"/>
            <w:vAlign w:val="bottom"/>
          </w:tcPr>
          <w:p>
            <w:pPr>
              <w:spacing w:after="0"/>
              <w:rPr>
                <w:sz w:val="1"/>
                <w:szCs w:val="1"/>
                <w:color w:val="auto"/>
              </w:rPr>
            </w:pPr>
          </w:p>
        </w:tc>
      </w:tr>
      <w:tr>
        <w:trPr>
          <w:trHeight w:val="18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(48,999)</w:t>
            </w: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807,198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262,661</w:t>
            </w:r>
          </w:p>
        </w:tc>
        <w:tc>
          <w:tcPr>
            <w:tcW w:w="10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ind w:right="83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1,069,859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shows our Adjusted Net Trading Income and average daily Adjusted Net Trading Income by segment for the three and six months ended June 30, 2022, and 2021:</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9" w:name="page60"/>
    <w:bookmarkEnd w:id="59"/>
    <w:tbl>
      <w:tblPr>
        <w:tblLayout w:type="fixed"/>
        <w:tblInd w:w="104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 by Segment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8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Making</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253,724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232,074</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190"/>
        </w:trPr>
        <w:tc>
          <w:tcPr>
            <w:tcW w:w="4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Execution Services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103,634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109,756</w:t>
            </w:r>
          </w:p>
        </w:tc>
        <w:tc>
          <w:tcPr>
            <w:tcW w:w="34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right"/>
              <w:ind w:right="45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357,358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341,830</w:t>
            </w:r>
          </w:p>
        </w:tc>
        <w:tc>
          <w:tcPr>
            <w:tcW w:w="3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6"/>
          </w:tcPr>
          <w:p>
            <w:pPr>
              <w:ind w:left="10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 by Segment (in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68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Market Making</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4,092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4"/>
                <w:szCs w:val="14"/>
                <w:color w:val="auto"/>
                <w:w w:val="99"/>
              </w:rPr>
              <w:t>11.1%</w:t>
            </w:r>
          </w:p>
        </w:tc>
        <w:tc>
          <w:tcPr>
            <w:tcW w:w="0" w:type="dxa"/>
            <w:vAlign w:val="bottom"/>
          </w:tcPr>
          <w:p>
            <w:pPr>
              <w:spacing w:after="0"/>
              <w:rPr>
                <w:sz w:val="1"/>
                <w:szCs w:val="1"/>
                <w:color w:val="auto"/>
              </w:rPr>
            </w:pPr>
          </w:p>
        </w:tc>
      </w:tr>
      <w:tr>
        <w:trPr>
          <w:trHeight w:val="190"/>
        </w:trPr>
        <w:tc>
          <w:tcPr>
            <w:tcW w:w="4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Execution Services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1,672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jc w:val="center"/>
              <w:ind w:right="17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w:t>
            </w: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5,764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center"/>
              <w:ind w:right="170"/>
              <w:spacing w:after="0"/>
              <w:rPr>
                <w:sz w:val="20"/>
                <w:szCs w:val="20"/>
                <w:color w:val="auto"/>
              </w:rPr>
            </w:pPr>
            <w:r>
              <w:rPr>
                <w:rFonts w:ascii="Times New Roman" w:cs="Times New Roman" w:eastAsia="Times New Roman" w:hAnsi="Times New Roman"/>
                <w:sz w:val="14"/>
                <w:szCs w:val="14"/>
                <w:color w:val="auto"/>
                <w:w w:val="95"/>
              </w:rPr>
              <w:t>6.2%</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 by Segment (in thousands):</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68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5"/>
                <w:szCs w:val="15"/>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4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 Making</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635,572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807,198</w:t>
            </w:r>
          </w:p>
        </w:tc>
        <w:tc>
          <w:tcPr>
            <w:tcW w:w="300" w:type="dxa"/>
            <w:vAlign w:val="bottom"/>
          </w:tcPr>
          <w:p>
            <w:pPr>
              <w:spacing w:after="0"/>
              <w:rPr>
                <w:sz w:val="16"/>
                <w:szCs w:val="16"/>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4"/>
                <w:szCs w:val="14"/>
                <w:color w:val="auto"/>
                <w:w w:val="96"/>
              </w:rPr>
              <w:t>(21.3)%</w:t>
            </w:r>
          </w:p>
        </w:tc>
        <w:tc>
          <w:tcPr>
            <w:tcW w:w="0" w:type="dxa"/>
            <w:vAlign w:val="bottom"/>
          </w:tcPr>
          <w:p>
            <w:pPr>
              <w:spacing w:after="0"/>
              <w:rPr>
                <w:sz w:val="1"/>
                <w:szCs w:val="1"/>
                <w:color w:val="auto"/>
              </w:rPr>
            </w:pPr>
          </w:p>
        </w:tc>
      </w:tr>
      <w:tr>
        <w:trPr>
          <w:trHeight w:val="204"/>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Execution Services</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226,842</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262,661</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4"/>
                <w:szCs w:val="14"/>
                <w:color w:val="auto"/>
                <w:w w:val="96"/>
              </w:rPr>
              <w:t>(13.6)%</w:t>
            </w:r>
          </w:p>
        </w:tc>
        <w:tc>
          <w:tcPr>
            <w:tcW w:w="0" w:type="dxa"/>
            <w:vAlign w:val="bottom"/>
          </w:tcPr>
          <w:p>
            <w:pPr>
              <w:spacing w:after="0"/>
              <w:rPr>
                <w:sz w:val="1"/>
                <w:szCs w:val="1"/>
                <w:color w:val="auto"/>
              </w:rPr>
            </w:pPr>
          </w:p>
        </w:tc>
      </w:tr>
      <w:tr>
        <w:trPr>
          <w:trHeight w:val="19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862,414</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1,069,859</w:t>
            </w:r>
          </w:p>
        </w:tc>
        <w:tc>
          <w:tcPr>
            <w:tcW w:w="300" w:type="dxa"/>
            <w:vAlign w:val="bottom"/>
          </w:tcPr>
          <w:p>
            <w:pPr>
              <w:spacing w:after="0"/>
              <w:rPr>
                <w:sz w:val="16"/>
                <w:szCs w:val="16"/>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4"/>
                <w:szCs w:val="14"/>
                <w:color w:val="auto"/>
                <w:w w:val="96"/>
              </w:rPr>
              <w:t>(19.4)%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40" w:type="dxa"/>
            <w:vAlign w:val="bottom"/>
          </w:tcPr>
          <w:p>
            <w:pPr>
              <w:spacing w:after="0"/>
              <w:rPr>
                <w:sz w:val="16"/>
                <w:szCs w:val="16"/>
                <w:color w:val="auto"/>
              </w:rPr>
            </w:pPr>
          </w:p>
        </w:tc>
      </w:tr>
      <w:tr>
        <w:trPr>
          <w:trHeight w:val="23"/>
        </w:trPr>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 by Segment (in thousands):</w:t>
            </w:r>
          </w:p>
        </w:tc>
        <w:tc>
          <w:tcPr>
            <w:tcW w:w="3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3"/>
        </w:trPr>
        <w:tc>
          <w:tcPr>
            <w:tcW w:w="46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Market Making</w:t>
            </w: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6,510</w:t>
            </w:r>
          </w:p>
        </w:tc>
        <w:tc>
          <w:tcPr>
            <w:tcW w:w="300" w:type="dxa"/>
            <w:vAlign w:val="bottom"/>
          </w:tcPr>
          <w:p>
            <w:pPr>
              <w:spacing w:after="0"/>
              <w:rPr>
                <w:sz w:val="15"/>
                <w:szCs w:val="15"/>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4"/>
                <w:szCs w:val="14"/>
                <w:color w:val="auto"/>
                <w:w w:val="96"/>
              </w:rPr>
              <w:t>(21.3)%</w:t>
            </w:r>
          </w:p>
        </w:tc>
      </w:tr>
      <w:tr>
        <w:trPr>
          <w:trHeight w:val="204"/>
        </w:trPr>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Execution Services</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4"/>
                <w:szCs w:val="14"/>
                <w:color w:val="auto"/>
                <w:w w:val="96"/>
              </w:rPr>
              <w:t>(13.6)%</w:t>
            </w:r>
          </w:p>
        </w:tc>
      </w:tr>
      <w:tr>
        <w:trPr>
          <w:trHeight w:val="19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Daily Adjusted Net Trading Income</w:t>
            </w:r>
          </w:p>
        </w:tc>
        <w:tc>
          <w:tcPr>
            <w:tcW w:w="3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6,955</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8,628</w:t>
            </w:r>
          </w:p>
        </w:tc>
        <w:tc>
          <w:tcPr>
            <w:tcW w:w="300" w:type="dxa"/>
            <w:vAlign w:val="bottom"/>
          </w:tcPr>
          <w:p>
            <w:pPr>
              <w:spacing w:after="0"/>
              <w:rPr>
                <w:sz w:val="16"/>
                <w:szCs w:val="16"/>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4"/>
                <w:szCs w:val="14"/>
                <w:color w:val="auto"/>
                <w:w w:val="96"/>
              </w:rPr>
              <w:t>(19.4)%</w:t>
            </w:r>
          </w:p>
        </w:tc>
      </w:tr>
      <w:tr>
        <w:trPr>
          <w:trHeight w:val="20"/>
        </w:trPr>
        <w:tc>
          <w:tcPr>
            <w:tcW w:w="4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 Months Ended June 30, 2022 Compared to Three Months Ended June 30,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54" w:lineRule="exact"/>
        <w:rPr>
          <w:sz w:val="20"/>
          <w:szCs w:val="20"/>
          <w:color w:val="auto"/>
        </w:rPr>
      </w:pPr>
    </w:p>
    <w:p>
      <w:pPr>
        <w:ind w:firstLine="629"/>
        <w:spacing w:after="0" w:line="252" w:lineRule="auto"/>
        <w:rPr>
          <w:sz w:val="20"/>
          <w:szCs w:val="20"/>
          <w:color w:val="auto"/>
        </w:rPr>
      </w:pPr>
      <w:r>
        <w:rPr>
          <w:rFonts w:ascii="Times New Roman" w:cs="Times New Roman" w:eastAsia="Times New Roman" w:hAnsi="Times New Roman"/>
          <w:sz w:val="17"/>
          <w:szCs w:val="17"/>
          <w:color w:val="auto"/>
        </w:rPr>
        <w:t>Our total revenues increased $55.8 million, or 10.2%, to $604.7 million for the three months ended June 30, 2022, compared to $549.0 million for the three months ended June 30, 2021. The increase was primarily due to by an increase of $30.2 million in Other, net, which was driven by gains recorded on sales of various strategic investments, as well as an increase of $21.2 million in Interest and dividends income which is largely driven by the level of trading assets held over periods when dividends are paid, and the levels of stock borrowing and trading asset financing during the three months ended June 30, 2022 compared to the same period in 2021. Trading income, net increased 2.9% to $395.9 million from $384.8 million for the three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53" w:right="359"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7"/>
          <w:szCs w:val="17"/>
          <w:color w:val="auto"/>
        </w:rPr>
        <w:t>The following table shows total revenues by segment for the three months ended June 30, 2022 and 2021.</w:t>
      </w:r>
    </w:p>
    <w:p>
      <w:pPr>
        <w:spacing w:after="0" w:line="47"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0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390,263</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380,644</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9,569</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221.8%</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9,087</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22.6%</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190"/>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revenues from Market Making</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432,595</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402,541</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5,665</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4,188</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35.3%</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125,195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134,028</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(6.6)%</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130,997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138,130</w:t>
            </w:r>
          </w:p>
        </w:tc>
        <w:tc>
          <w:tcPr>
            <w:tcW w:w="10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41,146</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8,294</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396.1%</w:t>
            </w:r>
          </w:p>
        </w:tc>
        <w:tc>
          <w:tcPr>
            <w:tcW w:w="0" w:type="dxa"/>
            <w:vAlign w:val="bottom"/>
          </w:tcPr>
          <w:p>
            <w:pPr>
              <w:spacing w:after="0"/>
              <w:rPr>
                <w:sz w:val="1"/>
                <w:szCs w:val="1"/>
                <w:color w:val="auto"/>
              </w:rPr>
            </w:pPr>
          </w:p>
        </w:tc>
      </w:tr>
      <w:tr>
        <w:trPr>
          <w:trHeight w:val="221"/>
        </w:trPr>
        <w:tc>
          <w:tcPr>
            <w:tcW w:w="42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Corporate</w:t>
            </w:r>
          </w:p>
        </w:tc>
        <w:tc>
          <w:tcPr>
            <w:tcW w:w="38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396.1%</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395,928</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384,832</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9,545</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222.6%</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136,340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143,115</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(4.7)%</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11,473</w:t>
            </w: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263.3%</w:t>
            </w:r>
          </w:p>
        </w:tc>
        <w:tc>
          <w:tcPr>
            <w:tcW w:w="0" w:type="dxa"/>
            <w:vAlign w:val="bottom"/>
          </w:tcPr>
          <w:p>
            <w:pPr>
              <w:spacing w:after="0"/>
              <w:rPr>
                <w:sz w:val="1"/>
                <w:szCs w:val="1"/>
                <w:color w:val="auto"/>
              </w:rPr>
            </w:pPr>
          </w:p>
        </w:tc>
      </w:tr>
      <w:tr>
        <w:trPr>
          <w:trHeight w:val="190"/>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604,738</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548,965</w:t>
            </w:r>
          </w:p>
        </w:tc>
        <w:tc>
          <w:tcPr>
            <w:tcW w:w="10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629"/>
        <w:spacing w:after="0" w:line="244"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was primarily earned by our Market Making segment. Trading income, net increased $11.1 million, or 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$395.9 million for the three months ended June 30, 2022, compared to $384.8 million for the three months ended June 30, 2021. The increase was primarily driven by the higher market volumes and volatility across global markets and major asset categories during the three months ended June 30, 2022 compared to the same period in 2021. Average daily U.S. equity consolidated volumes increased 19%, average daily realized volatility of the S&amp;P 500 Index increased 155%, and average daily CVIX volatility increased 120% in the period compared to the prior period, driven by macroeconomic conditions, including increased inflation, uncertainty around geopolitical developments in eastern Europe, and the governmental and other responses thereto. There was also one less trading day in the three months ended June 30, 2022 than the same period in 2021.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is described below.</w:t>
      </w:r>
    </w:p>
    <w:p>
      <w:pPr>
        <w:spacing w:after="0" w:line="215" w:lineRule="exact"/>
        <w:rPr>
          <w:sz w:val="20"/>
          <w:szCs w:val="20"/>
          <w:color w:val="auto"/>
        </w:rPr>
      </w:pPr>
    </w:p>
    <w:p>
      <w:pPr>
        <w:ind w:right="40" w:firstLine="629"/>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Interest and dividends income was primarily earned by our Market Making segment. Interest and dividends income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increased $21.2 million, or 222.6%, to $30.8 million for the three months ended June 30, 2022, compared to $9.5 million for the three months ended June 30, 2021. This increase was primarily attributable to the higher dividends earned on market making trading assets held over periods when dividends are paid along with an increase in interest income earned on cash collateral posted as part of securities borrowing transactions and interest earned on balances maintained at prime brokers, both of which benefited from higher interest rates for the period compared to the same period during the prior year. As indicated above, rather than analyzing interest and dividends income in isolation, we evaluate it in the broader context of our Adjusted Net Trading Income.</w:t>
      </w:r>
    </w:p>
    <w:p>
      <w:pPr>
        <w:spacing w:after="0" w:line="190" w:lineRule="exact"/>
        <w:rPr>
          <w:sz w:val="20"/>
          <w:szCs w:val="20"/>
          <w:color w:val="auto"/>
        </w:rPr>
      </w:pPr>
    </w:p>
    <w:p>
      <w:pPr>
        <w:ind w:right="120" w:firstLine="629"/>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Commissions, net and technology services revenues were primarily earned by our Execution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segment. Commissions, net and technology services revenues decreased $6.8 million, or 4.7%, to $136.3 million for the three months ended June 30, 2022, compared to $143.1 million for the three months ended June 30, 2021. There was one less trading day in the three months ended June 30, 2022 than the same period in 2021. As indicated above, rather than analyzing interest and dividends income in isolation, we evaluate it in the broader context of our Adjusted Net Trading Income.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868" w:right="439" w:bottom="1440" w:gutter="0" w:footer="0" w:header="0"/>
        </w:sectPr>
      </w:pPr>
    </w:p>
    <w:bookmarkStart w:id="61" w:name="page62"/>
    <w:bookmarkEnd w:id="61"/>
    <w:p>
      <w:pPr>
        <w:ind w:right="2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Other, net increased $30.2 million, or 263.3%, to $41.7 million for the three months ended June 30, 2022, compared to $11.5 million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three months ended June 30, 2021. The increase was primarily due to gains recognized during the 2022 period on sales of investments in our strategic investments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Trading Income</w:t>
      </w:r>
    </w:p>
    <w:p>
      <w:pPr>
        <w:spacing w:after="0" w:line="254"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Adjusted Net Trading Income, which is a non-GAAP measure, increased $15.5 million, or 4.5%, to $357.4 million for the three months ended June 30, 2022, compared to $341.8 million for the three months ended June 30, 2021. This increase was primarily attributable to higher Trading income, net in the Market Making segment driven by higher market volumes and volatility across major asset categories during the three months ended June 30, 2022 compared to the same period in 2021, as noted above, and lower Brokerage, exchange, clearing fees and payments for order flow, net as described below. Adjusted Net Trading Income per day increased $0.3 million, or 6.2%, to $5.8 million for the three months ended June 30, 2022, compared to $5.4 million for the three months ended June 30, 2021. Although average Adjusted Net Trading Income per day increased, there was one less trading day in the three months ended June 30, 2022 than the same period in 2021.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4"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Our operating expenses increased $17.0 million, or 4.1%, to $431.0 million for the three months ended June 30, 2022, compared to $414.0 million for the three months ended June 30, 2021. The increase in operating expenses is primarily due to an increase in Employee compensation and payroll taxes, and Interest and dividends expense, partially offset by decreases in Brokerage, exchange, clearance fees and payments for order flow, net, and Operations and administrative, described in more detail below.</w:t>
      </w:r>
    </w:p>
    <w:p>
      <w:pPr>
        <w:spacing w:after="0" w:line="190" w:lineRule="exact"/>
        <w:rPr>
          <w:sz w:val="20"/>
          <w:szCs w:val="20"/>
          <w:color w:val="auto"/>
        </w:rPr>
      </w:pPr>
    </w:p>
    <w:p>
      <w:pPr>
        <w:ind w:right="10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net,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decreased $13.7 million, or 8.0%, to $157.0 million for the three months ended June 30, 2022, compared to $170.7 million for the three months ended June 30, 2021. These costs vary period to period based upon the level and composition of our trading activities. We evaluate this category representing direct costs associated with transacting business, in the broader context of our Adjusted Net Trading Income.</w:t>
      </w:r>
    </w:p>
    <w:p>
      <w:pPr>
        <w:spacing w:after="0" w:line="188" w:lineRule="exact"/>
        <w:rPr>
          <w:sz w:val="20"/>
          <w:szCs w:val="20"/>
          <w:color w:val="auto"/>
        </w:rPr>
      </w:pPr>
    </w:p>
    <w:p>
      <w:pPr>
        <w:ind w:right="2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expense increased $3.2 million, or 6.1%, to $55.7 million for the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June 30, 2022, compared to $52.5 million for the three months ended June 30, 2021. This increase was primarily due to increased connectivity spending on colocation, subscriber connections and trading membership fees.</w:t>
      </w:r>
    </w:p>
    <w:p>
      <w:pPr>
        <w:spacing w:after="0" w:line="170" w:lineRule="exact"/>
        <w:rPr>
          <w:sz w:val="20"/>
          <w:szCs w:val="20"/>
          <w:color w:val="auto"/>
        </w:rPr>
      </w:pPr>
    </w:p>
    <w:p>
      <w:pPr>
        <w:ind w:firstLine="62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increased $14.8 million, or 17.6%, to $98.6 million for the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June 30, 2022, compared to $83.8 million for the three months ended June 30, 2021. The increase in compensation levels was primarily attributable to an increase in salaries and an increase in share-based compensation related to prior year incentive awards and the portion of anticipated current year incentive awards that is accrued in the current period.</w:t>
      </w:r>
    </w:p>
    <w:p>
      <w:pPr>
        <w:spacing w:after="0" w:line="208" w:lineRule="exact"/>
        <w:rPr>
          <w:sz w:val="20"/>
          <w:szCs w:val="20"/>
          <w:color w:val="auto"/>
        </w:rPr>
      </w:pPr>
    </w:p>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We have capitalized and therefore excluded employee compensation and benefits related to software development of $8.3 million and $8.9 million for the three months ended June 30, 2022, and 2021, respectively.</w:t>
      </w:r>
    </w:p>
    <w:p>
      <w:pPr>
        <w:spacing w:after="0" w:line="156" w:lineRule="exact"/>
        <w:rPr>
          <w:sz w:val="20"/>
          <w:szCs w:val="20"/>
          <w:color w:val="auto"/>
        </w:rPr>
      </w:pPr>
    </w:p>
    <w:p>
      <w:pPr>
        <w:ind w:right="60" w:firstLine="629"/>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Interest and dividends expense increased $23.7 million or 95.1% to $48.7 million for the three months ended June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compared to $25.0 million for the three months ended June 30, 2021. This increase was primarily attributable to higher dividend expense with respect to securities sold, not yet purchased and higher interest expense incurred on cash collateral received as part of securities lending transactions and higher financing costs with respect to trading assets driven by higher interest rates. As indicated above, rather than analyzing interest and dividends expense in isolation, we evaluate it in the broader context of our Adjusted Net Trading Income.</w:t>
      </w:r>
    </w:p>
    <w:p>
      <w:pPr>
        <w:spacing w:after="0" w:line="195"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decreased $8.2 million or 37.6% to $13.6 million for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June 30, 2022, compared to $21.8 million for the three months ended June 30, 2021. This decrease was primarily driven by the beneficial effect of a strong U.S. dollar on foreign exchange translation gains during the three months ended June 30, 2022.</w:t>
      </w:r>
    </w:p>
    <w:p>
      <w:pPr>
        <w:spacing w:after="0" w:line="196" w:lineRule="exact"/>
        <w:rPr>
          <w:sz w:val="20"/>
          <w:szCs w:val="20"/>
          <w:color w:val="auto"/>
        </w:rPr>
      </w:pPr>
    </w:p>
    <w:p>
      <w:pPr>
        <w:ind w:right="26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remained consistent at $16.3 million both for the three months ended June 30,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June 30, 2021.</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62" w:name="page63"/>
    <w:bookmarkEnd w:id="62"/>
    <w:p>
      <w:pPr>
        <w:jc w:val="both"/>
        <w:ind w:right="2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decreased $1.8 million, or 10.0%, to $16.3 million for the three months ended June 30, 2022, compared to $18.1 million for the three months ended June 30, 2021. This decrease was due to certain intangible assets being fully amortized.</w:t>
      </w:r>
    </w:p>
    <w:p>
      <w:pPr>
        <w:spacing w:after="0" w:line="183" w:lineRule="exact"/>
        <w:rPr>
          <w:sz w:val="20"/>
          <w:szCs w:val="20"/>
          <w:color w:val="auto"/>
        </w:rPr>
      </w:pPr>
    </w:p>
    <w:p>
      <w:pPr>
        <w:ind w:right="8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decreased $3.0 million or 81.5% to $0.7 million for the three months ended June 30,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compared to $3.7 million for the three months ended June 30, 2021. The expenses incurred during the period ended June 30, 2021 primarily related to the effort to integrate and consolidate office space in connection with the ITG Acquisition.</w:t>
      </w:r>
    </w:p>
    <w:p>
      <w:pPr>
        <w:spacing w:after="0" w:line="183" w:lineRule="exact"/>
        <w:rPr>
          <w:sz w:val="20"/>
          <w:szCs w:val="20"/>
          <w:color w:val="auto"/>
        </w:rPr>
      </w:pPr>
    </w:p>
    <w:p>
      <w:pPr>
        <w:ind w:right="2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Expense from debt issue cost related to debt refinancing, prepayment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commitment fees decreased $0.6 million, or 27.8%, to $1.4 million for the three months ended June 30, 2022, compared to $2.0 million for the three months ended June 30, 2021. The decrease was primarily driven by the acceleration of deferred debt issuance costs as a result of refinancing our long-term debt transaction in January 2022, as described in further detail below.</w:t>
      </w:r>
    </w:p>
    <w:p>
      <w:pPr>
        <w:spacing w:after="0" w:line="188" w:lineRule="exact"/>
        <w:rPr>
          <w:sz w:val="20"/>
          <w:szCs w:val="20"/>
          <w:color w:val="auto"/>
        </w:rPr>
      </w:pPr>
    </w:p>
    <w:p>
      <w:pPr>
        <w:ind w:right="140" w:firstLine="629"/>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remained consistent at $0.6 million for the three months ended June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30, 2022, compared to immaterial amounts incurred during the three months ended June 30, 2021. These expenses were primarily incurred in relation to our strategic investment portfolio.</w:t>
      </w:r>
    </w:p>
    <w:p>
      <w:pPr>
        <w:spacing w:after="0" w:line="176" w:lineRule="exact"/>
        <w:rPr>
          <w:sz w:val="20"/>
          <w:szCs w:val="20"/>
          <w:color w:val="auto"/>
        </w:rPr>
      </w:pPr>
    </w:p>
    <w:p>
      <w:pPr>
        <w:ind w:right="1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long-term borrowings. </w:t>
      </w:r>
      <w:r>
        <w:rPr>
          <w:rFonts w:ascii="Times New Roman" w:cs="Times New Roman" w:eastAsia="Times New Roman" w:hAnsi="Times New Roman"/>
          <w:sz w:val="17"/>
          <w:szCs w:val="17"/>
          <w:color w:val="auto"/>
        </w:rPr>
        <w:t>Financing interest expense on long-term borrowings increased $2.0 million or 9.8% to $22.1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three months ended June 30, 2022, compared to $20.1 million for the three months ended June 30, 2021.The increase was primarily attributable to the increase in outstanding principal as a result of refinancing our long-term debt transaction in January 2022, as described in further detail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54" w:lineRule="exact"/>
        <w:rPr>
          <w:sz w:val="20"/>
          <w:szCs w:val="20"/>
          <w:color w:val="auto"/>
        </w:rPr>
      </w:pPr>
    </w:p>
    <w:p>
      <w:pPr>
        <w:ind w:right="60" w:firstLine="629"/>
        <w:spacing w:after="0" w:line="274" w:lineRule="auto"/>
        <w:rPr>
          <w:sz w:val="20"/>
          <w:szCs w:val="20"/>
          <w:color w:val="auto"/>
        </w:rPr>
      </w:pPr>
      <w:r>
        <w:rPr>
          <w:rFonts w:ascii="Times New Roman" w:cs="Times New Roman" w:eastAsia="Times New Roman" w:hAnsi="Times New Roman"/>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$24.9 million and 14.3% for the three months ended June 30, 2022, compared to $26.1 million and 19.3% for the three months ended June 30, 2021.</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Six Months Ended June 30, 2022 Compared to Six Months Ended June 30,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54"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Our total revenues decreased $255.5 million, or 16.4%, to $1,306.0 million for the six months ended June 30, 2022, compared to $1,561.5 million for the six months ended June 30, 2021. This decrease was primarily attributable to a decrease of $279.3 million in Trading income, net, which was primarily driven by lower market volatility during the six months ended June 30, 2022 compared to the prior period. This decrease was offset, in part, by an increase of $32.3 million in Other, net, which was driven by gains recorded on sales of various strategic investments, as well as an increase of $35.3 million in Interest and dividends income which is largely driven by the level of trading assets held over periods when dividends are paid, and the levels of stock borrowing and trading asset financing during the six months ended June 30, 2022 compared to the same period in 2021.</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63" w:name="page64"/>
    <w:bookmarkEnd w:id="63"/>
    <w:p>
      <w:pPr>
        <w:ind w:left="640"/>
        <w:spacing w:after="0"/>
        <w:rPr>
          <w:sz w:val="20"/>
          <w:szCs w:val="20"/>
          <w:color w:val="auto"/>
        </w:rPr>
      </w:pPr>
      <w:r>
        <w:rPr>
          <w:rFonts w:ascii="Times New Roman" w:cs="Times New Roman" w:eastAsia="Times New Roman" w:hAnsi="Times New Roman"/>
          <w:sz w:val="17"/>
          <w:szCs w:val="17"/>
          <w:color w:val="auto"/>
        </w:rPr>
        <w:t>The following table shows the total revenues by segment for the six months ended June 30, 2022 and 2021.</w:t>
      </w:r>
    </w:p>
    <w:p>
      <w:pPr>
        <w:spacing w:after="0" w:line="283"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Six Months Ended June 30,</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6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906,621</w:t>
            </w:r>
          </w:p>
        </w:tc>
        <w:tc>
          <w:tcPr>
            <w:tcW w:w="10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1,181,926</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51,775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16,469</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7"/>
              </w:rPr>
              <w:t>214.4%</w:t>
            </w: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20,194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23,217</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197"/>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4,653</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19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revenues from Market Making</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979,158</w:t>
            </w:r>
          </w:p>
        </w:tc>
        <w:tc>
          <w:tcPr>
            <w:tcW w:w="100" w:type="dxa"/>
            <w:vAlign w:val="bottom"/>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1,226,265</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(20.2)%</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15,650</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(25.8)</w:t>
            </w: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270,801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311,547</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740" w:type="dxa"/>
            <w:vAlign w:val="bottom"/>
            <w:tcBorders>
              <w:bottom w:val="single" w:sz="8" w:color="CCEEFF"/>
            </w:tcBorders>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282,742</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327,369</w:t>
            </w:r>
          </w:p>
        </w:tc>
        <w:tc>
          <w:tcPr>
            <w:tcW w:w="17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44,100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7,903</w:t>
            </w:r>
          </w:p>
        </w:tc>
        <w:tc>
          <w:tcPr>
            <w:tcW w:w="1740" w:type="dxa"/>
            <w:vAlign w:val="bottom"/>
            <w:tcBorders>
              <w:bottom w:val="single" w:sz="8" w:color="CCEEFF"/>
            </w:tcBorders>
            <w:gridSpan w:val="2"/>
          </w:tcPr>
          <w:p>
            <w:pPr>
              <w:jc w:val="center"/>
              <w:ind w:left="50"/>
              <w:spacing w:after="0"/>
              <w:rPr>
                <w:sz w:val="20"/>
                <w:szCs w:val="20"/>
                <w:color w:val="auto"/>
              </w:rPr>
            </w:pPr>
            <w:r>
              <w:rPr>
                <w:rFonts w:ascii="Times New Roman" w:cs="Times New Roman" w:eastAsia="Times New Roman" w:hAnsi="Times New Roman"/>
                <w:sz w:val="14"/>
                <w:szCs w:val="14"/>
                <w:color w:val="auto"/>
                <w:w w:val="97"/>
              </w:rPr>
              <w:t>458.0%</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Corporate</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7,903</w:t>
            </w:r>
          </w:p>
        </w:tc>
        <w:tc>
          <w:tcPr>
            <w:tcW w:w="1740" w:type="dxa"/>
            <w:vAlign w:val="bottom"/>
            <w:tcBorders>
              <w:bottom w:val="single" w:sz="8" w:color="CCEEFF"/>
            </w:tcBorders>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7"/>
              </w:rPr>
              <w:t>458.0%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918,235</w:t>
            </w:r>
          </w:p>
        </w:tc>
        <w:tc>
          <w:tcPr>
            <w:tcW w:w="100" w:type="dxa"/>
            <w:vAlign w:val="bottom"/>
          </w:tcPr>
          <w:p>
            <w:pPr>
              <w:spacing w:after="0"/>
              <w:rPr>
                <w:sz w:val="16"/>
                <w:szCs w:val="16"/>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1,197,576</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204"/>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51,804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16,541</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7"/>
              </w:rPr>
              <w:t>213.2%</w:t>
            </w:r>
          </w:p>
        </w:tc>
        <w:tc>
          <w:tcPr>
            <w:tcW w:w="0" w:type="dxa"/>
            <w:vAlign w:val="bottom"/>
          </w:tcPr>
          <w:p>
            <w:pPr>
              <w:spacing w:after="0"/>
              <w:rPr>
                <w:sz w:val="1"/>
                <w:szCs w:val="1"/>
                <w:color w:val="auto"/>
              </w:rPr>
            </w:pPr>
          </w:p>
        </w:tc>
      </w:tr>
      <w:tr>
        <w:trPr>
          <w:trHeight w:val="189"/>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290,995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334,764</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7"/>
        </w:trPr>
        <w:tc>
          <w:tcPr>
            <w:tcW w:w="4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44,966</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12,656</w:t>
            </w:r>
          </w:p>
        </w:tc>
        <w:tc>
          <w:tcPr>
            <w:tcW w:w="17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4"/>
                <w:szCs w:val="14"/>
                <w:color w:val="auto"/>
                <w:w w:val="97"/>
              </w:rPr>
              <w:t>255.3%</w:t>
            </w:r>
          </w:p>
        </w:tc>
        <w:tc>
          <w:tcPr>
            <w:tcW w:w="0" w:type="dxa"/>
            <w:vAlign w:val="bottom"/>
          </w:tcPr>
          <w:p>
            <w:pPr>
              <w:spacing w:after="0"/>
              <w:rPr>
                <w:sz w:val="1"/>
                <w:szCs w:val="1"/>
                <w:color w:val="auto"/>
              </w:rPr>
            </w:pPr>
          </w:p>
        </w:tc>
      </w:tr>
      <w:tr>
        <w:trPr>
          <w:trHeight w:val="196"/>
        </w:trPr>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1,306,000</w:t>
            </w:r>
          </w:p>
        </w:tc>
        <w:tc>
          <w:tcPr>
            <w:tcW w:w="100" w:type="dxa"/>
            <w:vAlign w:val="bottom"/>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1,561,537</w:t>
            </w:r>
          </w:p>
        </w:tc>
        <w:tc>
          <w:tcPr>
            <w:tcW w:w="1740" w:type="dxa"/>
            <w:vAlign w:val="bottom"/>
            <w:gridSpan w:val="2"/>
          </w:tcPr>
          <w:p>
            <w:pPr>
              <w:jc w:val="center"/>
              <w:ind w:left="50"/>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5" w:lineRule="exact"/>
        <w:rPr>
          <w:sz w:val="20"/>
          <w:szCs w:val="20"/>
          <w:color w:val="auto"/>
        </w:rPr>
      </w:pPr>
    </w:p>
    <w:p>
      <w:pPr>
        <w:ind w:right="160"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was primarily earned by our Market Making segment. Trading income, net, decreased $279.3 million,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23.3%, to $918.2 million for the six months ended June 30, 2022, compared to $1,197.6 million for the six months ended June 30, 2021. The decrease was largely a result of lower trading income in the first quarter of 2022, driven by lower market volumes as compared to the same period in 2021.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are described below.</w:t>
      </w:r>
    </w:p>
    <w:p>
      <w:pPr>
        <w:spacing w:after="0" w:line="193" w:lineRule="exact"/>
        <w:rPr>
          <w:sz w:val="20"/>
          <w:szCs w:val="20"/>
          <w:color w:val="auto"/>
        </w:rPr>
      </w:pPr>
    </w:p>
    <w:p>
      <w:pPr>
        <w:ind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Interest and dividends income was primarily earned by our Market Making segment. Interest and dividends income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increased $35.3 million, or 213.2%, to $51.8 million for the six months ended June 30, 2022, compared to $16.5 million for the six months ended June 30, 2021. This increase was primarily attributable to higher dividends earned on market making trading assets held over periods when dividends are paid, along with an increase in interest income earned on cash collateral posted as part of securities borrowed transactions, both of which benefited from higher interest rates for the period compared to the prior period. As indicated above, rather than analyzing interest and dividends income in isolation, we evaluate it in the broader context of our Adjusted Net Trading Income.</w:t>
      </w:r>
    </w:p>
    <w:p>
      <w:pPr>
        <w:spacing w:after="0" w:line="193" w:lineRule="exact"/>
        <w:rPr>
          <w:sz w:val="20"/>
          <w:szCs w:val="20"/>
          <w:color w:val="auto"/>
        </w:rPr>
      </w:pPr>
    </w:p>
    <w:p>
      <w:pPr>
        <w:jc w:val="both"/>
        <w:ind w:right="30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Commissions, net and technology services revenues were primarily earned by our Execution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segment. Commissions, net and technology services revenues decreased $43.8 million, or 13.1%, to $291.0 million for the six months ended June 30, 2022, compared to $334.8 million for the six months ended June 30, 2021.As indicated above, rather than analyzing interest and dividends income in isolation, we evaluate it in the broader context of our Adjusted Net Trading Income.</w:t>
      </w:r>
    </w:p>
    <w:p>
      <w:pPr>
        <w:spacing w:after="0" w:line="188" w:lineRule="exact"/>
        <w:rPr>
          <w:sz w:val="20"/>
          <w:szCs w:val="20"/>
          <w:color w:val="auto"/>
        </w:rPr>
      </w:pPr>
    </w:p>
    <w:p>
      <w:pPr>
        <w:ind w:right="1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Other, net increased $32.3 million, or 255.3%, to $45.0 million for the six months ended June 30, 2022, compared to $12.7 million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six months ended June 30, 2021. The increase was primarily due to gains recognized during the 2022 period from sales of investments in our strategic investments portfolio.</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Trading Income</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Adjusted Net Trading Income, which is a non-GAAP measure, decreased $207.4 million, or 19.4%, to $862.4 million for the six months ended June 30, 2022, compared to $1,069.9 million for the six months ended June 30, 2021. This decrease was primarily attributable to lower Trading Income, net as noted above, partially offset by lower Brokerage, exchange, clearance fees and payments for order flow, net as described below, incurred by Market Making. Adjusted Net Trading Income per day decreased $1.6 million, or 19.4%, to $7.0 million for the six months ended June 30, 2022, compared to $8.6 million for the six months ended June 30, 2021. The number of trading days was 124 days for both the six months ended June 30, 2022 and June 30, 2021.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Our operating expenses decreased $46.2 million, or 4.9%, to $890.5 million for the six months ended June 30, 2022, compared to $936.7 million for the six months ended June 30, 2021. The decrease in operating expenses was primarily due to lower Brokerage, exchange, clearance fees and payments for order flow, net, partially offset by increases in Debt issue cost related to debt refinancing, prepayment, and commitment fees, and Interest and dividends expense.</w:t>
      </w:r>
    </w:p>
    <w:p>
      <w:pPr>
        <w:spacing w:after="0" w:line="173" w:lineRule="exact"/>
        <w:rPr>
          <w:sz w:val="20"/>
          <w:szCs w:val="20"/>
          <w:color w:val="auto"/>
        </w:rPr>
      </w:pPr>
    </w:p>
    <w:p>
      <w:pPr>
        <w:ind w:right="240" w:firstLine="62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net,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decreased $122.7 million, or 28.5%, to $307.4 million for the six months ended June 30, 2022, compared to $430.0 million for the six months ended June 30, 2021. These costs vary period to period based upon the level and composition of our trading activities. We evaluate this category, representing direct costs associated with transacting our business, in the broader context of our Adjusted Net Trading Income.</w:t>
      </w:r>
    </w:p>
    <w:p>
      <w:pPr>
        <w:spacing w:after="0" w:line="204" w:lineRule="exact"/>
        <w:rPr>
          <w:sz w:val="20"/>
          <w:szCs w:val="20"/>
          <w:color w:val="auto"/>
        </w:rPr>
      </w:pPr>
    </w:p>
    <w:p>
      <w:pPr>
        <w:ind w:right="46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expense increased $7.3 million, or 7.0%, to $111.5 million for the six</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June 30, 2022, compared to $104.2 million for the six months ended June 30, 2021. This increase was primarily attributable to increased connectivity spending on colocation, subscriber connections and trading membership fees.</w:t>
      </w:r>
    </w:p>
    <w:p>
      <w:pPr>
        <w:spacing w:after="0" w:line="183" w:lineRule="exact"/>
        <w:rPr>
          <w:sz w:val="20"/>
          <w:szCs w:val="20"/>
          <w:color w:val="auto"/>
        </w:rPr>
      </w:pPr>
    </w:p>
    <w:p>
      <w:pPr>
        <w:ind w:right="16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increased $13.5 million, or 7.1%, to $202.1 million for the six</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June 30, 2022, compared to $188.6 million for the six months ended June 30, 2021. The increase in compensation levels was primarily attributable to an increase in salaries and an increase in share-based compensation related to prior year incentive awards and the portion of anticipated current year incentive awards that is accrued in the current period.</w:t>
      </w:r>
    </w:p>
    <w:p>
      <w:pPr>
        <w:spacing w:after="0" w:line="192"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We have capitalized and therefore excluded employee compensation and benefits related to software development of $16.7 million and $18.0 million for the six months ended June 30, 2022 and 2021, respectively.</w:t>
      </w:r>
    </w:p>
    <w:p>
      <w:pPr>
        <w:spacing w:after="0" w:line="156" w:lineRule="exact"/>
        <w:rPr>
          <w:sz w:val="20"/>
          <w:szCs w:val="20"/>
          <w:color w:val="auto"/>
        </w:rPr>
      </w:pPr>
    </w:p>
    <w:p>
      <w:pPr>
        <w:ind w:right="40" w:firstLine="629"/>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Interest and dividends expense increased $42.3 million, or 86.2%, to $91.3 million for the six months ended June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compared to $49.0 million for the six months ended June 30, 2021. This increase was primarily attributable to higher dividend expense with respect to securities sold, not yet purchased and higher interest expense incurred on cash collateral received driven by higher interest rates, as well as an increase in securities lending transactions for the period compared to the same period during the prior year. As indicated above, rather than analyzing interest and dividends expense in isolation, we generally evaluate it in the broader context of our Adjusted Net Trading Income.</w:t>
      </w:r>
    </w:p>
    <w:p>
      <w:pPr>
        <w:spacing w:after="0" w:line="195" w:lineRule="exact"/>
        <w:rPr>
          <w:sz w:val="20"/>
          <w:szCs w:val="20"/>
          <w:color w:val="auto"/>
        </w:rPr>
      </w:pPr>
    </w:p>
    <w:p>
      <w:pPr>
        <w:jc w:val="both"/>
        <w:ind w:right="240" w:firstLine="62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decreased $8.6 million, or 18.2%, to $38.8 million for the six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June 30, 2022, compared to $47.4 million for the six months ended June 30, 2021. The decrease was primarily driven by the beneficial effect of a strong U.S. dollar on foreign exchange translation gains during the six months ended June 30, 2022.</w:t>
      </w:r>
    </w:p>
    <w:p>
      <w:pPr>
        <w:spacing w:after="0" w:line="196" w:lineRule="exact"/>
        <w:rPr>
          <w:sz w:val="20"/>
          <w:szCs w:val="20"/>
          <w:color w:val="auto"/>
        </w:rPr>
      </w:pPr>
    </w:p>
    <w:p>
      <w:pPr>
        <w:ind w:right="36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increased $0.7 million, or 2.1%, to $33.8 million for the six months ended June 30,</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2022, compared to $33.1 million for the six months ended June 30, 2021. This increase was primarily attributable to an increase in capital expenditures on telecommunication, networking, and other assets.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decreased $3.4 million, or 9.4%, to $32.8 million for the six months ended June 30, 2022, compared to $36.2 million for the six months ended June 30, 2021.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decrease was primarily attributable to certain intangible assets being fully amortized in 2021.</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65" w:name="page66"/>
    <w:bookmarkEnd w:id="65"/>
    <w:p>
      <w:pPr>
        <w:jc w:val="both"/>
        <w:ind w:right="18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was $1.4 million for the six months ended June 30, 2022, compared to $4.9 million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six months ended June 30, 2021. These expenses are related to the impairment of leasehold improvements and fixed assets for certain abandoned office space.</w:t>
      </w:r>
    </w:p>
    <w:p>
      <w:pPr>
        <w:spacing w:after="0" w:line="165" w:lineRule="exact"/>
        <w:rPr>
          <w:sz w:val="20"/>
          <w:szCs w:val="20"/>
          <w:color w:val="auto"/>
        </w:rPr>
      </w:pPr>
    </w:p>
    <w:p>
      <w:pPr>
        <w:ind w:right="8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Expense from debt issue cost related to debt refinancing, prepayment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commitment fees increased $23.4 million, or 624.4%, to $27.1 million for the six months ended June 30, 2022, compared to $3.7 million for the six months ended June 30, 2021. The increase was primarily driven by the acceleration of deferred debt issuance costs as a result of refinancing our long-term debt transaction in January 2022. See Note 8 "Borrowings" of Part I Item 1 “Financial Statements” of this Quarterly Report on Form 10-Q for additional details.</w:t>
      </w:r>
    </w:p>
    <w:p>
      <w:pPr>
        <w:spacing w:after="0" w:line="188" w:lineRule="exact"/>
        <w:rPr>
          <w:sz w:val="20"/>
          <w:szCs w:val="20"/>
          <w:color w:val="auto"/>
        </w:rPr>
      </w:pPr>
    </w:p>
    <w:p>
      <w:pPr>
        <w:ind w:right="8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were $1.0 million for the six months ended June 30, 2022, compared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immaterial amounts for the six months ended June 30, 2021. These expenses were primarily incurred in relation to our strategic investment portfolio.</w:t>
      </w:r>
    </w:p>
    <w:p>
      <w:pPr>
        <w:spacing w:after="0" w:line="165" w:lineRule="exact"/>
        <w:rPr>
          <w:sz w:val="20"/>
          <w:szCs w:val="20"/>
          <w:color w:val="auto"/>
        </w:rPr>
      </w:pPr>
    </w:p>
    <w:p>
      <w:pPr>
        <w:jc w:val="both"/>
        <w:ind w:right="18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 term borrowings. </w:t>
      </w:r>
      <w:r>
        <w:rPr>
          <w:rFonts w:ascii="Times New Roman" w:cs="Times New Roman" w:eastAsia="Times New Roman" w:hAnsi="Times New Roman"/>
          <w:sz w:val="17"/>
          <w:szCs w:val="17"/>
          <w:color w:val="auto"/>
        </w:rPr>
        <w:t>Financing interest expense on long-term borrowings increased $3.8 million, or 9.6%, to $43.4</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six months ended June 30, 2022, compared to $39.6 million for the six months ended June 30, 2021. This increase was primarily attributable to the increase in outstanding principal as a result of refinancing our long-term debt in January 2022, as described in further detail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54" w:lineRule="exact"/>
        <w:rPr>
          <w:sz w:val="20"/>
          <w:szCs w:val="20"/>
          <w:color w:val="auto"/>
        </w:rPr>
      </w:pPr>
    </w:p>
    <w:p>
      <w:pPr>
        <w:jc w:val="both"/>
        <w:ind w:right="60" w:firstLine="629"/>
        <w:spacing w:after="0" w:line="270" w:lineRule="auto"/>
        <w:rPr>
          <w:sz w:val="20"/>
          <w:szCs w:val="20"/>
          <w:color w:val="auto"/>
        </w:rPr>
      </w:pPr>
      <w:r>
        <w:rPr>
          <w:rFonts w:ascii="Times New Roman" w:cs="Times New Roman" w:eastAsia="Times New Roman" w:hAnsi="Times New Roman"/>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$66.7 million, and 16.0% for the six months ended June 30, 2022, compared to a provision for income taxes of $106.7 million, and 17.1% for the six months ended June 30, 2021.</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54"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As of June 30, 2022, we had $810.6 million in Cash and cash equivalents. This balance is maintained primarily to support operating activities, for capital expenditures and for short-term access to liquidity, and for other general corporate purposes. As of June 30, 2022, we had borrowings under our prime brokerage credit facilities of approximately $218.4 million, borrowings under our broker dealer facilities of $158.0 million, and long-term debt outstanding in an aggregate principal amount of approximately $1,825.8 million.</w:t>
      </w:r>
    </w:p>
    <w:p>
      <w:pPr>
        <w:spacing w:after="0" w:line="194"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U.S. broker-dealer subsidiary, as discussed in Note 8 "Borrowings" of Part I Item 1 “Financial Statements” of this Quarterly Report on Form 10-Q.</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Liquidity and Capital Resources</w:t>
      </w:r>
    </w:p>
    <w:p>
      <w:pPr>
        <w:spacing w:after="0" w:line="254"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66" w:name="page67"/>
    <w:bookmarkEnd w:id="66"/>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Liquidity and Capital Resources</w:t>
      </w:r>
    </w:p>
    <w:p>
      <w:pPr>
        <w:spacing w:after="0" w:line="254" w:lineRule="exact"/>
        <w:rPr>
          <w:sz w:val="20"/>
          <w:szCs w:val="20"/>
          <w:color w:val="auto"/>
        </w:rPr>
      </w:pPr>
    </w:p>
    <w:p>
      <w:pPr>
        <w:ind w:right="200" w:firstLine="629"/>
        <w:spacing w:after="0" w:line="276" w:lineRule="auto"/>
        <w:rPr>
          <w:sz w:val="20"/>
          <w:szCs w:val="20"/>
          <w:color w:val="auto"/>
        </w:rPr>
      </w:pPr>
      <w:r>
        <w:rPr>
          <w:rFonts w:ascii="Times New Roman" w:cs="Times New Roman" w:eastAsia="Times New Roman" w:hAnsi="Times New Roman"/>
          <w:sz w:val="17"/>
          <w:szCs w:val="17"/>
          <w:color w:val="auto"/>
        </w:rPr>
        <w:t>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notably the refinancing of our term loan in January 2022, will be sufficient to fund capital demands.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Agreements</w:t>
      </w:r>
    </w:p>
    <w:p>
      <w:pPr>
        <w:spacing w:after="0" w:line="241"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4 "Tax Receivable Agreements" of Part I Item 1 “Financial Statements” of this Quarterly Report on Form 10-Q are expected to range from approximately $0.4 million to $22.0 million per year over the next 15 years. Such payments will occur only after we have filed our U.S. federal and state income tax returns and realized the cash tax savings from the favorable tax attributes. We made our first payment of $7.0 million in February 2017, and subsequent payments of $12.4 million in September 2018, $13.3 million in March 2020, $16.5 million in April 2021, and $21.3 million in March 2022. Future payments under the tax receivable agreements in respect of subsequent exchanges would be in addition to these amounts. We currently expect to fund these payments from realized cash tax savings from the favorable tax attributes.</w:t>
      </w:r>
    </w:p>
    <w:p>
      <w:pPr>
        <w:spacing w:after="0" w:line="221"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Capital Requirements</w:t>
      </w:r>
    </w:p>
    <w:p>
      <w:pPr>
        <w:spacing w:after="0" w:line="25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Our principal U.S. subsidiary, Virtu Americas LLC ("VAL") is subject to separate regulation and capital requirements in the U.S. and other</w:t>
      </w:r>
    </w:p>
    <w:p>
      <w:pPr>
        <w:spacing w:after="0" w:line="3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jurisdictions. VAL is a registered U.S. broker-dealer, and its primary regulators include the SEC and the Financial Industry Regulatory Authority ("FINRA").</w:t>
      </w:r>
    </w:p>
    <w:p>
      <w:pPr>
        <w:spacing w:after="0" w:line="232"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w:t>
      </w:r>
    </w:p>
    <w:p>
      <w:pPr>
        <w:spacing w:after="0" w:line="203"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Our Canadian subsidiaries, Virtu ITG Canada Corp. and Virtu Financial Canada ULC, are subject to regulatory capital requirements and periodic requirements to report their regulatory capital and submit other regulatory reports set forth by the Investment Industry Regulatory Organization of Canada. Our Irish subsidiaries, Virtu Financial Ireland Limited ("VFIL") and Virtu ITG Europe Limited ("VIEL") are regulated by the Central Bank of Ireland as Investment Firms and in accordance with European Union law are required to maintain a minimum amount of regulatory capital based upon their positions, financial</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67" w:name="page68"/>
    <w:bookmarkEnd w:id="67"/>
    <w:p>
      <w:pPr>
        <w:spacing w:after="0" w:line="265" w:lineRule="auto"/>
        <w:rPr>
          <w:sz w:val="20"/>
          <w:szCs w:val="20"/>
          <w:color w:val="auto"/>
        </w:rPr>
      </w:pPr>
      <w:r>
        <w:rPr>
          <w:rFonts w:ascii="Times New Roman" w:cs="Times New Roman" w:eastAsia="Times New Roman" w:hAnsi="Times New Roman"/>
          <w:sz w:val="17"/>
          <w:szCs w:val="17"/>
          <w:color w:val="auto"/>
        </w:rPr>
        <w:t>conditions, and other factors. In addition to periodic requirements to report their regulatory capital and submit other regulatory reports, VFIL and VIEL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Virtu ITG Hong Kong Limited, and Virtu ITG Singapore Pte Limited are also subject to local regulatory capital requirements and are regulated by the Australian Securities and Investments Commission, the Securities and Futures Commission of Hong Kong, and the Monetary Authority of Singapore, respectively.</w:t>
      </w:r>
    </w:p>
    <w:p>
      <w:pPr>
        <w:spacing w:after="0" w:line="198"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See Note 19 "Regulatory Requirement" of Part I Item 1 “Financial Statements” of this Quarterly Report on Form 10-Q for a discussion of regulatory capital requirements of our regulated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Broker Dealer Credit Facilities, Short-Term Bank Loans, and Prime Brokerage Credit Facilities</w:t>
      </w:r>
    </w:p>
    <w:p>
      <w:pPr>
        <w:spacing w:after="0" w:line="254"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We maintain various broker-dealer facilities and short-term credit facilities as part of our daily trading operations. See Note 8 "Borrowings" of Part I Item 1 “Financial Statements” of this Quarterly Report on Form 10-Q for details on our various credit facilities. As of June 30, 2022, the outstanding principal balance on our broker-dealer facilities was $158.0 million and the outstanding aggregate short-term credit facilities with various prime brokers and other financial institutions from which the Company receives execution or clearing services was approximately $218.4 million, which was netted within Receivables from broker-dealers and clearing organizations on the Condensed Consolidated Statements of Financial Condition of Part I Item 1 “Financial Statements” of this Quarterly Report on Form 10-Q.</w:t>
      </w:r>
    </w:p>
    <w:p>
      <w:pPr>
        <w:spacing w:after="0" w:line="198" w:lineRule="exact"/>
        <w:rPr>
          <w:sz w:val="20"/>
          <w:szCs w:val="20"/>
          <w:color w:val="auto"/>
        </w:rPr>
      </w:pPr>
    </w:p>
    <w:p>
      <w:pPr>
        <w:ind w:right="460" w:firstLine="629"/>
        <w:spacing w:after="0" w:line="263" w:lineRule="auto"/>
        <w:rPr>
          <w:sz w:val="20"/>
          <w:szCs w:val="20"/>
          <w:color w:val="auto"/>
        </w:rPr>
      </w:pPr>
      <w:r>
        <w:rPr>
          <w:rFonts w:ascii="Times New Roman" w:cs="Times New Roman" w:eastAsia="Times New Roman" w:hAnsi="Times New Roman"/>
          <w:sz w:val="17"/>
          <w:szCs w:val="17"/>
          <w:color w:val="auto"/>
        </w:rPr>
        <w:t>On March 20, 2020, a broker-dealer subsidiary of the Company entered into a loan agreement (the “Founder Member Loan Facility”) with TJMT Holdings LLC (the “Founder Member”), as lender and administrative agent, providing for unsecured term loans from time to time (the “Founder Member Loans”) in an aggregate original principal amount not to exceed $300 million. The Founder Member Loans were available to be borrowed in one or more borrowings on or after March 20, 2020 and prior to September 20, 2020, though no borrowings were made during such period, which is now expired. The Founder Member is an affiliate of Mr. Vincent Viola, the Company’s founder and Chairman Emeritus. Upon the execution of and in consideration for the Lender’s commitments under the Founder Member Loan Facility, the Company delivered to the Founder Member a warrant to purchase shares of the Company’s Class A Common Stock, as described below.</w:t>
      </w:r>
    </w:p>
    <w:p>
      <w:pPr>
        <w:spacing w:after="0" w:line="203"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On March 20, 2020, in connection with and in consideration of the Founder Member’s commitments under the Founder Member Loan Facility, the Company delivered to the Founder Member a warrant (the “Warrant”) to purchase shares of the Company’s Class A Common Stock. Pursuant to the Warrant, the Founder Member was entitled to purchase up to 3,000,000 shares of Class A Common Stock on or after May 22, 2020 up to and including January 15, 2022. If at any time during the term of the Founder Member Loan Facility, the Founder Member Loans equal to or greater than $100 million had remained outstanding for a certain period of time specified in the Warrant, the number of shares would have increased to 10,000,000. The exercise price per share of the Class A Common Stock issuable pursuant to the Warrant was $22.98. The Warrant was exercised on December 17, 2021 for the full 3,000,000 shares of the Company's Class A Common Stock. The Warrant and Class A Common Stock issued pursuant to the Warrant were offered, issued and sold, in reliance on the exemption from the registration requirements of the Securities Act, set forth under Section 4(a)(2) of the Securities Act relating to sales by an issuer not involving any public offering.</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241" w:lineRule="exact"/>
        <w:rPr>
          <w:sz w:val="20"/>
          <w:szCs w:val="20"/>
          <w:color w:val="auto"/>
        </w:rPr>
      </w:pPr>
    </w:p>
    <w:p>
      <w:pPr>
        <w:ind w:right="60" w:firstLine="629"/>
        <w:spacing w:after="0" w:line="253" w:lineRule="auto"/>
        <w:rPr>
          <w:sz w:val="20"/>
          <w:szCs w:val="20"/>
          <w:color w:val="auto"/>
        </w:rPr>
      </w:pPr>
      <w:r>
        <w:rPr>
          <w:rFonts w:ascii="Times New Roman" w:cs="Times New Roman" w:eastAsia="Times New Roman" w:hAnsi="Times New Roman"/>
          <w:sz w:val="17"/>
          <w:szCs w:val="17"/>
          <w:color w:val="auto"/>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On the Credit Agreement Closing Date, VFH and Virtu</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entered into the Credit Agreement. The Credit Agreement provides (i) a senior secured first lien term loan in an aggregate principal amount of</w:t>
      </w:r>
    </w:p>
    <w:p>
      <w:pPr>
        <w:spacing w:after="0" w:line="21"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7"/>
          <w:szCs w:val="17"/>
          <w:color w:val="auto"/>
        </w:rPr>
        <w:t>$1,800.0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8" w:name="page69"/>
    <w:bookmarkEnd w:id="68"/>
    <w:p>
      <w:pPr>
        <w:ind w:firstLine="629"/>
        <w:spacing w:after="0" w:line="260" w:lineRule="auto"/>
        <w:rPr>
          <w:sz w:val="20"/>
          <w:szCs w:val="20"/>
          <w:color w:val="auto"/>
        </w:rPr>
      </w:pPr>
      <w:r>
        <w:rPr>
          <w:rFonts w:ascii="Times New Roman" w:cs="Times New Roman" w:eastAsia="Times New Roman" w:hAnsi="Times New Roman"/>
          <w:sz w:val="17"/>
          <w:szCs w:val="17"/>
          <w:color w:val="auto"/>
        </w:rPr>
        <w:t>In connection with the ITG Acquisition, Virtu Financial, VFH and the Acquisition Borrower entered into the Acquisition Credit Agreement, with the lenders party thereto, Jefferies Finance LLC, as administrative agent and Jefferies Finance LLC and RBC Capital Markets, as joint lead arrangers and joint bookrunners. The Acquisition Credit Agreement provided (i) the Acquisition First Lien Term Loan Facility in an aggregate principal amount of $1,500.0 million, drawn in its entirety on the ITG Closing Date, of which approximately $404.5 million was borrowed by VFH to repay all amounts outstanding under a previous term loan facility and the remaining approximately $1,095 million was borrowed by the Acquisition Borrower to finance the consideration and fees and expenses paid in connection with the ITG Acquisition, and (ii) the $50 million Acquisition First Lien Revolving Facility, with a $5.0 million letter of credit subfacility and a $5.0 million swing-line subfacility. After the ITG Closing Date, VFH assumed the obligations of the Acquisition Borrower in respect of the acquisition term loans. On October 9, 2019, VFH entered into Amendment No. 1, which amended the Acquisition Credit Agreement dated as of March 1, 2019, to, among other things, provide for $525.0 million in aggregate principal amount of the Acquisition Incremental Term Loans, and amend the related collateral agreement. On March 2, 2020, VFH entered into Amendment No. 2, which further amended the Acquisition Credit Agreement to, among other things, reduce the interest rate spread over adjusted LIBOR or the alternate base rate by 0.50% per annum and eliminated any step-down in the spread based on VFH's first lien leverage ratio. There were no outstanding borrowings under the Acquisition Credit Agreement as of June 30, 2022</w:t>
      </w:r>
    </w:p>
    <w:p>
      <w:pPr>
        <w:spacing w:after="0" w:line="209"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205" w:lineRule="exact"/>
        <w:rPr>
          <w:sz w:val="20"/>
          <w:szCs w:val="20"/>
          <w:color w:val="auto"/>
        </w:rPr>
      </w:pPr>
    </w:p>
    <w:p>
      <w:pPr>
        <w:ind w:right="40" w:firstLine="629"/>
        <w:spacing w:after="0" w:line="268" w:lineRule="auto"/>
        <w:rPr>
          <w:sz w:val="20"/>
          <w:szCs w:val="20"/>
          <w:color w:val="auto"/>
        </w:rPr>
      </w:pPr>
      <w:r>
        <w:rPr>
          <w:rFonts w:ascii="Times New Roman" w:cs="Times New Roman" w:eastAsia="Times New Roman" w:hAnsi="Times New Roman"/>
          <w:sz w:val="17"/>
          <w:szCs w:val="17"/>
          <w:color w:val="auto"/>
        </w:rPr>
        <w:t>The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200" w:lineRule="exact"/>
        <w:rPr>
          <w:sz w:val="20"/>
          <w:szCs w:val="20"/>
          <w:color w:val="auto"/>
        </w:rPr>
      </w:pPr>
    </w:p>
    <w:p>
      <w:pPr>
        <w:spacing w:after="0" w:line="210" w:lineRule="exact"/>
        <w:rPr>
          <w:sz w:val="20"/>
          <w:szCs w:val="20"/>
          <w:color w:val="auto"/>
        </w:rPr>
      </w:pPr>
    </w:p>
    <w:p>
      <w:pPr>
        <w:jc w:val="both"/>
        <w:ind w:right="420" w:firstLine="629"/>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94" w:lineRule="exact"/>
        <w:rPr>
          <w:sz w:val="20"/>
          <w:szCs w:val="20"/>
          <w:color w:val="auto"/>
        </w:rPr>
      </w:pPr>
    </w:p>
    <w:p>
      <w:pPr>
        <w:ind w:right="240" w:firstLine="629"/>
        <w:spacing w:after="0" w:line="276" w:lineRule="auto"/>
        <w:rPr>
          <w:sz w:val="20"/>
          <w:szCs w:val="20"/>
          <w:color w:val="auto"/>
        </w:rPr>
      </w:pPr>
      <w:r>
        <w:rPr>
          <w:rFonts w:ascii="Times New Roman" w:cs="Times New Roman" w:eastAsia="Times New Roman" w:hAnsi="Times New Roman"/>
          <w:sz w:val="17"/>
          <w:szCs w:val="17"/>
          <w:color w:val="auto"/>
        </w:rPr>
        <w:t>Under the Credit Agreement, the term loans will mature on January 13, 2029. The term loans amortize in annual installments equal to 1.0% of the original aggregate principal amount of the term loans. The revolving commitments will terminate on January 13, 2025. As of June 30, 2022, $1,800.0 million was outstanding under the term loans. We were in compliance with all applicable covenants under the Credit Agreement as of June 30, 2022.</w:t>
      </w:r>
    </w:p>
    <w:p>
      <w:pPr>
        <w:spacing w:after="0" w:line="190"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In October 2019, the Company entered into a five-year $525.0 million floating-to-fixed interest rate swap agreement. In January 2020, the Company entered into a five-year $1,000.0 million floating-to-fixed interest rate swap agreement. These two interest rate swaps met the criteria to be considered and were designated as qualifying cash flow hedges under ASC 815 in the first quarter of 2020, and they effectively fixed interest payment obligations on $525.0 million and $1,000.0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54" w:lineRule="exact"/>
        <w:rPr>
          <w:sz w:val="20"/>
          <w:szCs w:val="20"/>
          <w:color w:val="auto"/>
        </w:rPr>
      </w:pPr>
    </w:p>
    <w:p>
      <w:pPr>
        <w:ind w:right="360" w:firstLine="629"/>
        <w:spacing w:after="0" w:line="296" w:lineRule="auto"/>
        <w:rPr>
          <w:sz w:val="20"/>
          <w:szCs w:val="20"/>
          <w:color w:val="auto"/>
        </w:rPr>
      </w:pPr>
      <w:r>
        <w:rPr>
          <w:rFonts w:ascii="Times New Roman" w:cs="Times New Roman" w:eastAsia="Times New Roman" w:hAnsi="Times New Roman"/>
          <w:sz w:val="17"/>
          <w:szCs w:val="17"/>
          <w:color w:val="auto"/>
        </w:rPr>
        <w:t>Our main sources of liquidity are cash flow from the operations of our subsidiaries, our broker-dealer credit facilities (as described above), margin financing provided by our prime brokers and cash on hand.</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 below summarizes our primary sources and uses of cash for the six months ended June 30, 2022, and 2021 and 2020.</w:t>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55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57,622</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355,441</w:t>
            </w:r>
          </w:p>
        </w:tc>
        <w:tc>
          <w:tcPr>
            <w:tcW w:w="0" w:type="dxa"/>
            <w:vAlign w:val="bottom"/>
          </w:tcPr>
          <w:p>
            <w:pPr>
              <w:spacing w:after="0"/>
              <w:rPr>
                <w:sz w:val="1"/>
                <w:szCs w:val="1"/>
                <w:color w:val="auto"/>
              </w:rPr>
            </w:pPr>
          </w:p>
        </w:tc>
      </w:tr>
      <w:tr>
        <w:trPr>
          <w:trHeight w:val="189"/>
        </w:trPr>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(42,738)</w:t>
            </w:r>
          </w:p>
        </w:tc>
        <w:tc>
          <w:tcPr>
            <w:tcW w:w="0" w:type="dxa"/>
            <w:vAlign w:val="bottom"/>
          </w:tcPr>
          <w:p>
            <w:pPr>
              <w:spacing w:after="0"/>
              <w:rPr>
                <w:sz w:val="1"/>
                <w:szCs w:val="1"/>
                <w:color w:val="auto"/>
              </w:rPr>
            </w:pPr>
          </w:p>
        </w:tc>
      </w:tr>
      <w:tr>
        <w:trPr>
          <w:trHeight w:val="204"/>
        </w:trPr>
        <w:tc>
          <w:tcPr>
            <w:tcW w:w="5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(400,843)</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(24,978)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(3,610)</w:t>
            </w: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(271,183)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(91,750)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39" w:lineRule="exact"/>
        <w:rPr>
          <w:sz w:val="20"/>
          <w:szCs w:val="20"/>
          <w:color w:val="auto"/>
        </w:rPr>
      </w:pPr>
    </w:p>
    <w:p>
      <w:pPr>
        <w:ind w:firstLine="629"/>
        <w:spacing w:after="0" w:line="248" w:lineRule="auto"/>
        <w:rPr>
          <w:sz w:val="20"/>
          <w:szCs w:val="20"/>
          <w:color w:val="auto"/>
        </w:rPr>
      </w:pPr>
      <w:r>
        <w:rPr>
          <w:rFonts w:ascii="Times New Roman" w:cs="Times New Roman" w:eastAsia="Times New Roman" w:hAnsi="Times New Roman"/>
          <w:sz w:val="17"/>
          <w:szCs w:val="17"/>
          <w:color w:val="auto"/>
        </w:rPr>
        <w:t>Net cash provided by operating activities was $57.6 million for the six months ended June 30, 2022, compared to net cash provided by operating activities of $355.4 million for the six months ended June 30, 2021. The decrease in net cash provided by operating activities was primarily attributable to lower net income, as well as increased in operating assets, net of operating liabilities, related to our trading activities for the six months ended June 30, 2022 compared to the prior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52"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Net cash provided by investing activities was $4.0 million for the six months ended June 30, 2022, compared to net cash used in investing activities of $42.7 million for the six months ended June 30, 2021. The increase in cash provided by investing activities for the six months ended June 30, 2022 was primarily attributable to sales of strategic investments during the six months ended June 30, 2022 as compared to the prior period, offset by cash used for the acquisition of property and equipment, and capitalized software for both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Net cash used in financing activities was $307.8 million for the six months ended June 30, 2022, while net cash used in financing activities was $400.8</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for the six months ended June 30, 2021. The cash used in financing activities for the six months ended June 30, 2022 was primarily attributable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$228.8 million in dividends to stockholders and distributions made to noncontrolling interests and $353.1 million in purchases of treasury stock, partially offset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net proceeds of $200.2 million from the issuance of the new term loan and repayment of the existing term loan in January 2022. The cash used in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financing activities of $400.8 million during the same period of 2021 primarily reflects $321.9 million net dividends to stockholders and distributions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noncontrolling interests, and $180.8 million purchase of treasury stock, partially offset by an increase of $151.4 million in short-term borrowings.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On February 8, 2018, the Company’s Board of Directors authorized a share repurchase program of up to $50.0 million</w:t>
      </w:r>
    </w:p>
    <w:p>
      <w:pPr>
        <w:spacing w:after="0" w:line="3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in Class A Common Stock and Virtu Financial Units, which was expanded to $100.0 million on July 27, 2018. The Company repurchased approximately 2.6 million shares of Class A Common Stock and Virtu Financial Units for approximately $65.9 million under this program, which expired on September 30, 2019.</w:t>
      </w:r>
    </w:p>
    <w:p>
      <w:pPr>
        <w:spacing w:after="0" w:line="191" w:lineRule="exact"/>
        <w:rPr>
          <w:sz w:val="20"/>
          <w:szCs w:val="20"/>
          <w:color w:val="auto"/>
        </w:rPr>
      </w:pPr>
    </w:p>
    <w:p>
      <w:pPr>
        <w:ind w:right="380" w:firstLine="629"/>
        <w:spacing w:after="0" w:line="296"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new share repurchase program of up to $100.0 million in Class A common stock and Virtu Financial Units by December 31, 2021.</w:t>
      </w:r>
    </w:p>
    <w:p>
      <w:pPr>
        <w:spacing w:after="0" w:line="173"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On February 11, 2021, the Company's Board of Directors authorized the expansion of the Company's share repurchase program, increasing the total authorized amount by $70.0 million to $170.0 million in Class A Common Stock and Virtu Financial Units up to December 31, 2021.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70" w:name="page71"/>
    <w:bookmarkEnd w:id="70"/>
    <w:p>
      <w:pPr>
        <w:ind w:right="360" w:firstLine="629"/>
        <w:spacing w:after="0" w:line="276" w:lineRule="auto"/>
        <w:rPr>
          <w:sz w:val="20"/>
          <w:szCs w:val="20"/>
          <w:color w:val="auto"/>
        </w:rPr>
      </w:pPr>
      <w:r>
        <w:rPr>
          <w:rFonts w:ascii="Times New Roman" w:cs="Times New Roman" w:eastAsia="Times New Roman" w:hAnsi="Times New Roman"/>
          <w:sz w:val="17"/>
          <w:szCs w:val="17"/>
          <w:color w:val="auto"/>
        </w:rPr>
        <w:t>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w:t>
      </w:r>
    </w:p>
    <w:p>
      <w:pPr>
        <w:spacing w:after="0" w:line="190"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On November 3, 2021, the Company's Board of Directors authorized the expansion of the Company's current share repurchase program, increasing the total authorized amount by $750 million to $1,220 million and extended the duration through November 3, 2023.</w:t>
      </w:r>
    </w:p>
    <w:p>
      <w:pPr>
        <w:spacing w:after="0" w:line="173"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June 30, 2022, the Company repurchased approximately 26.8 million shares of Class A Common Stock and Virtu Financial Units for approximately $773.8 million. As of June 30, 2022, the Company has approximately of $446.2 million remaining capacity for future purchases of shares of Class A Common Stock and Virtu Financial Units under the program.</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w:t>
      </w:r>
    </w:p>
    <w:p>
      <w:pPr>
        <w:spacing w:after="0" w:line="196"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Financial Instruments</w:t>
      </w:r>
    </w:p>
    <w:p>
      <w:pPr>
        <w:spacing w:after="0" w:line="254"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96"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1 — Unadjusted quoted prices in active markets that are accessible at the measurement date for identical, unrestricted assets or liabilities;</w:t>
      </w:r>
    </w:p>
    <w:p>
      <w:pPr>
        <w:spacing w:after="0" w:line="250"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Level 2 — Quoted prices in markets that are not active and financial instruments for which all significant inputs are observable, either directly or indirectly; or</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3 — Prices or valuations that require inputs that are both significant to the fair value measurement and unobservable</w:t>
      </w:r>
    </w:p>
    <w:p>
      <w:pPr>
        <w:spacing w:after="0" w:line="237" w:lineRule="exact"/>
        <w:rPr>
          <w:sz w:val="20"/>
          <w:szCs w:val="20"/>
          <w:color w:val="auto"/>
        </w:rPr>
      </w:pPr>
    </w:p>
    <w:p>
      <w:pPr>
        <w:ind w:right="280" w:firstLine="629"/>
        <w:spacing w:after="0" w:line="280" w:lineRule="auto"/>
        <w:rPr>
          <w:sz w:val="20"/>
          <w:szCs w:val="20"/>
          <w:color w:val="auto"/>
        </w:rPr>
      </w:pPr>
      <w:r>
        <w:rPr>
          <w:rFonts w:ascii="Times New Roman" w:cs="Times New Roman" w:eastAsia="Times New Roman" w:hAnsi="Times New Roman"/>
          <w:sz w:val="17"/>
          <w:szCs w:val="17"/>
          <w:color w:val="auto"/>
        </w:rPr>
        <w:t>The fair values for substantially all of our financial instruments owned and financial instruments sold but not yet purchased are based on observable prices and inputs and are classified in levels 1 and 2 of the fair value hierarchy. Instruments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1" w:name="page72"/>
    <w:bookmarkEnd w:id="71"/>
    <w:p>
      <w:pPr>
        <w:ind w:right="120"/>
        <w:spacing w:after="0" w:line="251" w:lineRule="auto"/>
        <w:rPr>
          <w:sz w:val="20"/>
          <w:szCs w:val="20"/>
          <w:color w:val="auto"/>
        </w:rPr>
      </w:pPr>
      <w:r>
        <w:rPr>
          <w:rFonts w:ascii="Times New Roman" w:cs="Times New Roman" w:eastAsia="Times New Roman" w:hAnsi="Times New Roman"/>
          <w:sz w:val="17"/>
          <w:szCs w:val="17"/>
          <w:color w:val="auto"/>
        </w:rPr>
        <w:t>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consolidated financial statements See Note 9 "Financial Assets and Liabilities" of Part I Item 1 “Financial Statements” of this Quarterly Report on Form 10-Q for further information about fair value measurements.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Income, Net</w:t>
      </w:r>
    </w:p>
    <w:p>
      <w:pPr>
        <w:spacing w:after="0" w:line="252"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and Dividends Income/Interest and Dividends Expense</w:t>
      </w:r>
    </w:p>
    <w:p>
      <w:pPr>
        <w:spacing w:after="0" w:line="252"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an accrual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Commissions, net and Technology Services</w:t>
      </w:r>
    </w:p>
    <w:p>
      <w:pPr>
        <w:spacing w:after="0" w:line="252" w:lineRule="exact"/>
        <w:rPr>
          <w:sz w:val="20"/>
          <w:szCs w:val="20"/>
          <w:color w:val="auto"/>
        </w:rPr>
      </w:pPr>
    </w:p>
    <w:p>
      <w:pPr>
        <w:ind w:right="40" w:firstLine="629"/>
        <w:spacing w:after="0" w:line="268" w:lineRule="auto"/>
        <w:rPr>
          <w:sz w:val="20"/>
          <w:szCs w:val="20"/>
          <w:color w:val="auto"/>
        </w:rPr>
      </w:pPr>
      <w:r>
        <w:rPr>
          <w:rFonts w:ascii="Times New Roman" w:cs="Times New Roman" w:eastAsia="Times New Roman" w:hAnsi="Times New Roman"/>
          <w:sz w:val="17"/>
          <w:szCs w:val="17"/>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spacing w:after="0" w:line="200" w:lineRule="exact"/>
        <w:rPr>
          <w:sz w:val="20"/>
          <w:szCs w:val="20"/>
          <w:color w:val="auto"/>
        </w:rPr>
      </w:pPr>
    </w:p>
    <w:p>
      <w:pPr>
        <w:spacing w:after="0" w:line="210" w:lineRule="exact"/>
        <w:rPr>
          <w:sz w:val="20"/>
          <w:szCs w:val="20"/>
          <w:color w:val="auto"/>
        </w:rPr>
      </w:pPr>
    </w:p>
    <w:p>
      <w:pPr>
        <w:ind w:right="700" w:firstLine="629"/>
        <w:spacing w:after="0" w:line="296" w:lineRule="auto"/>
        <w:rPr>
          <w:sz w:val="20"/>
          <w:szCs w:val="20"/>
          <w:color w:val="auto"/>
        </w:rPr>
      </w:pPr>
      <w:r>
        <w:rPr>
          <w:rFonts w:ascii="Times New Roman" w:cs="Times New Roman" w:eastAsia="Times New Roman" w:hAnsi="Times New Roman"/>
          <w:sz w:val="17"/>
          <w:szCs w:val="17"/>
          <w:color w:val="auto"/>
        </w:rPr>
        <w:t>Workflow technology revenues consist of order and trade execution management and order routing services we provide through our front-end workflow solutions and network capabilities.</w:t>
      </w:r>
    </w:p>
    <w:p>
      <w:pPr>
        <w:spacing w:after="0" w:line="17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94"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7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94"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2" w:name="page73"/>
    <w:bookmarkEnd w:id="72"/>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64" w:lineRule="exact"/>
        <w:rPr>
          <w:sz w:val="20"/>
          <w:szCs w:val="20"/>
          <w:color w:val="auto"/>
        </w:rPr>
      </w:pPr>
    </w:p>
    <w:p>
      <w:pPr>
        <w:ind w:left="1260" w:right="460" w:hanging="626"/>
        <w:spacing w:after="0" w:line="268" w:lineRule="auto"/>
        <w:tabs>
          <w:tab w:leader="none" w:pos="12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commission value for each customer for the products and services it receives, which is priced using the value for similar stand-alone subscription arrangements; and</w:t>
      </w:r>
    </w:p>
    <w:p>
      <w:pPr>
        <w:ind w:left="1260" w:right="540" w:hanging="626"/>
        <w:spacing w:after="0" w:line="274" w:lineRule="auto"/>
        <w:tabs>
          <w:tab w:leader="none" w:pos="1251"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calculated ratio of the commission value for the products and services relative to the total amount of commissions generated from the customer.</w:t>
      </w:r>
    </w:p>
    <w:p>
      <w:pPr>
        <w:spacing w:after="0" w:line="191"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5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90"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We record as treasury stock shares repurchased from employees for the purpose of settling tax liabilities incurred upon the issuance of common stock, the vesting of RSUs or the exercise of stock options.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54"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73"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90" w:lineRule="exact"/>
        <w:rPr>
          <w:sz w:val="20"/>
          <w:szCs w:val="20"/>
          <w:color w:val="auto"/>
        </w:rPr>
      </w:pPr>
    </w:p>
    <w:p>
      <w:pPr>
        <w:ind w:right="100" w:firstLine="629"/>
        <w:spacing w:after="0" w:line="249" w:lineRule="auto"/>
        <w:rPr>
          <w:sz w:val="20"/>
          <w:szCs w:val="20"/>
          <w:color w:val="auto"/>
        </w:rPr>
      </w:pPr>
      <w:r>
        <w:rPr>
          <w:rFonts w:ascii="Times New Roman" w:cs="Times New Roman" w:eastAsia="Times New Roman" w:hAnsi="Times New Roman"/>
          <w:sz w:val="17"/>
          <w:szCs w:val="17"/>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Agreements</w:t>
      </w:r>
    </w:p>
    <w:p>
      <w:pPr>
        <w:spacing w:after="0" w:line="254"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254" w:lineRule="exact"/>
        <w:rPr>
          <w:sz w:val="20"/>
          <w:szCs w:val="20"/>
          <w:color w:val="auto"/>
        </w:rPr>
      </w:pPr>
    </w:p>
    <w:p>
      <w:pPr>
        <w:ind w:right="360" w:firstLine="629"/>
        <w:spacing w:after="0" w:line="270"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94" w:lineRule="exact"/>
        <w:rPr>
          <w:sz w:val="20"/>
          <w:szCs w:val="20"/>
          <w:color w:val="auto"/>
        </w:rPr>
      </w:pPr>
    </w:p>
    <w:p>
      <w:pPr>
        <w:jc w:val="both"/>
        <w:ind w:right="60" w:firstLine="629"/>
        <w:spacing w:after="0" w:line="276" w:lineRule="auto"/>
        <w:rPr>
          <w:sz w:val="20"/>
          <w:szCs w:val="20"/>
          <w:color w:val="auto"/>
        </w:rPr>
      </w:pPr>
      <w:r>
        <w:rPr>
          <w:rFonts w:ascii="Times New Roman" w:cs="Times New Roman" w:eastAsia="Times New Roman" w:hAnsi="Times New Roman"/>
          <w:sz w:val="17"/>
          <w:szCs w:val="17"/>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59" w:lineRule="exact"/>
        <w:rPr>
          <w:sz w:val="20"/>
          <w:szCs w:val="20"/>
          <w:color w:val="auto"/>
        </w:rPr>
      </w:pPr>
    </w:p>
    <w:p>
      <w:pPr>
        <w:ind w:left="1260" w:hanging="312"/>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w:t>
      </w:r>
    </w:p>
    <w:p>
      <w:pPr>
        <w:spacing w:after="0" w:line="3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accessing capital;</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exchange rates or other developments in equity and credit markets;</w:t>
      </w:r>
    </w:p>
    <w:p>
      <w:pPr>
        <w:spacing w:after="0" w:line="14" w:lineRule="exact"/>
        <w:rPr>
          <w:rFonts w:ascii="Times New Roman" w:cs="Times New Roman" w:eastAsia="Times New Roman" w:hAnsi="Times New Roman"/>
          <w:sz w:val="17"/>
          <w:szCs w:val="17"/>
          <w:color w:val="auto"/>
        </w:rPr>
      </w:pPr>
    </w:p>
    <w:p>
      <w:pPr>
        <w:ind w:left="640" w:firstLine="308"/>
        <w:spacing w:after="0" w:line="257" w:lineRule="auto"/>
        <w:tabs>
          <w:tab w:leader="none" w:pos="126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ind w:left="1260" w:hanging="312"/>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factors such as increases in raw materials, labor, or other costs that have a negative effect on earnings and cash flows;</w:t>
      </w:r>
    </w:p>
    <w:p>
      <w:pPr>
        <w:spacing w:after="0" w:line="14" w:lineRule="exact"/>
        <w:rPr>
          <w:rFonts w:ascii="Times New Roman" w:cs="Times New Roman" w:eastAsia="Times New Roman" w:hAnsi="Times New Roman"/>
          <w:sz w:val="17"/>
          <w:szCs w:val="17"/>
          <w:color w:val="auto"/>
        </w:rPr>
      </w:pPr>
    </w:p>
    <w:p>
      <w:pPr>
        <w:ind w:left="640" w:right="280" w:firstLine="308"/>
        <w:spacing w:after="0" w:line="257" w:lineRule="auto"/>
        <w:tabs>
          <w:tab w:leader="none" w:pos="126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financial performance such as negative or declining cash flows or a decline in actual or planned revenue or earnings compared with actual and projected results of relevant prior periods;</w:t>
      </w:r>
    </w:p>
    <w:p>
      <w:pPr>
        <w:ind w:left="640" w:right="220" w:firstLine="308"/>
        <w:spacing w:after="0" w:line="274" w:lineRule="auto"/>
        <w:tabs>
          <w:tab w:leader="none" w:pos="126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relevant entity-specific events such as changes in management, key personnel, strategy, or customers, contemplation of bankruptcy, or litigation.</w:t>
      </w:r>
    </w:p>
    <w:p>
      <w:pPr>
        <w:spacing w:after="0" w:line="191"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60" w:lineRule="exact"/>
        <w:rPr>
          <w:sz w:val="20"/>
          <w:szCs w:val="20"/>
          <w:color w:val="auto"/>
        </w:rPr>
      </w:pPr>
    </w:p>
    <w:p>
      <w:pPr>
        <w:ind w:right="180" w:firstLine="629"/>
        <w:spacing w:after="0" w:line="254" w:lineRule="auto"/>
        <w:rPr>
          <w:sz w:val="20"/>
          <w:szCs w:val="20"/>
          <w:color w:val="auto"/>
        </w:rPr>
      </w:pPr>
      <w:r>
        <w:rPr>
          <w:rFonts w:ascii="Times New Roman" w:cs="Times New Roman" w:eastAsia="Times New Roman" w:hAnsi="Times New Roman"/>
          <w:sz w:val="17"/>
          <w:szCs w:val="17"/>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 goodwill impairment, if indicated based on results of the qualitative assessment, is highly dependent on our estimate of a reporting unit’s fair value.</w:t>
      </w:r>
    </w:p>
    <w:p>
      <w:pPr>
        <w:spacing w:after="0" w:line="207" w:lineRule="exact"/>
        <w:rPr>
          <w:sz w:val="20"/>
          <w:szCs w:val="20"/>
          <w:color w:val="auto"/>
        </w:rPr>
      </w:pPr>
    </w:p>
    <w:p>
      <w:pPr>
        <w:ind w:right="260" w:firstLine="629"/>
        <w:spacing w:after="0" w:line="276" w:lineRule="auto"/>
        <w:rPr>
          <w:sz w:val="20"/>
          <w:szCs w:val="20"/>
          <w:color w:val="auto"/>
        </w:rPr>
      </w:pPr>
      <w:r>
        <w:rPr>
          <w:rFonts w:ascii="Times New Roman" w:cs="Times New Roman" w:eastAsia="Times New Roman" w:hAnsi="Times New Roman"/>
          <w:sz w:val="17"/>
          <w:szCs w:val="17"/>
          <w:color w:val="auto"/>
        </w:rPr>
        <w:t>We assess goodwill for impairment on an annual basis as of July 1st and on an interim basis when certain events or circumstances exist. In the impairment assessment as of July 1, 2021, we performed a qualitative assessment as described above for each reporting unit. No impairment of goodwill was identified.</w:t>
      </w:r>
    </w:p>
    <w:p>
      <w:pPr>
        <w:spacing w:after="0" w:line="177" w:lineRule="exact"/>
        <w:rPr>
          <w:sz w:val="20"/>
          <w:szCs w:val="20"/>
          <w:color w:val="auto"/>
        </w:rPr>
      </w:pPr>
    </w:p>
    <w:p>
      <w:pPr>
        <w:ind w:right="20" w:firstLine="629"/>
        <w:spacing w:after="0" w:line="248" w:lineRule="auto"/>
        <w:rPr>
          <w:sz w:val="20"/>
          <w:szCs w:val="20"/>
          <w:color w:val="auto"/>
        </w:rPr>
      </w:pPr>
      <w:r>
        <w:rPr>
          <w:rFonts w:ascii="Times New Roman" w:cs="Times New Roman" w:eastAsia="Times New Roman" w:hAnsi="Times New Roman"/>
          <w:sz w:val="17"/>
          <w:szCs w:val="17"/>
          <w:color w:val="auto"/>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 We amortize finite-lived intangible assets over their estimated useful lives. Our largest finite-lived intangible asset is customer relationships, which is being amortized over an estimated useful life of ten years. Had we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4" w:name="page75"/>
    <w:bookmarkEnd w:id="74"/>
    <w:p>
      <w:pPr>
        <w:ind w:right="60"/>
        <w:spacing w:after="0" w:line="260" w:lineRule="auto"/>
        <w:rPr>
          <w:sz w:val="20"/>
          <w:szCs w:val="20"/>
          <w:color w:val="auto"/>
        </w:rPr>
      </w:pPr>
      <w:r>
        <w:rPr>
          <w:rFonts w:ascii="Times New Roman" w:cs="Times New Roman" w:eastAsia="Times New Roman" w:hAnsi="Times New Roman"/>
          <w:sz w:val="17"/>
          <w:szCs w:val="17"/>
          <w:color w:val="auto"/>
        </w:rPr>
        <w:t>used a shorter estimated useful life of seven years, the Company would have recorded an additional $4.1 million and $8.2 million of amortization expense for the three and six months ended June 30, 2022 and 2021, respectively. We test finite-lived intangible assets for impairment when impairment indicators are present, and if impaired, they are written down to fair value.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52"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855"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252" w:lineRule="exact"/>
        <w:rPr>
          <w:sz w:val="20"/>
          <w:szCs w:val="20"/>
          <w:color w:val="auto"/>
        </w:rPr>
      </w:pPr>
    </w:p>
    <w:p>
      <w:pPr>
        <w:ind w:right="280" w:firstLine="629"/>
        <w:spacing w:after="0" w:line="296" w:lineRule="auto"/>
        <w:rPr>
          <w:sz w:val="20"/>
          <w:szCs w:val="20"/>
          <w:color w:val="auto"/>
        </w:rPr>
      </w:pPr>
      <w:r>
        <w:rPr>
          <w:rFonts w:ascii="Times New Roman" w:cs="Times New Roman" w:eastAsia="Times New Roman" w:hAnsi="Times New Roman"/>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73"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203" w:lineRule="exact"/>
        <w:rPr>
          <w:sz w:val="20"/>
          <w:szCs w:val="20"/>
          <w:color w:val="auto"/>
        </w:rPr>
      </w:pPr>
    </w:p>
    <w:p>
      <w:pPr>
        <w:ind w:right="20" w:firstLine="629"/>
        <w:spacing w:after="0" w:line="276" w:lineRule="auto"/>
        <w:rPr>
          <w:sz w:val="20"/>
          <w:szCs w:val="20"/>
          <w:color w:val="auto"/>
        </w:rPr>
      </w:pPr>
      <w:r>
        <w:rPr>
          <w:rFonts w:ascii="Times New Roman" w:cs="Times New Roman" w:eastAsia="Times New Roman" w:hAnsi="Times New Roman"/>
          <w:sz w:val="17"/>
          <w:szCs w:val="17"/>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190"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90" w:lineRule="exact"/>
        <w:rPr>
          <w:sz w:val="20"/>
          <w:szCs w:val="20"/>
          <w:color w:val="auto"/>
        </w:rPr>
      </w:pPr>
    </w:p>
    <w:p>
      <w:pPr>
        <w:ind w:right="100" w:firstLine="629"/>
        <w:spacing w:after="0" w:line="264" w:lineRule="auto"/>
        <w:rPr>
          <w:sz w:val="20"/>
          <w:szCs w:val="20"/>
          <w:color w:val="auto"/>
        </w:rPr>
      </w:pPr>
      <w:r>
        <w:rPr>
          <w:rFonts w:ascii="Times New Roman" w:cs="Times New Roman" w:eastAsia="Times New Roman" w:hAnsi="Times New Roman"/>
          <w:sz w:val="17"/>
          <w:szCs w:val="17"/>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200" w:lineRule="exact"/>
        <w:rPr>
          <w:sz w:val="20"/>
          <w:szCs w:val="20"/>
          <w:color w:val="auto"/>
        </w:rPr>
      </w:pPr>
    </w:p>
    <w:p>
      <w:pPr>
        <w:spacing w:after="0" w:line="213"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we maintain inventories of exchange-listed and other equity securities, and to a lesser extent, fixed income securities and listed equity options. The fair value of these financial instruments at June 30, 2022 and December 31, 2021 was $5.2 billion and $4.3 billion, respectively, in long positions and $4.5 billion and $3.5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196" w:lineRule="exact"/>
        <w:rPr>
          <w:sz w:val="20"/>
          <w:szCs w:val="20"/>
          <w:color w:val="auto"/>
        </w:rPr>
      </w:pPr>
    </w:p>
    <w:p>
      <w:pPr>
        <w:jc w:val="both"/>
        <w:ind w:right="60" w:firstLine="629"/>
        <w:spacing w:after="0" w:line="270" w:lineRule="auto"/>
        <w:rPr>
          <w:sz w:val="20"/>
          <w:szCs w:val="20"/>
          <w:color w:val="auto"/>
        </w:rPr>
      </w:pPr>
      <w:r>
        <w:rPr>
          <w:rFonts w:ascii="Times New Roman" w:cs="Times New Roman" w:eastAsia="Times New Roman" w:hAnsi="Times New Roman"/>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94" w:lineRule="exact"/>
        <w:rPr>
          <w:sz w:val="20"/>
          <w:szCs w:val="20"/>
          <w:color w:val="auto"/>
        </w:rPr>
      </w:pPr>
    </w:p>
    <w:p>
      <w:pPr>
        <w:ind w:right="140" w:firstLine="629"/>
        <w:spacing w:after="0" w:line="267" w:lineRule="auto"/>
        <w:rPr>
          <w:sz w:val="20"/>
          <w:szCs w:val="20"/>
          <w:color w:val="auto"/>
        </w:rPr>
      </w:pPr>
      <w:r>
        <w:rPr>
          <w:rFonts w:ascii="Times New Roman" w:cs="Times New Roman" w:eastAsia="Times New Roman" w:hAnsi="Times New Roman"/>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color w:val="auto"/>
        </w:rPr>
        <w:t>Interest Rate Risk, Derivative Instruments</w:t>
      </w:r>
    </w:p>
    <w:p>
      <w:pPr>
        <w:spacing w:after="0" w:line="25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96"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204"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i w:val="1"/>
          <w:iCs w:val="1"/>
          <w:color w:val="auto"/>
        </w:rPr>
        <w:t>Futures Contracts</w:t>
      </w:r>
      <w:r>
        <w:rPr>
          <w:rFonts w:ascii="Times New Roman" w:cs="Times New Roman" w:eastAsia="Times New Roman" w:hAnsi="Times New Roman"/>
          <w:sz w:val="17"/>
          <w:szCs w:val="17"/>
          <w:color w:val="auto"/>
        </w:rPr>
        <w:t>. As part of our proprietary market making trading strategies, we use futures contracts to gain exposure to changes in values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96" w:lineRule="exact"/>
        <w:rPr>
          <w:sz w:val="20"/>
          <w:szCs w:val="20"/>
          <w:color w:val="auto"/>
        </w:rPr>
      </w:pPr>
    </w:p>
    <w:p>
      <w:pPr>
        <w:ind w:right="260" w:firstLine="629"/>
        <w:spacing w:after="0" w:line="299" w:lineRule="auto"/>
        <w:rPr>
          <w:sz w:val="20"/>
          <w:szCs w:val="20"/>
          <w:color w:val="auto"/>
        </w:rPr>
      </w:pPr>
      <w:r>
        <w:rPr>
          <w:rFonts w:ascii="Times New Roman" w:cs="Times New Roman" w:eastAsia="Times New Roman" w:hAnsi="Times New Roman"/>
          <w:sz w:val="17"/>
          <w:szCs w:val="17"/>
          <w:i w:val="1"/>
          <w:iCs w:val="1"/>
          <w:color w:val="auto"/>
        </w:rPr>
        <w:t>Due from Broker-Dealers and Clearing Organizations</w:t>
      </w:r>
      <w:r>
        <w:rPr>
          <w:rFonts w:ascii="Times New Roman" w:cs="Times New Roman" w:eastAsia="Times New Roman" w:hAnsi="Times New Roman"/>
          <w:sz w:val="17"/>
          <w:szCs w:val="17"/>
          <w:color w:val="auto"/>
        </w:rPr>
        <w:t>. Management periodically evaluates our counterparty credit exposures to various brokers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clearing organizations with a view to limiting potential losses resulting from counterparty insolvency.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252" w:lineRule="exact"/>
        <w:rPr>
          <w:sz w:val="20"/>
          <w:szCs w:val="20"/>
          <w:color w:val="auto"/>
        </w:rPr>
      </w:pPr>
    </w:p>
    <w:p>
      <w:pPr>
        <w:ind w:right="180" w:firstLine="629"/>
        <w:spacing w:after="0" w:line="267" w:lineRule="auto"/>
        <w:rPr>
          <w:sz w:val="20"/>
          <w:szCs w:val="20"/>
          <w:color w:val="auto"/>
        </w:rPr>
      </w:pPr>
      <w:r>
        <w:rPr>
          <w:rFonts w:ascii="Times New Roman" w:cs="Times New Roman" w:eastAsia="Times New Roman" w:hAnsi="Times New Roman"/>
          <w:sz w:val="17"/>
          <w:szCs w:val="17"/>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96" w:lineRule="exact"/>
        <w:rPr>
          <w:sz w:val="20"/>
          <w:szCs w:val="20"/>
          <w:color w:val="auto"/>
        </w:rPr>
      </w:pPr>
    </w:p>
    <w:p>
      <w:pPr>
        <w:jc w:val="both"/>
        <w:ind w:right="160" w:firstLine="629"/>
        <w:spacing w:after="0" w:line="276" w:lineRule="auto"/>
        <w:rPr>
          <w:sz w:val="20"/>
          <w:szCs w:val="20"/>
          <w:color w:val="auto"/>
        </w:rPr>
      </w:pPr>
      <w:r>
        <w:rPr>
          <w:rFonts w:ascii="Times New Roman" w:cs="Times New Roman" w:eastAsia="Times New Roman" w:hAnsi="Times New Roman"/>
          <w:sz w:val="17"/>
          <w:szCs w:val="17"/>
          <w:color w:val="auto"/>
        </w:rPr>
        <w:t>Approximately 20.7% and 20.2% of our total revenues for the six months ended June 30, 2022 and 2021, respectively, were denominated in non-U.S. dollar currencies. We estimate that a hypothetical 10% adverse change in the value of the U.S. dollar relative to our foreign denominated earnings would have resulted in decreases in total revenues of $27.1 million and $31.6 million for the six months ended June 30, 2022 and 2021, respectively.</w:t>
      </w:r>
    </w:p>
    <w:p>
      <w:pPr>
        <w:spacing w:after="0" w:line="190"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color w:val="auto"/>
        </w:rPr>
        <w:t>Financial Instruments with Off Balance Sheet Risk</w:t>
      </w:r>
    </w:p>
    <w:p>
      <w:pPr>
        <w:spacing w:after="0" w:line="252"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9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2"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June 30, 2022. Based upon that evaluation, our Chief Executive Officer and Chief Financial Officer concluded that, as of June 30, 2022,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13"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20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to Internal Control over Financial Reporting</w:t>
      </w:r>
    </w:p>
    <w:p>
      <w:pPr>
        <w:spacing w:after="0" w:line="252" w:lineRule="exact"/>
        <w:rPr>
          <w:sz w:val="20"/>
          <w:szCs w:val="20"/>
          <w:color w:val="auto"/>
        </w:rPr>
      </w:pPr>
    </w:p>
    <w:p>
      <w:pPr>
        <w:ind w:right="340" w:firstLine="629"/>
        <w:spacing w:after="0" w:line="296"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 13a-15(f) under the Exchange Act) occurred during the three months ended June 30, 2022 that has or is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52" w:lineRule="exact"/>
        <w:rPr>
          <w:sz w:val="20"/>
          <w:szCs w:val="20"/>
          <w:color w:val="auto"/>
        </w:rPr>
      </w:pPr>
    </w:p>
    <w:p>
      <w:pPr>
        <w:ind w:right="120" w:firstLine="629"/>
        <w:spacing w:after="0" w:line="296" w:lineRule="auto"/>
        <w:rPr>
          <w:sz w:val="20"/>
          <w:szCs w:val="20"/>
          <w:color w:val="auto"/>
        </w:rPr>
      </w:pPr>
      <w:r>
        <w:rPr>
          <w:rFonts w:ascii="Times New Roman" w:cs="Times New Roman" w:eastAsia="Times New Roman" w:hAnsi="Times New Roman"/>
          <w:sz w:val="17"/>
          <w:szCs w:val="17"/>
          <w:color w:val="auto"/>
        </w:rPr>
        <w:t>The information required by this item is set forth in the “Legal Proceedings” section in Note 14 "Commitments, Contingencies and Guarantees" to the Company’s condensed consolidated financial statements included in Part I Item 1 “Financial Statements”, which is incorporated by reference herein.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 have been no material changes to the Risk Factors described in Part I Item 1A. “Risk Factors” in our 2021 Form 10-K.</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52"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Total share repurchases for the three months ended June 30, 2022 were as follows:</w:t>
      </w:r>
    </w:p>
    <w:p>
      <w:pPr>
        <w:sectPr>
          <w:pgSz w:w="11900" w:h="16838" w:orient="portrait"/>
          <w:cols w:equalWidth="0" w:num="1">
            <w:col w:w="11240"/>
          </w:cols>
          <w:pgMar w:left="320" w:top="8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April 1, 2022 - April 30, 2022</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Class A Common Stock / Virtu Financial Units repurchases</w:t>
      </w: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May 1, 2022 - May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Average Price Paid</w:t>
            </w:r>
          </w:p>
        </w:tc>
      </w:tr>
      <w:tr>
        <w:trPr>
          <w:trHeight w:val="190"/>
        </w:trPr>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Shares Purchased</w:t>
            </w:r>
          </w:p>
        </w:tc>
        <w:tc>
          <w:tcPr>
            <w:tcW w:w="220" w:type="dxa"/>
            <w:vAlign w:val="bottom"/>
          </w:tcPr>
          <w:p>
            <w:pPr>
              <w:spacing w:after="0"/>
              <w:rPr>
                <w:sz w:val="16"/>
                <w:szCs w:val="16"/>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w w:val="98"/>
              </w:rPr>
              <w:t>per Share</w:t>
            </w:r>
          </w:p>
        </w:tc>
      </w:tr>
      <w:tr>
        <w:trPr>
          <w:trHeight w:val="368"/>
        </w:trPr>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182,756</w:t>
            </w:r>
          </w:p>
        </w:tc>
        <w:tc>
          <w:tcPr>
            <w:tcW w:w="140" w:type="dxa"/>
            <w:vAlign w:val="bottom"/>
          </w:tcPr>
          <w:p>
            <w:pPr>
              <w:spacing w:after="0"/>
              <w:rPr>
                <w:sz w:val="24"/>
                <w:szCs w:val="24"/>
                <w:color w:val="auto"/>
              </w:rPr>
            </w:pPr>
          </w:p>
        </w:tc>
        <w:tc>
          <w:tcPr>
            <w:tcW w:w="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14605</wp:posOffset>
            </wp:positionV>
            <wp:extent cx="7111365" cy="1663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11365" cy="16637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-242570</wp:posOffset>
            </wp:positionV>
            <wp:extent cx="7111365" cy="133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11365"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00" w:type="dxa"/>
            <w:vAlign w:val="bottom"/>
          </w:tcPr>
          <w:p>
            <w:pPr>
              <w:spacing w:after="0"/>
              <w:rPr>
                <w:sz w:val="13"/>
                <w:szCs w:val="13"/>
                <w:color w:val="auto"/>
              </w:rPr>
            </w:pP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2"/>
        </w:trPr>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50"/>
              <w:spacing w:after="0" w:line="143" w:lineRule="exact"/>
              <w:rPr>
                <w:sz w:val="20"/>
                <w:szCs w:val="20"/>
                <w:color w:val="auto"/>
              </w:rPr>
            </w:pPr>
            <w:r>
              <w:rPr>
                <w:rFonts w:ascii="Times New Roman" w:cs="Times New Roman" w:eastAsia="Times New Roman" w:hAnsi="Times New Roman"/>
                <w:sz w:val="14"/>
                <w:szCs w:val="14"/>
                <w:b w:val="1"/>
                <w:bCs w:val="1"/>
                <w:color w:val="auto"/>
                <w:w w:val="96"/>
              </w:rPr>
              <w:t>Value of Shares that</w:t>
            </w:r>
          </w:p>
        </w:tc>
        <w:tc>
          <w:tcPr>
            <w:tcW w:w="0" w:type="dxa"/>
            <w:vAlign w:val="bottom"/>
          </w:tcPr>
          <w:p>
            <w:pPr>
              <w:spacing w:after="0"/>
              <w:rPr>
                <w:sz w:val="1"/>
                <w:szCs w:val="1"/>
                <w:color w:val="auto"/>
              </w:rPr>
            </w:pPr>
          </w:p>
        </w:tc>
      </w:tr>
      <w:tr>
        <w:trPr>
          <w:trHeight w:val="131"/>
        </w:trPr>
        <w:tc>
          <w:tcPr>
            <w:tcW w:w="15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4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7"/>
              </w:rPr>
              <w:t>May Yet Be Purchased</w:t>
            </w:r>
          </w:p>
        </w:tc>
        <w:tc>
          <w:tcPr>
            <w:tcW w:w="0" w:type="dxa"/>
            <w:vAlign w:val="bottom"/>
          </w:tcPr>
          <w:p>
            <w:pPr>
              <w:spacing w:after="0"/>
              <w:rPr>
                <w:sz w:val="1"/>
                <w:szCs w:val="1"/>
                <w:color w:val="auto"/>
              </w:rPr>
            </w:pPr>
          </w:p>
        </w:tc>
      </w:tr>
      <w:tr>
        <w:trPr>
          <w:trHeight w:val="144"/>
        </w:trPr>
        <w:tc>
          <w:tcPr>
            <w:tcW w:w="15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Publicly Announced</w:t>
            </w:r>
          </w:p>
        </w:tc>
        <w:tc>
          <w:tcPr>
            <w:tcW w:w="100" w:type="dxa"/>
            <w:vAlign w:val="bottom"/>
          </w:tcPr>
          <w:p>
            <w:pPr>
              <w:spacing w:after="0"/>
              <w:rPr>
                <w:sz w:val="12"/>
                <w:szCs w:val="12"/>
                <w:color w:val="auto"/>
              </w:rPr>
            </w:pPr>
          </w:p>
        </w:tc>
        <w:tc>
          <w:tcPr>
            <w:tcW w:w="1380" w:type="dxa"/>
            <w:vAlign w:val="bottom"/>
          </w:tcPr>
          <w:p>
            <w:pPr>
              <w:jc w:val="center"/>
              <w:ind w:right="50"/>
              <w:spacing w:after="0" w:line="144"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1"/>
        </w:trPr>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100" w:type="dxa"/>
            <w:vAlign w:val="bottom"/>
          </w:tcPr>
          <w:p>
            <w:pPr>
              <w:spacing w:after="0"/>
              <w:rPr>
                <w:sz w:val="16"/>
                <w:szCs w:val="16"/>
                <w:color w:val="auto"/>
              </w:rPr>
            </w:pPr>
          </w:p>
        </w:tc>
        <w:tc>
          <w:tcPr>
            <w:tcW w:w="138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Programs</w:t>
            </w:r>
          </w:p>
        </w:tc>
        <w:tc>
          <w:tcPr>
            <w:tcW w:w="0" w:type="dxa"/>
            <w:vAlign w:val="bottom"/>
          </w:tcPr>
          <w:p>
            <w:pPr>
              <w:spacing w:after="0"/>
              <w:rPr>
                <w:sz w:val="1"/>
                <w:szCs w:val="1"/>
                <w:color w:val="auto"/>
              </w:rPr>
            </w:pPr>
          </w:p>
        </w:tc>
      </w:tr>
      <w:tr>
        <w:trPr>
          <w:trHeight w:val="368"/>
        </w:trPr>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182,756</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487,053,678</w:t>
            </w:r>
          </w:p>
        </w:tc>
        <w:tc>
          <w:tcPr>
            <w:tcW w:w="0" w:type="dxa"/>
            <w:vAlign w:val="bottom"/>
          </w:tcPr>
          <w:p>
            <w:pPr>
              <w:spacing w:after="0"/>
              <w:rPr>
                <w:sz w:val="1"/>
                <w:szCs w:val="1"/>
                <w:color w:val="auto"/>
              </w:rPr>
            </w:pPr>
          </w:p>
        </w:tc>
      </w:tr>
    </w:tbl>
    <w:p>
      <w:pPr>
        <w:spacing w:after="0" w:line="472" w:lineRule="exact"/>
        <w:rPr>
          <w:sz w:val="20"/>
          <w:szCs w:val="20"/>
          <w:color w:val="auto"/>
        </w:rPr>
      </w:pPr>
    </w:p>
    <w:p>
      <w:pPr>
        <w:sectPr>
          <w:pgSz w:w="11900" w:h="16838" w:orient="portrait"/>
          <w:cols w:equalWidth="0" w:num="3">
            <w:col w:w="4560" w:space="720"/>
            <w:col w:w="2800" w:space="120"/>
            <w:col w:w="3040"/>
          </w:cols>
          <w:pgMar w:left="320" w:top="866" w:right="339" w:bottom="1440" w:gutter="0" w:footer="0" w:header="0"/>
          <w:type w:val="continuous"/>
        </w:sectPr>
      </w:pPr>
    </w:p>
    <w:p>
      <w:pPr>
        <w:ind w:left="240" w:right="1000"/>
        <w:spacing w:after="0" w:line="368" w:lineRule="auto"/>
        <w:rPr>
          <w:sz w:val="20"/>
          <w:szCs w:val="20"/>
          <w:color w:val="auto"/>
        </w:rPr>
      </w:pPr>
      <w:r>
        <w:rPr>
          <w:rFonts w:ascii="Times New Roman" w:cs="Times New Roman" w:eastAsia="Times New Roman" w:hAnsi="Times New Roman"/>
          <w:sz w:val="13"/>
          <w:szCs w:val="13"/>
          <w:color w:val="auto"/>
        </w:rPr>
        <w:t>Class A Common Stock / Virtu Financial Units repurchases Class C Common Stock/ Virtu Financial Units repurchases</w:t>
      </w:r>
    </w:p>
    <w:p>
      <w:pPr>
        <w:spacing w:after="0" w:line="1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June 1, 2022 - June 30, 2022</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Class A Common Stock / Virtu Financial Units repurchases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 Common Stock / Virtu Financial Unit repurchases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845,000</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27.27</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845,000</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464,014,584</w:t>
            </w:r>
          </w:p>
        </w:tc>
      </w:tr>
      <w:tr>
        <w:trPr>
          <w:trHeight w:val="196"/>
        </w:trPr>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655"/>
        </w:trPr>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735,000</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735,000</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446,233,961</w:t>
            </w:r>
          </w:p>
        </w:tc>
      </w:tr>
      <w:tr>
        <w:trPr>
          <w:trHeight w:val="23"/>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r>
      <w:tr>
        <w:trPr>
          <w:trHeight w:val="18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1,764,556</w:t>
            </w:r>
          </w:p>
        </w:tc>
        <w:tc>
          <w:tcPr>
            <w:tcW w:w="140" w:type="dxa"/>
            <w:vAlign w:val="bottom"/>
          </w:tcPr>
          <w:p>
            <w:pPr>
              <w:spacing w:after="0"/>
              <w:rPr>
                <w:sz w:val="15"/>
                <w:szCs w:val="15"/>
                <w:color w:val="auto"/>
              </w:rPr>
            </w:pPr>
          </w:p>
        </w:tc>
        <w:tc>
          <w:tcPr>
            <w:tcW w:w="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26.94</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1,762,756</w:t>
            </w:r>
          </w:p>
        </w:tc>
        <w:tc>
          <w:tcPr>
            <w:tcW w:w="1540" w:type="dxa"/>
            <w:vAlign w:val="bottom"/>
          </w:tcPr>
          <w:p>
            <w:pPr>
              <w:spacing w:after="0"/>
              <w:rPr>
                <w:sz w:val="15"/>
                <w:szCs w:val="15"/>
                <w:color w:val="auto"/>
              </w:rPr>
            </w:pPr>
          </w:p>
        </w:tc>
      </w:tr>
      <w:tr>
        <w:trPr>
          <w:trHeight w:val="26"/>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-831215</wp:posOffset>
            </wp:positionV>
            <wp:extent cx="7111365" cy="1244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11365" cy="12446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-581660</wp:posOffset>
            </wp:positionV>
            <wp:extent cx="7111365" cy="1663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11365" cy="16637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-290195</wp:posOffset>
            </wp:positionV>
            <wp:extent cx="7111365" cy="1244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11365" cy="1244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5960"/>
          </w:cols>
          <w:pgMar w:left="320" w:top="8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type w:val="continuous"/>
        </w:sectPr>
      </w:pPr>
    </w:p>
    <w:bookmarkStart w:id="79" w:name="page80"/>
    <w:bookmarkEnd w:id="79"/>
    <w:p>
      <w:pPr>
        <w:ind w:firstLine="629"/>
        <w:spacing w:after="0" w:line="260"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new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Additionally, on November 3, 2021 the Company's Board of Directors authorized the expansion of the program by an additional $750 million to $1,220 million and extending the duration of the program through November 3, 2023.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June 30, 2022, the Company repurchased approximately 26.8 million shares of Class A Common Stock and Virtu Financial Units for approximately $773.8 million. As of June 30, 2022, the Company has approximately $446.2 million remaining capacity for future purchases of shares of Class A Common Stock and Virtu Financial Units under the program.</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700" w:type="dxa"/>
            <w:vAlign w:val="bottom"/>
            <w:gridSpan w:val="7"/>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FEFEFE"/>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10.1*†</w:t>
            </w:r>
          </w:p>
        </w:tc>
        <w:tc>
          <w:tcPr>
            <w:tcW w:w="540" w:type="dxa"/>
            <w:vAlign w:val="bottom"/>
            <w:tcBorders>
              <w:right w:val="single" w:sz="8" w:color="FEFEFE"/>
            </w:tcBorders>
            <w:shd w:val="clear" w:color="auto" w:fill="FEFEFE"/>
          </w:tcPr>
          <w:p>
            <w:pPr>
              <w:spacing w:after="0"/>
              <w:rPr>
                <w:sz w:val="15"/>
                <w:szCs w:val="15"/>
                <w:color w:val="auto"/>
              </w:rPr>
            </w:pPr>
          </w:p>
        </w:tc>
        <w:tc>
          <w:tcPr>
            <w:tcW w:w="9240" w:type="dxa"/>
            <w:vAlign w:val="bottom"/>
            <w:gridSpan w:val="9"/>
            <w:shd w:val="clear" w:color="auto" w:fill="FEFEFE"/>
          </w:tcPr>
          <w:p>
            <w:pPr>
              <w:spacing w:after="0" w:line="176" w:lineRule="exact"/>
              <w:rPr>
                <w:sz w:val="20"/>
                <w:szCs w:val="20"/>
                <w:color w:val="auto"/>
              </w:rPr>
            </w:pPr>
            <w:r>
              <w:rPr>
                <w:rFonts w:ascii="Times New Roman" w:cs="Times New Roman" w:eastAsia="Times New Roman" w:hAnsi="Times New Roman"/>
                <w:sz w:val="17"/>
                <w:szCs w:val="17"/>
                <w:color w:val="0000FF"/>
              </w:rPr>
              <w:t>Virtu Financial, Inc. Second Amended and Restated Employment Agreement, dated as of April 29, 2022, by and between Virtu</w:t>
            </w:r>
          </w:p>
        </w:tc>
        <w:tc>
          <w:tcPr>
            <w:tcW w:w="0" w:type="dxa"/>
            <w:vAlign w:val="bottom"/>
          </w:tcPr>
          <w:p>
            <w:pPr>
              <w:spacing w:after="0"/>
              <w:rPr>
                <w:sz w:val="1"/>
                <w:szCs w:val="1"/>
                <w:color w:val="auto"/>
              </w:rPr>
            </w:pPr>
          </w:p>
        </w:tc>
      </w:tr>
      <w:tr>
        <w:trPr>
          <w:trHeight w:val="150"/>
        </w:trPr>
        <w:tc>
          <w:tcPr>
            <w:tcW w:w="1440" w:type="dxa"/>
            <w:vAlign w:val="bottom"/>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900" w:type="dxa"/>
            <w:vAlign w:val="bottom"/>
            <w:tcBorders>
              <w:top w:val="single" w:sz="8" w:color="0000FF"/>
            </w:tcBorders>
            <w:gridSpan w:val="6"/>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Financial, Inc. and Douglas A. Cifu.</w:t>
            </w:r>
          </w:p>
        </w:tc>
        <w:tc>
          <w:tcPr>
            <w:tcW w:w="6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140" w:type="dxa"/>
            <w:vAlign w:val="bottom"/>
            <w:shd w:val="clear" w:color="auto" w:fill="FEFEFE"/>
          </w:tcPr>
          <w:p>
            <w:pPr>
              <w:spacing w:after="0" w:line="20" w:lineRule="exact"/>
              <w:rPr>
                <w:sz w:val="1"/>
                <w:szCs w:val="1"/>
                <w:color w:val="auto"/>
              </w:rPr>
            </w:pPr>
          </w:p>
        </w:tc>
        <w:tc>
          <w:tcPr>
            <w:tcW w:w="30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16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1440" w:type="dxa"/>
            <w:vAlign w:val="bottom"/>
          </w:tcPr>
          <w:p>
            <w:pPr>
              <w:spacing w:after="0"/>
              <w:rPr>
                <w:sz w:val="2"/>
                <w:szCs w:val="2"/>
                <w:color w:val="auto"/>
              </w:rPr>
            </w:pPr>
          </w:p>
        </w:tc>
        <w:tc>
          <w:tcPr>
            <w:tcW w:w="540" w:type="dxa"/>
            <w:vAlign w:val="bottom"/>
            <w:tcBorders>
              <w:right w:val="single" w:sz="8" w:color="FEFEFE"/>
            </w:tcBorders>
            <w:shd w:val="clear" w:color="auto" w:fill="FEFEFE"/>
          </w:tcPr>
          <w:p>
            <w:pPr>
              <w:spacing w:after="0"/>
              <w:rPr>
                <w:sz w:val="2"/>
                <w:szCs w:val="2"/>
                <w:color w:val="auto"/>
              </w:rPr>
            </w:pPr>
          </w:p>
        </w:tc>
        <w:tc>
          <w:tcPr>
            <w:tcW w:w="9240" w:type="dxa"/>
            <w:vAlign w:val="bottom"/>
            <w:gridSpan w:val="9"/>
            <w:vMerge w:val="restart"/>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required by Rule 13a-14(a)/15d-14(a) under the Securities Exchange Act of 1934, as</w:t>
            </w:r>
          </w:p>
        </w:tc>
        <w:tc>
          <w:tcPr>
            <w:tcW w:w="0" w:type="dxa"/>
            <w:vAlign w:val="bottom"/>
          </w:tcPr>
          <w:p>
            <w:pPr>
              <w:spacing w:after="0" w:line="20" w:lineRule="exact"/>
              <w:rPr>
                <w:sz w:val="1"/>
                <w:szCs w:val="1"/>
                <w:color w:val="auto"/>
              </w:rPr>
            </w:pPr>
          </w:p>
        </w:tc>
      </w:tr>
      <w:tr>
        <w:trPr>
          <w:trHeight w:val="183"/>
        </w:trPr>
        <w:tc>
          <w:tcPr>
            <w:tcW w:w="1440" w:type="dxa"/>
            <w:vAlign w:val="bottom"/>
            <w:shd w:val="clear" w:color="auto" w:fill="FEFEFE"/>
          </w:tcPr>
          <w:p>
            <w:pPr>
              <w:ind w:left="20"/>
              <w:spacing w:after="0" w:line="184" w:lineRule="exact"/>
              <w:rPr>
                <w:sz w:val="20"/>
                <w:szCs w:val="20"/>
                <w:color w:val="auto"/>
              </w:rPr>
            </w:pPr>
            <w:r>
              <w:rPr>
                <w:rFonts w:ascii="Times New Roman" w:cs="Times New Roman" w:eastAsia="Times New Roman" w:hAnsi="Times New Roman"/>
                <w:sz w:val="17"/>
                <w:szCs w:val="17"/>
                <w:color w:val="auto"/>
              </w:rPr>
              <w:t>31.1*</w:t>
            </w:r>
          </w:p>
        </w:tc>
        <w:tc>
          <w:tcPr>
            <w:tcW w:w="540" w:type="dxa"/>
            <w:vAlign w:val="bottom"/>
            <w:tcBorders>
              <w:right w:val="single" w:sz="8" w:color="FEFEFE"/>
            </w:tcBorders>
            <w:shd w:val="clear" w:color="auto" w:fill="FEFEFE"/>
          </w:tcPr>
          <w:p>
            <w:pPr>
              <w:spacing w:after="0"/>
              <w:rPr>
                <w:sz w:val="15"/>
                <w:szCs w:val="15"/>
                <w:color w:val="auto"/>
              </w:rPr>
            </w:pPr>
          </w:p>
        </w:tc>
        <w:tc>
          <w:tcPr>
            <w:tcW w:w="9240" w:type="dxa"/>
            <w:vAlign w:val="bottom"/>
            <w:gridSpan w:val="9"/>
            <w:vMerge w:val="continue"/>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740" w:type="dxa"/>
            <w:vAlign w:val="bottom"/>
            <w:tcBorders>
              <w:top w:val="single" w:sz="8" w:color="0000FF"/>
            </w:tcBorders>
            <w:gridSpan w:val="5"/>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amended, as adopted pursuant to Section 302 of the Sarbanes-Oxley Act of 2002.</w:t>
            </w:r>
          </w:p>
        </w:tc>
        <w:tc>
          <w:tcPr>
            <w:tcW w:w="220" w:type="dxa"/>
            <w:vAlign w:val="bottom"/>
            <w:tcBorders>
              <w:top w:val="single" w:sz="8" w:color="FEFEFE"/>
            </w:tcBorders>
            <w:gridSpan w:val="2"/>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3020" w:type="dxa"/>
            <w:vAlign w:val="bottom"/>
            <w:shd w:val="clear" w:color="auto" w:fill="FEFEFE"/>
          </w:tcPr>
          <w:p>
            <w:pPr>
              <w:spacing w:after="0" w:line="20" w:lineRule="exact"/>
              <w:rPr>
                <w:sz w:val="1"/>
                <w:szCs w:val="1"/>
                <w:color w:val="auto"/>
              </w:rPr>
            </w:pPr>
          </w:p>
        </w:tc>
        <w:tc>
          <w:tcPr>
            <w:tcW w:w="260" w:type="dxa"/>
            <w:vAlign w:val="bottom"/>
            <w:gridSpan w:val="3"/>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54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required by Rule 13a-14(a)/15d-14(a) under the Securities Exchange Act of 1934, as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700" w:type="dxa"/>
            <w:vAlign w:val="bottom"/>
            <w:tcBorders>
              <w:top w:val="single" w:sz="8" w:color="0000FF"/>
            </w:tcBorders>
            <w:gridSpan w:val="4"/>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amended, as adopted pursuant to Section 302 of the Sarbanes-Oxley Act of 2002.</w:t>
            </w:r>
          </w:p>
        </w:tc>
        <w:tc>
          <w:tcPr>
            <w:tcW w:w="260" w:type="dxa"/>
            <w:vAlign w:val="bottom"/>
            <w:tcBorders>
              <w:top w:val="single" w:sz="8" w:color="FEFEFE"/>
            </w:tcBorders>
            <w:gridSpan w:val="3"/>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20" w:type="dxa"/>
            <w:vAlign w:val="bottom"/>
            <w:gridSpan w:val="2"/>
            <w:shd w:val="clear" w:color="auto" w:fill="0000FF"/>
          </w:tcPr>
          <w:p>
            <w:pPr>
              <w:spacing w:after="0" w:line="20" w:lineRule="exact"/>
              <w:rPr>
                <w:sz w:val="1"/>
                <w:szCs w:val="1"/>
                <w:color w:val="auto"/>
              </w:rPr>
            </w:pPr>
          </w:p>
        </w:tc>
        <w:tc>
          <w:tcPr>
            <w:tcW w:w="3280" w:type="dxa"/>
            <w:vAlign w:val="bottom"/>
            <w:gridSpan w:val="4"/>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54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Oxley Act of 2002.</w:t>
            </w:r>
          </w:p>
        </w:tc>
        <w:tc>
          <w:tcPr>
            <w:tcW w:w="7660" w:type="dxa"/>
            <w:vAlign w:val="bottom"/>
            <w:tcBorders>
              <w:top w:val="single" w:sz="8" w:color="0000FF"/>
              <w:bottom w:val="single" w:sz="8" w:color="FEFEFE"/>
            </w:tcBorders>
            <w:gridSpan w:val="7"/>
            <w:shd w:val="clear" w:color="auto" w:fill="FEFEFE"/>
          </w:tcPr>
          <w:p>
            <w:pPr>
              <w:spacing w:after="0"/>
              <w:rPr>
                <w:sz w:val="13"/>
                <w:szCs w:val="13"/>
                <w:color w:val="auto"/>
              </w:rPr>
            </w:pPr>
          </w:p>
        </w:tc>
        <w:tc>
          <w:tcPr>
            <w:tcW w:w="220" w:type="dxa"/>
            <w:vAlign w:val="bottom"/>
            <w:tcBorders>
              <w:top w:val="single" w:sz="8" w:color="FEFEFE"/>
              <w:bottom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54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Oxley Act of 2002.</w:t>
            </w:r>
          </w:p>
        </w:tc>
        <w:tc>
          <w:tcPr>
            <w:tcW w:w="7600" w:type="dxa"/>
            <w:vAlign w:val="bottom"/>
            <w:tcBorders>
              <w:top w:val="single" w:sz="8" w:color="0000FF"/>
              <w:bottom w:val="single" w:sz="8" w:color="FEFEFE"/>
            </w:tcBorders>
            <w:gridSpan w:val="6"/>
            <w:shd w:val="clear" w:color="auto" w:fill="FEFEFE"/>
          </w:tcPr>
          <w:p>
            <w:pPr>
              <w:spacing w:after="0"/>
              <w:rPr>
                <w:sz w:val="13"/>
                <w:szCs w:val="13"/>
                <w:color w:val="auto"/>
              </w:rPr>
            </w:pPr>
          </w:p>
        </w:tc>
        <w:tc>
          <w:tcPr>
            <w:tcW w:w="28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540" w:type="dxa"/>
            <w:vAlign w:val="bottom"/>
            <w:tcBorders>
              <w:right w:val="single" w:sz="8" w:color="FEFEFE"/>
            </w:tcBorders>
            <w:shd w:val="clear" w:color="auto" w:fill="FEFEFE"/>
          </w:tcPr>
          <w:p>
            <w:pPr>
              <w:spacing w:after="0"/>
              <w:rPr>
                <w:sz w:val="22"/>
                <w:szCs w:val="22"/>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Schema</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Label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9"/>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Definition Document</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9"/>
            <w:vMerge w:val="restart"/>
            <w:shd w:val="clear" w:color="auto" w:fill="FEFEFE"/>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7"/>
                <w:szCs w:val="7"/>
                <w:color w:val="auto"/>
              </w:rPr>
            </w:pPr>
          </w:p>
        </w:tc>
        <w:tc>
          <w:tcPr>
            <w:tcW w:w="540" w:type="dxa"/>
            <w:vAlign w:val="bottom"/>
            <w:tcBorders>
              <w:right w:val="single" w:sz="8" w:color="FEFEFE"/>
            </w:tcBorders>
            <w:shd w:val="clear" w:color="auto" w:fill="FEFEFE"/>
          </w:tcPr>
          <w:p>
            <w:pPr>
              <w:spacing w:after="0"/>
              <w:rPr>
                <w:sz w:val="7"/>
                <w:szCs w:val="7"/>
                <w:color w:val="auto"/>
              </w:rPr>
            </w:pPr>
          </w:p>
        </w:tc>
        <w:tc>
          <w:tcPr>
            <w:tcW w:w="9240" w:type="dxa"/>
            <w:vAlign w:val="bottom"/>
            <w:gridSpan w:val="9"/>
            <w:vMerge w:val="continue"/>
            <w:shd w:val="clear" w:color="auto" w:fill="FEFEF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8"/>
                <w:szCs w:val="8"/>
                <w:color w:val="auto"/>
              </w:rPr>
            </w:pPr>
          </w:p>
        </w:tc>
        <w:tc>
          <w:tcPr>
            <w:tcW w:w="540" w:type="dxa"/>
            <w:vAlign w:val="bottom"/>
            <w:tcBorders>
              <w:right w:val="single" w:sz="8" w:color="FEFEFE"/>
            </w:tcBorders>
            <w:shd w:val="clear" w:color="auto" w:fill="FEFEFE"/>
          </w:tcPr>
          <w:p>
            <w:pPr>
              <w:spacing w:after="0"/>
              <w:rPr>
                <w:sz w:val="8"/>
                <w:szCs w:val="8"/>
                <w:color w:val="auto"/>
              </w:rPr>
            </w:pPr>
          </w:p>
        </w:tc>
        <w:tc>
          <w:tcPr>
            <w:tcW w:w="1360" w:type="dxa"/>
            <w:vAlign w:val="bottom"/>
            <w:shd w:val="clear" w:color="auto" w:fill="FEFEFE"/>
          </w:tcPr>
          <w:p>
            <w:pPr>
              <w:spacing w:after="0"/>
              <w:rPr>
                <w:sz w:val="8"/>
                <w:szCs w:val="8"/>
                <w:color w:val="auto"/>
              </w:rPr>
            </w:pPr>
          </w:p>
        </w:tc>
        <w:tc>
          <w:tcPr>
            <w:tcW w:w="1180" w:type="dxa"/>
            <w:vAlign w:val="bottom"/>
            <w:shd w:val="clear" w:color="auto" w:fill="FEFEFE"/>
          </w:tcPr>
          <w:p>
            <w:pPr>
              <w:spacing w:after="0"/>
              <w:rPr>
                <w:sz w:val="8"/>
                <w:szCs w:val="8"/>
                <w:color w:val="auto"/>
              </w:rPr>
            </w:pPr>
          </w:p>
        </w:tc>
        <w:tc>
          <w:tcPr>
            <w:tcW w:w="3140" w:type="dxa"/>
            <w:vAlign w:val="bottom"/>
            <w:shd w:val="clear" w:color="auto" w:fill="FEFEFE"/>
          </w:tcPr>
          <w:p>
            <w:pPr>
              <w:spacing w:after="0"/>
              <w:rPr>
                <w:sz w:val="8"/>
                <w:szCs w:val="8"/>
                <w:color w:val="auto"/>
              </w:rPr>
            </w:pPr>
          </w:p>
        </w:tc>
        <w:tc>
          <w:tcPr>
            <w:tcW w:w="3020" w:type="dxa"/>
            <w:vAlign w:val="bottom"/>
            <w:shd w:val="clear" w:color="auto" w:fill="FEFEFE"/>
          </w:tcPr>
          <w:p>
            <w:pPr>
              <w:spacing w:after="0"/>
              <w:rPr>
                <w:sz w:val="8"/>
                <w:szCs w:val="8"/>
                <w:color w:val="auto"/>
              </w:rPr>
            </w:pPr>
          </w:p>
        </w:tc>
        <w:tc>
          <w:tcPr>
            <w:tcW w:w="40" w:type="dxa"/>
            <w:vAlign w:val="bottom"/>
            <w:shd w:val="clear" w:color="auto" w:fill="FEFEFE"/>
          </w:tcPr>
          <w:p>
            <w:pPr>
              <w:spacing w:after="0"/>
              <w:rPr>
                <w:sz w:val="8"/>
                <w:szCs w:val="8"/>
                <w:color w:val="auto"/>
              </w:rPr>
            </w:pPr>
          </w:p>
        </w:tc>
        <w:tc>
          <w:tcPr>
            <w:tcW w:w="160" w:type="dxa"/>
            <w:vAlign w:val="bottom"/>
            <w:shd w:val="clear" w:color="auto" w:fill="FEFEFE"/>
          </w:tcPr>
          <w:p>
            <w:pPr>
              <w:spacing w:after="0"/>
              <w:rPr>
                <w:sz w:val="8"/>
                <w:szCs w:val="8"/>
                <w:color w:val="auto"/>
              </w:rPr>
            </w:pPr>
          </w:p>
        </w:tc>
        <w:tc>
          <w:tcPr>
            <w:tcW w:w="60" w:type="dxa"/>
            <w:vAlign w:val="bottom"/>
            <w:shd w:val="clear" w:color="auto" w:fill="FEFEFE"/>
          </w:tcPr>
          <w:p>
            <w:pPr>
              <w:spacing w:after="0"/>
              <w:rPr>
                <w:sz w:val="8"/>
                <w:szCs w:val="8"/>
                <w:color w:val="auto"/>
              </w:rPr>
            </w:pPr>
          </w:p>
        </w:tc>
        <w:tc>
          <w:tcPr>
            <w:tcW w:w="60" w:type="dxa"/>
            <w:vAlign w:val="bottom"/>
            <w:shd w:val="clear" w:color="auto" w:fill="FEFEFE"/>
          </w:tcPr>
          <w:p>
            <w:pPr>
              <w:spacing w:after="0"/>
              <w:rPr>
                <w:sz w:val="8"/>
                <w:szCs w:val="8"/>
                <w:color w:val="auto"/>
              </w:rPr>
            </w:pPr>
          </w:p>
        </w:tc>
        <w:tc>
          <w:tcPr>
            <w:tcW w:w="220" w:type="dxa"/>
            <w:vAlign w:val="bottom"/>
            <w:shd w:val="clear" w:color="auto" w:fill="FEFEFE"/>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80" w:name="page81"/>
    <w:bookmarkEnd w:id="80"/>
    <w:p>
      <w:pPr>
        <w:ind w:left="506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288" w:lineRule="exact"/>
        <w:rPr>
          <w:sz w:val="20"/>
          <w:szCs w:val="20"/>
          <w:color w:val="auto"/>
        </w:rPr>
      </w:pPr>
    </w:p>
    <w:p>
      <w:pPr>
        <w:ind w:firstLine="629"/>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1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Virtu Financial, Inc.</w:t>
            </w:r>
          </w:p>
        </w:tc>
      </w:tr>
      <w:tr>
        <w:trPr>
          <w:trHeight w:val="74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3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August 2, 2022</w:t>
            </w:r>
          </w:p>
        </w:tc>
        <w:tc>
          <w:tcPr>
            <w:tcW w:w="12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Douglas A. Cifu</w:t>
            </w:r>
          </w:p>
        </w:tc>
      </w:tr>
      <w:tr>
        <w:trPr>
          <w:trHeight w:val="211"/>
        </w:trPr>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Douglas A. Cifu</w:t>
            </w:r>
          </w:p>
        </w:tc>
      </w:tr>
      <w:tr>
        <w:trPr>
          <w:trHeight w:val="228"/>
        </w:trPr>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74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3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August 2, 2022</w:t>
            </w:r>
          </w:p>
        </w:tc>
        <w:tc>
          <w:tcPr>
            <w:tcW w:w="120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Sean P. Galvin</w:t>
            </w:r>
          </w:p>
        </w:tc>
      </w:tr>
      <w:tr>
        <w:trPr>
          <w:trHeight w:val="211"/>
        </w:trPr>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Sean P. Galvin</w:t>
            </w:r>
          </w:p>
        </w:tc>
      </w:tr>
      <w:tr>
        <w:trPr>
          <w:trHeight w:val="228"/>
        </w:trPr>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838"/>
        </w:trPr>
        <w:tc>
          <w:tcPr>
            <w:tcW w:w="11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80</w:t>
            </w:r>
          </w:p>
        </w:tc>
      </w:tr>
    </w:tbl>
    <w:p>
      <w:pPr>
        <w:sectPr>
          <w:pgSz w:w="11900" w:h="16838" w:orient="portrait"/>
          <w:cols w:equalWidth="0" w:num="1">
            <w:col w:w="10660"/>
          </w:cols>
          <w:pgMar w:left="320" w:top="865" w:right="91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9"/>
          <w:szCs w:val="19"/>
          <w:color w:val="auto"/>
        </w:rPr>
        <w:t>EXECUTION VERSION</w:t>
      </w:r>
    </w:p>
    <w:p>
      <w:pPr>
        <w:spacing w:after="0" w:line="200" w:lineRule="exact"/>
        <w:rPr>
          <w:sz w:val="20"/>
          <w:szCs w:val="20"/>
          <w:color w:val="auto"/>
        </w:rPr>
      </w:pPr>
    </w:p>
    <w:p>
      <w:pPr>
        <w:spacing w:after="0" w:line="26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SECOND AMENDED AND RESTATED EMPLOYMENT AGREEMENT (this</w:t>
      </w:r>
    </w:p>
    <w:p>
      <w:pPr>
        <w:spacing w:after="0" w:line="13" w:lineRule="exact"/>
        <w:rPr>
          <w:sz w:val="20"/>
          <w:szCs w:val="20"/>
          <w:color w:val="auto"/>
        </w:rPr>
      </w:pPr>
    </w:p>
    <w:p>
      <w:pPr>
        <w:ind w:right="720"/>
        <w:spacing w:after="0" w:line="23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Agreement</w:t>
      </w:r>
      <w:r>
        <w:rPr>
          <w:rFonts w:ascii="Times New Roman" w:cs="Times New Roman" w:eastAsia="Times New Roman" w:hAnsi="Times New Roman"/>
          <w:sz w:val="19"/>
          <w:szCs w:val="19"/>
          <w:color w:val="auto"/>
        </w:rPr>
        <w:t>”), dated as of April 29, 2022 (the “</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between Virtu Financial, Inc., a Delaware corporation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and Douglas A. Cifu (“</w:t>
      </w:r>
      <w:r>
        <w:rPr>
          <w:rFonts w:ascii="Times New Roman" w:cs="Times New Roman" w:eastAsia="Times New Roman" w:hAnsi="Times New Roman"/>
          <w:sz w:val="19"/>
          <w:szCs w:val="19"/>
          <w:u w:val="single" w:color="auto"/>
          <w:color w:val="auto"/>
        </w:rPr>
        <w:t>Executive</w:t>
      </w:r>
      <w:r>
        <w:rPr>
          <w:rFonts w:ascii="Times New Roman" w:cs="Times New Roman" w:eastAsia="Times New Roman" w:hAnsi="Times New Roman"/>
          <w:sz w:val="19"/>
          <w:szCs w:val="19"/>
          <w:color w:val="auto"/>
        </w:rPr>
        <w:t>”).</w:t>
      </w:r>
    </w:p>
    <w:p>
      <w:pPr>
        <w:spacing w:after="0" w:line="261" w:lineRule="exact"/>
        <w:rPr>
          <w:sz w:val="20"/>
          <w:szCs w:val="20"/>
          <w:color w:val="auto"/>
        </w:rPr>
      </w:pPr>
    </w:p>
    <w:p>
      <w:pPr>
        <w:ind w:right="340" w:firstLine="1256"/>
        <w:spacing w:after="0" w:line="251" w:lineRule="auto"/>
        <w:rPr>
          <w:sz w:val="20"/>
          <w:szCs w:val="20"/>
          <w:color w:val="auto"/>
        </w:rPr>
      </w:pPr>
      <w:r>
        <w:rPr>
          <w:rFonts w:ascii="Times New Roman" w:cs="Times New Roman" w:eastAsia="Times New Roman" w:hAnsi="Times New Roman"/>
          <w:sz w:val="19"/>
          <w:szCs w:val="19"/>
          <w:color w:val="auto"/>
        </w:rPr>
        <w:t>WHEREAS, the Company and Executive are party to that certain Employment Agreement, dated as of April 15, 2015, as amended and restated as of November 15, 2017 (the “</w:t>
      </w:r>
      <w:r>
        <w:rPr>
          <w:rFonts w:ascii="Times New Roman" w:cs="Times New Roman" w:eastAsia="Times New Roman" w:hAnsi="Times New Roman"/>
          <w:sz w:val="19"/>
          <w:szCs w:val="19"/>
          <w:u w:val="single" w:color="auto"/>
          <w:color w:val="auto"/>
        </w:rPr>
        <w:t>Existing Agreement</w:t>
      </w:r>
      <w:r>
        <w:rPr>
          <w:rFonts w:ascii="Times New Roman" w:cs="Times New Roman" w:eastAsia="Times New Roman" w:hAnsi="Times New Roman"/>
          <w:sz w:val="19"/>
          <w:szCs w:val="19"/>
          <w:color w:val="auto"/>
        </w:rPr>
        <w:t>”);</w:t>
      </w:r>
    </w:p>
    <w:p>
      <w:pPr>
        <w:spacing w:after="0" w:line="25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WHEREAS, the Company and Executive desire to amend and restate the Existing Agreement as herein provided;</w:t>
      </w:r>
    </w:p>
    <w:p>
      <w:pPr>
        <w:spacing w:after="0"/>
        <w:rPr>
          <w:sz w:val="20"/>
          <w:szCs w:val="20"/>
          <w:color w:val="auto"/>
        </w:rPr>
      </w:pPr>
      <w:r>
        <w:rPr>
          <w:rFonts w:ascii="Times New Roman" w:cs="Times New Roman" w:eastAsia="Times New Roman" w:hAnsi="Times New Roman"/>
          <w:sz w:val="19"/>
          <w:szCs w:val="19"/>
          <w:color w:val="auto"/>
        </w:rPr>
        <w:t>and</w:t>
      </w:r>
    </w:p>
    <w:p>
      <w:pPr>
        <w:spacing w:after="0" w:line="192" w:lineRule="exact"/>
        <w:rPr>
          <w:sz w:val="20"/>
          <w:szCs w:val="20"/>
          <w:color w:val="auto"/>
        </w:rPr>
      </w:pPr>
    </w:p>
    <w:p>
      <w:pPr>
        <w:ind w:right="280" w:firstLine="1256"/>
        <w:spacing w:after="0" w:line="227" w:lineRule="auto"/>
        <w:rPr>
          <w:sz w:val="20"/>
          <w:szCs w:val="20"/>
          <w:color w:val="auto"/>
        </w:rPr>
      </w:pPr>
      <w:r>
        <w:rPr>
          <w:rFonts w:ascii="Times New Roman" w:cs="Times New Roman" w:eastAsia="Times New Roman" w:hAnsi="Times New Roman"/>
          <w:sz w:val="19"/>
          <w:szCs w:val="19"/>
          <w:color w:val="auto"/>
        </w:rPr>
        <w:t>WHEREAS, Executive’s agreement to enter into this Agreement and be bound by the terms hereof, including the restrictive covenants described herein, is a material inducement to the Company’s willingness to provide equity-based</w:t>
      </w:r>
    </w:p>
    <w:p>
      <w:pPr>
        <w:spacing w:after="0" w:line="2"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9"/>
          <w:szCs w:val="19"/>
          <w:color w:val="auto"/>
        </w:rPr>
        <w:t>compensation to Executive as described herein, and the Company would not otherwise grant such equity-based compensation to Executive if Executive did not agree to enter into this Agreement.</w:t>
      </w:r>
    </w:p>
    <w:p>
      <w:pPr>
        <w:spacing w:after="0" w:line="195" w:lineRule="exact"/>
        <w:rPr>
          <w:sz w:val="20"/>
          <w:szCs w:val="20"/>
          <w:color w:val="auto"/>
        </w:rPr>
      </w:pPr>
    </w:p>
    <w:p>
      <w:pPr>
        <w:ind w:right="280" w:firstLine="1256"/>
        <w:spacing w:after="0" w:line="238" w:lineRule="auto"/>
        <w:rPr>
          <w:sz w:val="20"/>
          <w:szCs w:val="20"/>
          <w:color w:val="auto"/>
        </w:rPr>
      </w:pPr>
      <w:r>
        <w:rPr>
          <w:rFonts w:ascii="Times New Roman" w:cs="Times New Roman" w:eastAsia="Times New Roman" w:hAnsi="Times New Roman"/>
          <w:sz w:val="19"/>
          <w:szCs w:val="19"/>
          <w:color w:val="auto"/>
        </w:rPr>
        <w:t>NOW, THEREFORE, in consideration of the mutual agreements, provisions and covenants contained herein, and intending to be legally bound hereby, the parties hereto agree as set forth below:</w:t>
      </w:r>
    </w:p>
    <w:p>
      <w:pPr>
        <w:spacing w:after="0" w:line="182" w:lineRule="exact"/>
        <w:rPr>
          <w:sz w:val="20"/>
          <w:szCs w:val="20"/>
          <w:color w:val="auto"/>
        </w:rPr>
      </w:pPr>
    </w:p>
    <w:p>
      <w:pPr>
        <w:ind w:right="400" w:firstLine="1248"/>
        <w:spacing w:after="0" w:line="219" w:lineRule="auto"/>
        <w:tabs>
          <w:tab w:leader="none" w:pos="2003"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(a) The term of Executive’s employment under this Agreement shall be effective as of the Effective Date, and shall continue until February 28, 2028 (the “</w:t>
      </w:r>
      <w:r>
        <w:rPr>
          <w:rFonts w:ascii="Times New Roman" w:cs="Times New Roman" w:eastAsia="Times New Roman" w:hAnsi="Times New Roman"/>
          <w:sz w:val="19"/>
          <w:szCs w:val="19"/>
          <w:u w:val="single" w:color="auto"/>
          <w:color w:val="auto"/>
        </w:rPr>
        <w:t>Initial Expiration Date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on the Initial Expiration Date and each subsequent anniversary of the Initial</w:t>
      </w:r>
    </w:p>
    <w:p>
      <w:pPr>
        <w:ind w:right="40"/>
        <w:spacing w:after="0" w:line="21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Expiration Date, the term of Executive’s employment under this Agreement shall be extended for one (1) additional year unless either party provides written notice to the other party at least ninety (90) days prior to the Initial Expiration Date (or any such anniversary, as applicable) that Executive’s employment hereunder shall not be so extended (in which case, Executive’s employment under this Agreement shall terminate on the Initial Expiration Date or expiration of the extended term,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Executive’s employment under this Agreement may be terminated at any time pursuant to the provisions of Section 5. The period of time from the Effective Date through the termination of this Agreement and Executive’s employment hereunder pursuant to its terms is herein referred to as the “</w:t>
      </w:r>
      <w:r>
        <w:rPr>
          <w:rFonts w:ascii="Times New Roman" w:cs="Times New Roman" w:eastAsia="Times New Roman" w:hAnsi="Times New Roman"/>
          <w:sz w:val="19"/>
          <w:szCs w:val="19"/>
          <w:u w:val="single" w:color="auto"/>
          <w:color w:val="auto"/>
        </w:rPr>
        <w:t>Term</w:t>
      </w:r>
      <w:r>
        <w:rPr>
          <w:rFonts w:ascii="Times New Roman" w:cs="Times New Roman" w:eastAsia="Times New Roman" w:hAnsi="Times New Roman"/>
          <w:sz w:val="19"/>
          <w:szCs w:val="19"/>
          <w:color w:val="auto"/>
        </w:rPr>
        <w:t>”; and the date on which the Term is scheduled to expire (</w:t>
      </w:r>
      <w:r>
        <w:rPr>
          <w:rFonts w:ascii="Times New Roman" w:cs="Times New Roman" w:eastAsia="Times New Roman" w:hAnsi="Times New Roman"/>
          <w:sz w:val="19"/>
          <w:szCs w:val="19"/>
          <w:u w:val="single" w:color="auto"/>
          <w:color w:val="auto"/>
        </w:rPr>
        <w:t>i.e</w:t>
      </w:r>
      <w:r>
        <w:rPr>
          <w:rFonts w:ascii="Times New Roman" w:cs="Times New Roman" w:eastAsia="Times New Roman" w:hAnsi="Times New Roman"/>
          <w:sz w:val="19"/>
          <w:szCs w:val="19"/>
          <w:color w:val="auto"/>
        </w:rPr>
        <w:t>., the Initial Expiration Date or the scheduled expiration of the extended term, if applicable) is herein referred to as the “</w:t>
      </w:r>
      <w:r>
        <w:rPr>
          <w:rFonts w:ascii="Times New Roman" w:cs="Times New Roman" w:eastAsia="Times New Roman" w:hAnsi="Times New Roman"/>
          <w:sz w:val="19"/>
          <w:szCs w:val="19"/>
          <w:u w:val="single" w:color="auto"/>
          <w:color w:val="auto"/>
        </w:rPr>
        <w:t>Expiration Date</w:t>
      </w:r>
      <w:r>
        <w:rPr>
          <w:rFonts w:ascii="Times New Roman" w:cs="Times New Roman" w:eastAsia="Times New Roman" w:hAnsi="Times New Roman"/>
          <w:sz w:val="19"/>
          <w:szCs w:val="19"/>
          <w:color w:val="auto"/>
        </w:rPr>
        <w:t>.” Notwithstanding anything contained herein to the contrary, if upon the effective date of a Change in Control, the Expiration Date is less than two (2) years from the date of such Change in Control, the Term shall automatically be renewed so that the Expiration Date is two (2) years from the effective date of such Change in Control.</w:t>
      </w:r>
    </w:p>
    <w:p>
      <w:pPr>
        <w:spacing w:after="0" w:line="203" w:lineRule="exact"/>
        <w:rPr>
          <w:sz w:val="20"/>
          <w:szCs w:val="20"/>
          <w:color w:val="auto"/>
        </w:rPr>
      </w:pPr>
    </w:p>
    <w:p>
      <w:pPr>
        <w:ind w:right="40" w:firstLine="1248"/>
        <w:spacing w:after="0" w:line="217" w:lineRule="auto"/>
        <w:tabs>
          <w:tab w:leader="none" w:pos="1672"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agrees and acknowledges that the Company has no obligation to extend the Term or to continue Executive’s employment following the Expiration Date, and Executive expressly acknowledges that no promises or understandings to the contrary have been made or reached. Executive also agrees and acknowledges that, should Executive and the Company choose to continue Executive’s employment for any period of time following the Expiration Date without extending the term of Executive’s employment under this Agreement or entering into a new written employment agreement, Executive’s employment with the Company shall be “at will,” such that the Company may terminate Executive’s employment at any time, with or without reason and with or without notice, and Executive may resign at any time, with or without reason and with or without notice (for the sake of clarity, the provisions of this Agreement shall not apply following the expiration of the Term (except as otherwise expressly provided herein)).</w:t>
      </w:r>
    </w:p>
    <w:p>
      <w:pPr>
        <w:sectPr>
          <w:pgSz w:w="11900" w:h="16838" w:orient="portrait"/>
          <w:cols w:equalWidth="0" w:num="1">
            <w:col w:w="10220"/>
          </w:cols>
          <w:pgMar w:left="840" w:top="719" w:right="839" w:bottom="1440" w:gutter="0" w:footer="0" w:header="0"/>
        </w:sectPr>
      </w:pPr>
    </w:p>
    <w:bookmarkStart w:id="82" w:name="page83"/>
    <w:bookmarkEnd w:id="82"/>
    <w:p>
      <w:pPr>
        <w:ind w:left="2009" w:hanging="752"/>
        <w:spacing w:after="0"/>
        <w:tabs>
          <w:tab w:leader="none" w:pos="2009"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Definitions</w:t>
      </w:r>
      <w:r>
        <w:rPr>
          <w:rFonts w:ascii="Times New Roman" w:cs="Times New Roman" w:eastAsia="Times New Roman" w:hAnsi="Times New Roman"/>
          <w:sz w:val="19"/>
          <w:szCs w:val="19"/>
          <w:color w:val="auto"/>
        </w:rPr>
        <w:t>. For purposes of this Agreement, the following terms, as used herein, shall have the definitions</w:t>
      </w:r>
    </w:p>
    <w:p>
      <w:pPr>
        <w:ind w:left="9"/>
        <w:spacing w:after="0"/>
        <w:rPr>
          <w:sz w:val="20"/>
          <w:szCs w:val="20"/>
          <w:color w:val="auto"/>
        </w:rPr>
      </w:pPr>
      <w:r>
        <w:rPr>
          <w:rFonts w:ascii="Times New Roman" w:cs="Times New Roman" w:eastAsia="Times New Roman" w:hAnsi="Times New Roman"/>
          <w:sz w:val="19"/>
          <w:szCs w:val="19"/>
          <w:color w:val="auto"/>
        </w:rPr>
        <w:t>set forth below.</w:t>
      </w:r>
    </w:p>
    <w:p>
      <w:pPr>
        <w:spacing w:after="0" w:line="192" w:lineRule="exact"/>
        <w:rPr>
          <w:sz w:val="20"/>
          <w:szCs w:val="20"/>
          <w:color w:val="auto"/>
        </w:rPr>
      </w:pPr>
    </w:p>
    <w:p>
      <w:pPr>
        <w:ind w:left="9" w:right="80" w:firstLine="1248"/>
        <w:spacing w:after="0" w:line="227" w:lineRule="auto"/>
        <w:tabs>
          <w:tab w:leader="none" w:pos="2015"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xml:space="preserve">” means, with respect to any specified Person, any other Person that directly or indirectly, through one or more intermediaries, Controls, is Controlled by, or is under common Control with, such specified Person;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in no event shall any entity Controlled by Vincent Viola but in which the Company does not have a direct or indirect ownership interest be treated as an Affiliate of the Company.</w:t>
      </w:r>
    </w:p>
    <w:p>
      <w:pPr>
        <w:spacing w:after="0" w:line="182" w:lineRule="exact"/>
        <w:rPr>
          <w:rFonts w:ascii="Times New Roman" w:cs="Times New Roman" w:eastAsia="Times New Roman" w:hAnsi="Times New Roman"/>
          <w:sz w:val="19"/>
          <w:szCs w:val="19"/>
          <w:color w:val="auto"/>
        </w:rPr>
      </w:pPr>
    </w:p>
    <w:p>
      <w:pPr>
        <w:ind w:left="1869" w:hanging="612"/>
        <w:spacing w:after="0"/>
        <w:tabs>
          <w:tab w:leader="none" w:pos="1869"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has the meaning set forth in the Plan.</w:t>
      </w:r>
    </w:p>
    <w:p>
      <w:pPr>
        <w:spacing w:after="0" w:line="305" w:lineRule="exact"/>
        <w:rPr>
          <w:rFonts w:ascii="Times New Roman" w:cs="Times New Roman" w:eastAsia="Times New Roman" w:hAnsi="Times New Roman"/>
          <w:sz w:val="19"/>
          <w:szCs w:val="19"/>
          <w:color w:val="auto"/>
        </w:rPr>
      </w:pPr>
    </w:p>
    <w:p>
      <w:pPr>
        <w:ind w:left="9" w:firstLine="1248"/>
        <w:spacing w:after="0" w:line="212" w:lineRule="auto"/>
        <w:tabs>
          <w:tab w:leader="none" w:pos="2015"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means (i) Executive’s willful engagement in illegal conduct or gross misconduct that is materially and demonstrably injurious to the Company, which action is not cured (if curable) within thirty (30) days after a written demand for substantial performance is received by Executive from the Company that specifically identifies in reasonable detail the action(s) that it believes Executive has engaged in and the related effect on the Company; (ii) conviction of (by a court of competent jurisdiction), or entry of a plea of guilty or no contest by, Executive with respect to, a felony of which fraud or dishonesty is a material element or which involves a violation of securities laws or the rules and regulations of a self-regulatory organization applicable to Executive in connection with his position at the Company; or (iii) the willful and material breach of this Agreement or any Noncompetition Restrictions (as defined below) by Executive which breach is not cured (if curable) within thirty (30) days after a written notice from the Company that specifically identifies in reasonable detail the willful and material breach. Any act, or failure to act, based upon authority given pursuant to a resolution duly adopted by the Board or upon the instructions of the Board or reasonably based upon the advice of outside counsel for the Company shall be conclusively presumed to be done, or omitted to be done, by Executive in good faith and in the best interests of the Company and, for the purposes of clauses (i) and (iii) of the preceding sentence, no act or failure to act on the part of Executive shall be considered “willful,” so long as Executive reasonably believed that such action, or failure to act, was in the best interests of the Company. Cause shall not exist unless and until (A) the Board has delivered to Executive written notice (a “</w:t>
      </w:r>
      <w:r>
        <w:rPr>
          <w:rFonts w:ascii="Times New Roman" w:cs="Times New Roman" w:eastAsia="Times New Roman" w:hAnsi="Times New Roman"/>
          <w:sz w:val="19"/>
          <w:szCs w:val="19"/>
          <w:u w:val="single" w:color="auto"/>
          <w:color w:val="auto"/>
        </w:rPr>
        <w:t>Removal Notice</w:t>
      </w:r>
      <w:r>
        <w:rPr>
          <w:rFonts w:ascii="Times New Roman" w:cs="Times New Roman" w:eastAsia="Times New Roman" w:hAnsi="Times New Roman"/>
          <w:sz w:val="19"/>
          <w:szCs w:val="19"/>
          <w:color w:val="auto"/>
        </w:rPr>
        <w:t>”) that (x) indicates the specific provision of the definition of “Cause” relied upon,</w:t>
      </w:r>
    </w:p>
    <w:p>
      <w:pPr>
        <w:spacing w:after="0" w:line="8" w:lineRule="exact"/>
        <w:rPr>
          <w:rFonts w:ascii="Times New Roman" w:cs="Times New Roman" w:eastAsia="Times New Roman" w:hAnsi="Times New Roman"/>
          <w:sz w:val="19"/>
          <w:szCs w:val="19"/>
          <w:color w:val="auto"/>
        </w:rPr>
      </w:pPr>
    </w:p>
    <w:p>
      <w:pPr>
        <w:ind w:left="9" w:right="100" w:hanging="9"/>
        <w:spacing w:after="0" w:line="215" w:lineRule="auto"/>
        <w:tabs>
          <w:tab w:leader="none" w:pos="281"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sets forth in reasonable detail the facts and circumstances claimed to provide a basis for Cause under the provision so indicated and (z) includes a copy of a resolution duly adopted by a majority of the Board (excluding Executive) at a meeting of the Board called and held for such purpose (after reasonable notice to Executive and an opportunity for Executive, together with counsel, to be heard before the Board), finding that, in the opinion of the Board, Cause has occurred and setting forth in reasonable detail the facts and circumstances thereof and (B) Executive has been afforded the right to cure (if curable) any such action in accordance with clauses (i) or (iii) of the definition of Cause, as applicable. A removal of Executive for Cause shall be effective only if the Board delivers to Executive a Removal Notice within ninety (90) days after the Company first learns of the existence of the circumstances giving rise to Cause if, and only if, a reasonable Person could have determined that Cause exists upon learning of the circumstances that the Company was actually aware of at such time.</w:t>
      </w:r>
    </w:p>
    <w:p>
      <w:pPr>
        <w:spacing w:after="0" w:line="181" w:lineRule="exact"/>
        <w:rPr>
          <w:rFonts w:ascii="Times New Roman" w:cs="Times New Roman" w:eastAsia="Times New Roman" w:hAnsi="Times New Roman"/>
          <w:sz w:val="19"/>
          <w:szCs w:val="19"/>
          <w:color w:val="auto"/>
        </w:rPr>
      </w:pPr>
    </w:p>
    <w:p>
      <w:pPr>
        <w:ind w:left="9" w:right="180" w:firstLine="1248"/>
        <w:spacing w:after="0" w:line="235" w:lineRule="auto"/>
        <w:tabs>
          <w:tab w:leader="none" w:pos="2013"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Control</w:t>
      </w:r>
      <w:r>
        <w:rPr>
          <w:rFonts w:ascii="Times New Roman" w:cs="Times New Roman" w:eastAsia="Times New Roman" w:hAnsi="Times New Roman"/>
          <w:sz w:val="19"/>
          <w:szCs w:val="19"/>
          <w:color w:val="auto"/>
        </w:rPr>
        <w:t>” (including, with correlative meanings, the terms “</w:t>
      </w:r>
      <w:r>
        <w:rPr>
          <w:rFonts w:ascii="Times New Roman" w:cs="Times New Roman" w:eastAsia="Times New Roman" w:hAnsi="Times New Roman"/>
          <w:sz w:val="19"/>
          <w:szCs w:val="19"/>
          <w:u w:val="single" w:color="auto"/>
          <w:color w:val="auto"/>
        </w:rPr>
        <w:t>Controlled by</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under common Control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with</w:t>
      </w:r>
      <w:r>
        <w:rPr>
          <w:rFonts w:ascii="Times New Roman" w:cs="Times New Roman" w:eastAsia="Times New Roman" w:hAnsi="Times New Roman"/>
          <w:sz w:val="19"/>
          <w:szCs w:val="19"/>
          <w:color w:val="auto"/>
        </w:rPr>
        <w:t>”), as used with respect to any Person, means the direct or indirect possession of the power to direct or cause the direction of the management or policies of such Person, whether through the ownership of voting securities or by contract.</w:t>
      </w:r>
    </w:p>
    <w:p>
      <w:pPr>
        <w:spacing w:after="0" w:line="170" w:lineRule="exact"/>
        <w:rPr>
          <w:rFonts w:ascii="Times New Roman" w:cs="Times New Roman" w:eastAsia="Times New Roman" w:hAnsi="Times New Roman"/>
          <w:sz w:val="19"/>
          <w:szCs w:val="19"/>
          <w:color w:val="auto"/>
        </w:rPr>
      </w:pPr>
    </w:p>
    <w:p>
      <w:pPr>
        <w:ind w:left="2009" w:hanging="752"/>
        <w:spacing w:after="0"/>
        <w:tabs>
          <w:tab w:leader="none" w:pos="2009"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means Executive would be entitled to long-term disability benefits under the Company’s</w:t>
      </w:r>
    </w:p>
    <w:p>
      <w:pPr>
        <w:ind w:left="9"/>
        <w:spacing w:after="0" w:line="215" w:lineRule="auto"/>
        <w:rPr>
          <w:sz w:val="20"/>
          <w:szCs w:val="20"/>
          <w:color w:val="auto"/>
        </w:rPr>
      </w:pPr>
      <w:r>
        <w:rPr>
          <w:rFonts w:ascii="Times New Roman" w:cs="Times New Roman" w:eastAsia="Times New Roman" w:hAnsi="Times New Roman"/>
          <w:sz w:val="19"/>
          <w:szCs w:val="19"/>
          <w:color w:val="auto"/>
        </w:rPr>
        <w:t>long-term disability plan as in effect from time to time, without regard to any waiting or elimination period under such plan and</w:t>
      </w:r>
    </w:p>
    <w:p>
      <w:pPr>
        <w:spacing w:after="0" w:line="1" w:lineRule="exact"/>
        <w:rPr>
          <w:sz w:val="20"/>
          <w:szCs w:val="20"/>
          <w:color w:val="auto"/>
        </w:rPr>
      </w:pPr>
    </w:p>
    <w:p>
      <w:pPr>
        <w:ind w:left="9" w:right="300"/>
        <w:spacing w:after="0" w:line="226" w:lineRule="auto"/>
        <w:rPr>
          <w:sz w:val="20"/>
          <w:szCs w:val="20"/>
          <w:color w:val="auto"/>
        </w:rPr>
      </w:pPr>
      <w:r>
        <w:rPr>
          <w:rFonts w:ascii="Times New Roman" w:cs="Times New Roman" w:eastAsia="Times New Roman" w:hAnsi="Times New Roman"/>
          <w:sz w:val="19"/>
          <w:szCs w:val="19"/>
          <w:color w:val="auto"/>
        </w:rPr>
        <w:t>assuming for the purpose of such determination that Executive is actually participating in such plan at such time. If the Company does not maintain a long-</w:t>
      </w:r>
    </w:p>
    <w:p>
      <w:pPr>
        <w:sectPr>
          <w:pgSz w:w="11900" w:h="16838" w:orient="portrait"/>
          <w:cols w:equalWidth="0" w:num="1">
            <w:col w:w="10209"/>
          </w:cols>
          <w:pgMar w:left="831" w:top="1348" w:right="859" w:bottom="1440" w:gutter="0" w:footer="0" w:header="0"/>
        </w:sectPr>
      </w:pPr>
    </w:p>
    <w:bookmarkStart w:id="83" w:name="page84"/>
    <w:bookmarkEnd w:id="83"/>
    <w:p>
      <w:pPr>
        <w:spacing w:after="0" w:line="14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9"/>
          <w:szCs w:val="19"/>
          <w:color w:val="auto"/>
        </w:rPr>
        <w:t>term disability plan, “Disability” means Executive’s inability to perform Executive’s duties and responsibilities hereunder on a</w:t>
      </w:r>
    </w:p>
    <w:p>
      <w:pPr>
        <w:ind w:left="9" w:right="200"/>
        <w:spacing w:after="0" w:line="208" w:lineRule="auto"/>
        <w:rPr>
          <w:sz w:val="20"/>
          <w:szCs w:val="20"/>
          <w:color w:val="auto"/>
        </w:rPr>
      </w:pPr>
      <w:r>
        <w:rPr>
          <w:rFonts w:ascii="Times New Roman" w:cs="Times New Roman" w:eastAsia="Times New Roman" w:hAnsi="Times New Roman"/>
          <w:sz w:val="19"/>
          <w:szCs w:val="19"/>
          <w:color w:val="auto"/>
        </w:rPr>
        <w:t>full-time basis for a consecutive period of one hundred eighty (180) days in any three hundred sixty-five (365)-day period due to physical or mental illness or incapacity that is determined to be total and permanent by a physician selected by the Company or its</w:t>
      </w:r>
    </w:p>
    <w:p>
      <w:pPr>
        <w:spacing w:after="0" w:line="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9"/>
          <w:szCs w:val="19"/>
          <w:color w:val="auto"/>
        </w:rPr>
        <w:t>insurers and reasonably acceptable to the Executive or his legal representative.</w:t>
      </w:r>
    </w:p>
    <w:p>
      <w:pPr>
        <w:spacing w:after="0" w:line="205" w:lineRule="exact"/>
        <w:rPr>
          <w:sz w:val="20"/>
          <w:szCs w:val="20"/>
          <w:color w:val="auto"/>
        </w:rPr>
      </w:pPr>
    </w:p>
    <w:p>
      <w:pPr>
        <w:ind w:left="1869" w:hanging="612"/>
        <w:spacing w:after="0"/>
        <w:tabs>
          <w:tab w:leader="none" w:pos="1869"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Good Reason</w:t>
      </w:r>
      <w:r>
        <w:rPr>
          <w:rFonts w:ascii="Times New Roman" w:cs="Times New Roman" w:eastAsia="Times New Roman" w:hAnsi="Times New Roman"/>
          <w:sz w:val="19"/>
          <w:szCs w:val="19"/>
          <w:color w:val="auto"/>
        </w:rPr>
        <w:t>” means the termination of Executive’s employment at his</w:t>
      </w:r>
    </w:p>
    <w:p>
      <w:pPr>
        <w:spacing w:after="0" w:line="13" w:lineRule="exact"/>
        <w:rPr>
          <w:sz w:val="20"/>
          <w:szCs w:val="20"/>
          <w:color w:val="auto"/>
        </w:rPr>
      </w:pPr>
    </w:p>
    <w:p>
      <w:pPr>
        <w:ind w:left="9" w:right="80"/>
        <w:spacing w:after="0" w:line="215" w:lineRule="auto"/>
        <w:rPr>
          <w:sz w:val="20"/>
          <w:szCs w:val="20"/>
          <w:color w:val="auto"/>
        </w:rPr>
      </w:pPr>
      <w:r>
        <w:rPr>
          <w:rFonts w:ascii="Times New Roman" w:cs="Times New Roman" w:eastAsia="Times New Roman" w:hAnsi="Times New Roman"/>
          <w:sz w:val="19"/>
          <w:szCs w:val="19"/>
          <w:color w:val="auto"/>
        </w:rPr>
        <w:t>initiative after, without Executive’s prior written consent, one (1) or more of the following events: (i) a reduction in the Base Salary, or the uncured failure by the Company to fulfill its obligations under this Agreement within thirty (30) days after written notice</w:t>
      </w:r>
    </w:p>
    <w:p>
      <w:pPr>
        <w:spacing w:after="0" w:line="2" w:lineRule="exact"/>
        <w:rPr>
          <w:sz w:val="20"/>
          <w:szCs w:val="20"/>
          <w:color w:val="auto"/>
        </w:rPr>
      </w:pPr>
    </w:p>
    <w:p>
      <w:pPr>
        <w:ind w:left="9" w:right="20"/>
        <w:spacing w:after="0" w:line="208" w:lineRule="auto"/>
        <w:rPr>
          <w:sz w:val="20"/>
          <w:szCs w:val="20"/>
          <w:color w:val="auto"/>
        </w:rPr>
      </w:pPr>
      <w:r>
        <w:rPr>
          <w:rFonts w:ascii="Times New Roman" w:cs="Times New Roman" w:eastAsia="Times New Roman" w:hAnsi="Times New Roman"/>
          <w:sz w:val="19"/>
          <w:szCs w:val="19"/>
          <w:color w:val="auto"/>
        </w:rPr>
        <w:t>thereof from Executive to the Company; (ii) the failure to elect Executive to or the removal of Executive (other than for Cause) from any of the positions described in Section 3; any material diminution or adverse change in the duties, authority, responsibilities, or</w:t>
      </w:r>
    </w:p>
    <w:p>
      <w:pPr>
        <w:ind w:left="9"/>
        <w:spacing w:after="0" w:line="217" w:lineRule="auto"/>
        <w:rPr>
          <w:sz w:val="20"/>
          <w:szCs w:val="20"/>
          <w:color w:val="auto"/>
        </w:rPr>
      </w:pPr>
      <w:r>
        <w:rPr>
          <w:rFonts w:ascii="Times New Roman" w:cs="Times New Roman" w:eastAsia="Times New Roman" w:hAnsi="Times New Roman"/>
          <w:sz w:val="19"/>
          <w:szCs w:val="19"/>
          <w:color w:val="auto"/>
        </w:rPr>
        <w:t>positions of Executive from those contemplated by Section 3(a); any attempt to remove Executive from any executive management</w:t>
      </w:r>
    </w:p>
    <w:p>
      <w:pPr>
        <w:ind w:left="9" w:right="100"/>
        <w:spacing w:after="0" w:line="208" w:lineRule="auto"/>
        <w:rPr>
          <w:sz w:val="20"/>
          <w:szCs w:val="20"/>
          <w:color w:val="auto"/>
        </w:rPr>
      </w:pPr>
      <w:r>
        <w:rPr>
          <w:rFonts w:ascii="Times New Roman" w:cs="Times New Roman" w:eastAsia="Times New Roman" w:hAnsi="Times New Roman"/>
          <w:sz w:val="19"/>
          <w:szCs w:val="19"/>
          <w:color w:val="auto"/>
        </w:rPr>
        <w:t>position in a manner contrary to this Agreement or the Company’s then effective Certificate of Incorporation or By-Laws; (iii) the assignment to Executive of duties or responsibilities which are materially inconsistent with or different from those contemplated by</w:t>
      </w:r>
    </w:p>
    <w:p>
      <w:pPr>
        <w:ind w:left="9"/>
        <w:spacing w:after="0" w:line="217" w:lineRule="auto"/>
        <w:rPr>
          <w:sz w:val="20"/>
          <w:szCs w:val="20"/>
          <w:color w:val="auto"/>
        </w:rPr>
      </w:pPr>
      <w:r>
        <w:rPr>
          <w:rFonts w:ascii="Times New Roman" w:cs="Times New Roman" w:eastAsia="Times New Roman" w:hAnsi="Times New Roman"/>
          <w:sz w:val="19"/>
          <w:szCs w:val="19"/>
          <w:color w:val="auto"/>
        </w:rPr>
        <w:t>Section 3(a) or requiring Executive to report to an officer or employee instead of the Board; (iv) the Company’s requiring Executive</w:t>
      </w:r>
    </w:p>
    <w:p>
      <w:pPr>
        <w:ind w:left="9" w:right="40"/>
        <w:spacing w:after="0" w:line="208" w:lineRule="auto"/>
        <w:rPr>
          <w:sz w:val="20"/>
          <w:szCs w:val="20"/>
          <w:color w:val="auto"/>
        </w:rPr>
      </w:pPr>
      <w:r>
        <w:rPr>
          <w:rFonts w:ascii="Times New Roman" w:cs="Times New Roman" w:eastAsia="Times New Roman" w:hAnsi="Times New Roman"/>
          <w:sz w:val="19"/>
          <w:szCs w:val="19"/>
          <w:color w:val="auto"/>
        </w:rPr>
        <w:t>to be based at a location in excess of fifty (50) miles from the location of Executive’s principal job location or office specified in Section 3(b), except for required travel on the Company’s business to an extent substantially consistent with Executive’s position; or</w:t>
      </w:r>
    </w:p>
    <w:p>
      <w:pPr>
        <w:spacing w:after="0" w:line="1" w:lineRule="exact"/>
        <w:rPr>
          <w:sz w:val="20"/>
          <w:szCs w:val="20"/>
          <w:color w:val="auto"/>
        </w:rPr>
      </w:pPr>
    </w:p>
    <w:p>
      <w:pPr>
        <w:ind w:left="9" w:hanging="9"/>
        <w:spacing w:after="0" w:line="215" w:lineRule="auto"/>
        <w:tabs>
          <w:tab w:leader="none" w:pos="281"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failure of the Company to obtain the assumption in writing of its obligation to perform this Agreement by any successor to all or substantially all of the assets or business of the Company after a merger, consolidation, sale, or similar transaction;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prior to resigning for Good Reason, Executive shall give written notice to the Company of the facts and circumstances claimed to provide a basis for such resignation not more than sixty (60) days following his knowledge of such facts and circumstances, and the Company shall have thirty (30) days after receipt of such notice to cure such facts and circumstances (and if so cured then Executive shall not be permitted to resign for Good Reason in respect thereof). Any termination of employment by Executive for Good Reason shall be communicated to the Company by written notice, which shall include Executive’s date of termination of employment (which, except as set forth in the preceding sentence, shall be a date not later than thirty (30) days after delivery of such notice).</w:t>
      </w:r>
    </w:p>
    <w:p>
      <w:pPr>
        <w:spacing w:after="0" w:line="181" w:lineRule="exact"/>
        <w:rPr>
          <w:rFonts w:ascii="Times New Roman" w:cs="Times New Roman" w:eastAsia="Times New Roman" w:hAnsi="Times New Roman"/>
          <w:sz w:val="19"/>
          <w:szCs w:val="19"/>
          <w:color w:val="auto"/>
        </w:rPr>
      </w:pPr>
    </w:p>
    <w:p>
      <w:pPr>
        <w:ind w:left="9" w:right="360" w:firstLine="1248"/>
        <w:spacing w:after="0" w:line="238" w:lineRule="auto"/>
        <w:tabs>
          <w:tab w:leader="none" w:pos="2013"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Governmental Entity</w:t>
      </w:r>
      <w:r>
        <w:rPr>
          <w:rFonts w:ascii="Times New Roman" w:cs="Times New Roman" w:eastAsia="Times New Roman" w:hAnsi="Times New Roman"/>
          <w:sz w:val="19"/>
          <w:szCs w:val="19"/>
          <w:color w:val="auto"/>
        </w:rPr>
        <w:t>” means any national, state, county, local, municipal or other government or any court of competent jurisdiction, administrative agency or commission or other governmental authority or instrumentality.</w:t>
      </w:r>
    </w:p>
    <w:p>
      <w:pPr>
        <w:spacing w:after="0" w:line="195" w:lineRule="exact"/>
        <w:rPr>
          <w:rFonts w:ascii="Times New Roman" w:cs="Times New Roman" w:eastAsia="Times New Roman" w:hAnsi="Times New Roman"/>
          <w:sz w:val="19"/>
          <w:szCs w:val="19"/>
          <w:color w:val="auto"/>
        </w:rPr>
      </w:pPr>
    </w:p>
    <w:p>
      <w:pPr>
        <w:ind w:left="9" w:right="540" w:firstLine="1248"/>
        <w:spacing w:after="0" w:line="238" w:lineRule="auto"/>
        <w:tabs>
          <w:tab w:leader="none" w:pos="2015"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 any individual, firm, corporation, partnership, limited liability company, trust, joint venture, association, unincorporated entity or other entity.</w:t>
      </w:r>
    </w:p>
    <w:p>
      <w:pPr>
        <w:spacing w:after="0" w:line="195" w:lineRule="exact"/>
        <w:rPr>
          <w:rFonts w:ascii="Times New Roman" w:cs="Times New Roman" w:eastAsia="Times New Roman" w:hAnsi="Times New Roman"/>
          <w:sz w:val="19"/>
          <w:szCs w:val="19"/>
          <w:color w:val="auto"/>
        </w:rPr>
      </w:pPr>
    </w:p>
    <w:p>
      <w:pPr>
        <w:ind w:left="9" w:right="180" w:firstLine="1248"/>
        <w:spacing w:after="0" w:line="238" w:lineRule="auto"/>
        <w:tabs>
          <w:tab w:leader="none" w:pos="2013" w:val="left"/>
        </w:tabs>
        <w:numPr>
          <w:ilvl w:val="1"/>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the Virtu Financial, Inc. Amended and Restated 2015 Management Incentive Plan, as may be amended and restated from time to time.</w:t>
      </w:r>
    </w:p>
    <w:p>
      <w:pPr>
        <w:spacing w:after="0" w:line="182" w:lineRule="exact"/>
        <w:rPr>
          <w:sz w:val="20"/>
          <w:szCs w:val="20"/>
          <w:color w:val="auto"/>
        </w:rPr>
      </w:pPr>
    </w:p>
    <w:p>
      <w:pPr>
        <w:ind w:left="9" w:right="40" w:firstLine="1248"/>
        <w:spacing w:after="0" w:line="219" w:lineRule="auto"/>
        <w:tabs>
          <w:tab w:leader="none" w:pos="2012"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Duties and Responsibilities</w:t>
      </w:r>
      <w:r>
        <w:rPr>
          <w:rFonts w:ascii="Times New Roman" w:cs="Times New Roman" w:eastAsia="Times New Roman" w:hAnsi="Times New Roman"/>
          <w:sz w:val="19"/>
          <w:szCs w:val="19"/>
          <w:color w:val="auto"/>
        </w:rPr>
        <w:t xml:space="preserve">. (a) The Company hereby employs Executive and Executive hereby accepts employment, subject to the terms and conditions contained herein, during the Term, as Chief Executive Officer. During the Term, Executive agrees to be employed by and devote substantially all of Executive’s business time and attention to the Company and the promotion of its interests and to use his best efforts to faithfully and diligently serve the Company;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to the extent such activities do not significantly interfere with the performance of his duties, services and responsibilities under this Agreement, Executive shall be permitted to (i) manage his personal, financial and legal affairs, (ii) serve on civic or charitable boards and committees of such boards and (iii) to the extent approved by the Board pursuant to a duly authorized resolution of the Board, serve on corporate boards and committees of such boards;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Executive (x) shall be permitted to continue</w:t>
      </w:r>
    </w:p>
    <w:p>
      <w:pPr>
        <w:sectPr>
          <w:pgSz w:w="11900" w:h="16838" w:orient="portrait"/>
          <w:cols w:equalWidth="0" w:num="1">
            <w:col w:w="10209"/>
          </w:cols>
          <w:pgMar w:left="831" w:top="1440" w:right="859" w:bottom="1440" w:gutter="0" w:footer="0" w:header="0"/>
        </w:sectPr>
      </w:pPr>
    </w:p>
    <w:bookmarkStart w:id="84" w:name="page85"/>
    <w:bookmarkEnd w:id="84"/>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to be engaged in, or provide services to, the businesses and activities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and (y) to the extent that such activities</w:t>
      </w:r>
    </w:p>
    <w:p>
      <w:pPr>
        <w:ind w:right="840"/>
        <w:spacing w:after="0" w:line="208" w:lineRule="auto"/>
        <w:rPr>
          <w:sz w:val="20"/>
          <w:szCs w:val="20"/>
          <w:color w:val="auto"/>
        </w:rPr>
      </w:pPr>
      <w:r>
        <w:rPr>
          <w:rFonts w:ascii="Times New Roman" w:cs="Times New Roman" w:eastAsia="Times New Roman" w:hAnsi="Times New Roman"/>
          <w:sz w:val="19"/>
          <w:szCs w:val="19"/>
          <w:color w:val="auto"/>
        </w:rPr>
        <w:t>do not significantly interfere with the performance of his duties, services and responsibilities under this Agreement, shall be permitted to become engaged in, or provide services to, any other business or activity, whether as owner, partner, investor,</w:t>
      </w:r>
    </w:p>
    <w:p>
      <w:pPr>
        <w:spacing w:after="0" w:line="1" w:lineRule="exact"/>
        <w:rPr>
          <w:sz w:val="20"/>
          <w:szCs w:val="20"/>
          <w:color w:val="auto"/>
        </w:rPr>
      </w:pPr>
    </w:p>
    <w:p>
      <w:pPr>
        <w:ind w:right="280"/>
        <w:spacing w:after="0" w:line="208" w:lineRule="auto"/>
        <w:rPr>
          <w:sz w:val="20"/>
          <w:szCs w:val="20"/>
          <w:color w:val="auto"/>
        </w:rPr>
      </w:pPr>
      <w:r>
        <w:rPr>
          <w:rFonts w:ascii="Times New Roman" w:cs="Times New Roman" w:eastAsia="Times New Roman" w:hAnsi="Times New Roman"/>
          <w:sz w:val="19"/>
          <w:szCs w:val="19"/>
          <w:color w:val="auto"/>
        </w:rPr>
        <w:t>consultant, agent, employee, co- venturer or otherwise, in which Vincent Viola is permitted to become engaged in during the Term, to the extent that Executive’s level of participation in such businesses or activities are consistent with</w:t>
      </w:r>
    </w:p>
    <w:p>
      <w:pPr>
        <w:spacing w:after="0" w:line="1" w:lineRule="exact"/>
        <w:rPr>
          <w:sz w:val="20"/>
          <w:szCs w:val="20"/>
          <w:color w:val="auto"/>
        </w:rPr>
      </w:pPr>
    </w:p>
    <w:p>
      <w:pPr>
        <w:ind w:right="200"/>
        <w:spacing w:after="0" w:line="215" w:lineRule="auto"/>
        <w:rPr>
          <w:sz w:val="20"/>
          <w:szCs w:val="20"/>
          <w:color w:val="auto"/>
        </w:rPr>
      </w:pPr>
      <w:r>
        <w:rPr>
          <w:rFonts w:ascii="Times New Roman" w:cs="Times New Roman" w:eastAsia="Times New Roman" w:hAnsi="Times New Roman"/>
          <w:sz w:val="19"/>
          <w:szCs w:val="19"/>
          <w:color w:val="auto"/>
        </w:rPr>
        <w:t xml:space="preserve">Executive’s participation in the businesses or activities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prior to the Effective Date. Executive will report solely to the Board of Directors of the Company (the “</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Executive will perform such lawful duties and responsibilities as are</w:t>
      </w:r>
    </w:p>
    <w:p>
      <w:pPr>
        <w:spacing w:after="0" w:line="2" w:lineRule="exact"/>
        <w:rPr>
          <w:sz w:val="20"/>
          <w:szCs w:val="20"/>
          <w:color w:val="auto"/>
        </w:rPr>
      </w:pPr>
    </w:p>
    <w:p>
      <w:pPr>
        <w:ind w:right="300"/>
        <w:spacing w:after="0" w:line="208" w:lineRule="auto"/>
        <w:rPr>
          <w:sz w:val="20"/>
          <w:szCs w:val="20"/>
          <w:color w:val="auto"/>
        </w:rPr>
      </w:pPr>
      <w:r>
        <w:rPr>
          <w:rFonts w:ascii="Times New Roman" w:cs="Times New Roman" w:eastAsia="Times New Roman" w:hAnsi="Times New Roman"/>
          <w:sz w:val="19"/>
          <w:szCs w:val="19"/>
          <w:color w:val="auto"/>
        </w:rPr>
        <w:t>commensurate with Executive’s titles and positions and as are generally consistent with those exercised by Executive prior to the Effective Date, and such other duties and responsibilities commensurate with Executive’s titles and positions as may be reasonably</w:t>
      </w:r>
    </w:p>
    <w:p>
      <w:pPr>
        <w:spacing w:after="0" w:line="217" w:lineRule="auto"/>
        <w:rPr>
          <w:sz w:val="20"/>
          <w:szCs w:val="20"/>
          <w:color w:val="auto"/>
        </w:rPr>
      </w:pPr>
      <w:r>
        <w:rPr>
          <w:rFonts w:ascii="Times New Roman" w:cs="Times New Roman" w:eastAsia="Times New Roman" w:hAnsi="Times New Roman"/>
          <w:sz w:val="19"/>
          <w:szCs w:val="19"/>
          <w:color w:val="auto"/>
        </w:rPr>
        <w:t>requested by the Board from time to time. Executive will have the authority customarily exercised by an individual serving as Chief</w:t>
      </w:r>
    </w:p>
    <w:p>
      <w:pPr>
        <w:ind w:right="380"/>
        <w:spacing w:after="0" w:line="208" w:lineRule="auto"/>
        <w:rPr>
          <w:sz w:val="20"/>
          <w:szCs w:val="20"/>
          <w:color w:val="auto"/>
        </w:rPr>
      </w:pPr>
      <w:r>
        <w:rPr>
          <w:rFonts w:ascii="Times New Roman" w:cs="Times New Roman" w:eastAsia="Times New Roman" w:hAnsi="Times New Roman"/>
          <w:sz w:val="19"/>
          <w:szCs w:val="19"/>
          <w:color w:val="auto"/>
        </w:rPr>
        <w:t>Executive Officer of a corporation of the size and nature of the Company and as is generally consistent with Executive’s authority prior to the Effective Date. During the Term, Executive shall serve as a member of the Board, and upon request shall serve as a</w:t>
      </w:r>
    </w:p>
    <w:p>
      <w:pPr>
        <w:spacing w:after="0" w:line="217" w:lineRule="auto"/>
        <w:rPr>
          <w:sz w:val="20"/>
          <w:szCs w:val="20"/>
          <w:color w:val="auto"/>
        </w:rPr>
      </w:pPr>
      <w:r>
        <w:rPr>
          <w:rFonts w:ascii="Times New Roman" w:cs="Times New Roman" w:eastAsia="Times New Roman" w:hAnsi="Times New Roman"/>
          <w:sz w:val="19"/>
          <w:szCs w:val="19"/>
          <w:color w:val="auto"/>
        </w:rPr>
        <w:t>director or an officer of one or more subsidiaries of the Company, or of an Affiliate of the Company. Executive shall not be</w:t>
      </w:r>
    </w:p>
    <w:p>
      <w:pPr>
        <w:spacing w:after="0" w:line="226" w:lineRule="auto"/>
        <w:rPr>
          <w:sz w:val="20"/>
          <w:szCs w:val="20"/>
          <w:color w:val="auto"/>
        </w:rPr>
      </w:pPr>
      <w:r>
        <w:rPr>
          <w:rFonts w:ascii="Times New Roman" w:cs="Times New Roman" w:eastAsia="Times New Roman" w:hAnsi="Times New Roman"/>
          <w:sz w:val="19"/>
          <w:szCs w:val="19"/>
          <w:color w:val="auto"/>
        </w:rPr>
        <w:t>compensated additionally in Executive’s capacity as a member of the Board or as a director or officer of a subsidiary or Affiliate of the Company.</w:t>
      </w:r>
    </w:p>
    <w:p>
      <w:pPr>
        <w:spacing w:after="0" w:line="195" w:lineRule="exact"/>
        <w:rPr>
          <w:sz w:val="20"/>
          <w:szCs w:val="20"/>
          <w:color w:val="auto"/>
        </w:rPr>
      </w:pPr>
    </w:p>
    <w:p>
      <w:pPr>
        <w:ind w:right="300" w:firstLine="1248"/>
        <w:spacing w:after="0" w:line="214" w:lineRule="auto"/>
        <w:tabs>
          <w:tab w:leader="none" w:pos="1672"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the Term, Executive’s principal place of employment shall be in one of the Company’s principal offices, including, but not limited to, the Company’s offices in Manhattan, New York, Short Hills, New Jersey and Palm Beach, Florida, or such other location as may otherwise be agreed with the Company. Executive acknowledges that Executive’s duties and responsibilities shall</w:t>
      </w:r>
    </w:p>
    <w:p>
      <w:pPr>
        <w:spacing w:after="0" w:line="2" w:lineRule="exact"/>
        <w:rPr>
          <w:rFonts w:ascii="Times New Roman" w:cs="Times New Roman" w:eastAsia="Times New Roman" w:hAnsi="Times New Roman"/>
          <w:sz w:val="19"/>
          <w:szCs w:val="19"/>
          <w:color w:val="auto"/>
        </w:rPr>
      </w:pPr>
    </w:p>
    <w:p>
      <w:pPr>
        <w:ind w:right="440"/>
        <w:spacing w:after="0" w:line="233"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require Executive to travel on business to the extent reasonably necessary to fully perform Executive’s duties and responsibilities hereunder.</w:t>
      </w:r>
    </w:p>
    <w:p>
      <w:pPr>
        <w:spacing w:after="0" w:line="183" w:lineRule="exact"/>
        <w:rPr>
          <w:sz w:val="20"/>
          <w:szCs w:val="20"/>
          <w:color w:val="auto"/>
        </w:rPr>
      </w:pPr>
    </w:p>
    <w:p>
      <w:pPr>
        <w:ind w:right="240" w:firstLine="1248"/>
        <w:spacing w:after="0" w:line="224" w:lineRule="auto"/>
        <w:tabs>
          <w:tab w:leader="none" w:pos="2003"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Compensation and Related Matters</w:t>
      </w:r>
      <w:r>
        <w:rPr>
          <w:rFonts w:ascii="Times New Roman" w:cs="Times New Roman" w:eastAsia="Times New Roman" w:hAnsi="Times New Roman"/>
          <w:sz w:val="19"/>
          <w:szCs w:val="19"/>
          <w:color w:val="auto"/>
        </w:rPr>
        <w:t xml:space="preserve">. (a) </w:t>
      </w:r>
      <w:r>
        <w:rPr>
          <w:rFonts w:ascii="Times New Roman" w:cs="Times New Roman" w:eastAsia="Times New Roman" w:hAnsi="Times New Roman"/>
          <w:sz w:val="19"/>
          <w:szCs w:val="19"/>
          <w:u w:val="single" w:color="auto"/>
          <w:color w:val="auto"/>
        </w:rPr>
        <w:t>Base Salary</w:t>
      </w:r>
      <w:r>
        <w:rPr>
          <w:rFonts w:ascii="Times New Roman" w:cs="Times New Roman" w:eastAsia="Times New Roman" w:hAnsi="Times New Roman"/>
          <w:sz w:val="19"/>
          <w:szCs w:val="19"/>
          <w:color w:val="auto"/>
        </w:rPr>
        <w:t>. During the Term, for all services rendered under this Agreement, Executive shall receive an aggregate annual base salary (“</w:t>
      </w:r>
      <w:r>
        <w:rPr>
          <w:rFonts w:ascii="Times New Roman" w:cs="Times New Roman" w:eastAsia="Times New Roman" w:hAnsi="Times New Roman"/>
          <w:sz w:val="19"/>
          <w:szCs w:val="19"/>
          <w:u w:val="single" w:color="auto"/>
          <w:color w:val="auto"/>
        </w:rPr>
        <w:t>Base Salary</w:t>
      </w:r>
      <w:r>
        <w:rPr>
          <w:rFonts w:ascii="Times New Roman" w:cs="Times New Roman" w:eastAsia="Times New Roman" w:hAnsi="Times New Roman"/>
          <w:sz w:val="19"/>
          <w:szCs w:val="19"/>
          <w:color w:val="auto"/>
        </w:rPr>
        <w:t>”) at an initial rate of $1,200,000, payable in accordance with the Company’s applicable payroll practices. Base Salary may be increased (but not decreased) on an annual basis as determined by the Board in its sole discretion. References in this Agreement to Base Salary shall be deemed to refer to the most recently effective annual base salary rate.</w:t>
      </w:r>
    </w:p>
    <w:p>
      <w:pPr>
        <w:spacing w:after="0" w:line="185" w:lineRule="exact"/>
        <w:rPr>
          <w:rFonts w:ascii="Times New Roman" w:cs="Times New Roman" w:eastAsia="Times New Roman" w:hAnsi="Times New Roman"/>
          <w:sz w:val="19"/>
          <w:szCs w:val="19"/>
          <w:color w:val="auto"/>
        </w:rPr>
      </w:pPr>
    </w:p>
    <w:p>
      <w:pPr>
        <w:ind w:left="1860" w:hanging="612"/>
        <w:spacing w:after="0"/>
        <w:tabs>
          <w:tab w:leader="none" w:pos="1860"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Annual Bonus</w:t>
      </w:r>
      <w:r>
        <w:rPr>
          <w:rFonts w:ascii="Times New Roman" w:cs="Times New Roman" w:eastAsia="Times New Roman" w:hAnsi="Times New Roman"/>
          <w:sz w:val="19"/>
          <w:szCs w:val="19"/>
          <w:color w:val="auto"/>
        </w:rPr>
        <w:t>. During the Term, the Executive shall be eligible to receive an</w:t>
      </w:r>
    </w:p>
    <w:p>
      <w:pPr>
        <w:spacing w:after="0" w:line="215" w:lineRule="auto"/>
        <w:rPr>
          <w:sz w:val="20"/>
          <w:szCs w:val="20"/>
          <w:color w:val="auto"/>
        </w:rPr>
      </w:pPr>
      <w:r>
        <w:rPr>
          <w:rFonts w:ascii="Times New Roman" w:cs="Times New Roman" w:eastAsia="Times New Roman" w:hAnsi="Times New Roman"/>
          <w:sz w:val="19"/>
          <w:szCs w:val="19"/>
          <w:color w:val="auto"/>
        </w:rPr>
        <w:t>annual bonus (the “</w:t>
      </w:r>
      <w:r>
        <w:rPr>
          <w:rFonts w:ascii="Times New Roman" w:cs="Times New Roman" w:eastAsia="Times New Roman" w:hAnsi="Times New Roman"/>
          <w:sz w:val="19"/>
          <w:szCs w:val="19"/>
          <w:u w:val="single" w:color="auto"/>
          <w:color w:val="auto"/>
        </w:rPr>
        <w:t>Annual Bonus</w:t>
      </w:r>
      <w:r>
        <w:rPr>
          <w:rFonts w:ascii="Times New Roman" w:cs="Times New Roman" w:eastAsia="Times New Roman" w:hAnsi="Times New Roman"/>
          <w:sz w:val="19"/>
          <w:szCs w:val="19"/>
          <w:color w:val="auto"/>
        </w:rPr>
        <w:t>”), with a target Annual Bonus amount equal to $3,000,000 (the “</w:t>
      </w:r>
      <w:r>
        <w:rPr>
          <w:rFonts w:ascii="Times New Roman" w:cs="Times New Roman" w:eastAsia="Times New Roman" w:hAnsi="Times New Roman"/>
          <w:sz w:val="19"/>
          <w:szCs w:val="19"/>
          <w:u w:val="single" w:color="auto"/>
          <w:color w:val="auto"/>
        </w:rPr>
        <w:t>Target Bonus</w:t>
      </w:r>
      <w:r>
        <w:rPr>
          <w:rFonts w:ascii="Times New Roman" w:cs="Times New Roman" w:eastAsia="Times New Roman" w:hAnsi="Times New Roman"/>
          <w:sz w:val="19"/>
          <w:szCs w:val="19"/>
          <w:color w:val="auto"/>
        </w:rPr>
        <w:t>”) and a maximum</w:t>
      </w:r>
    </w:p>
    <w:p>
      <w:pPr>
        <w:spacing w:after="0" w:line="1" w:lineRule="exact"/>
        <w:rPr>
          <w:sz w:val="20"/>
          <w:szCs w:val="20"/>
          <w:color w:val="auto"/>
        </w:rPr>
      </w:pPr>
    </w:p>
    <w:p>
      <w:pPr>
        <w:ind w:right="240"/>
        <w:spacing w:after="0" w:line="208" w:lineRule="auto"/>
        <w:rPr>
          <w:sz w:val="20"/>
          <w:szCs w:val="20"/>
          <w:color w:val="auto"/>
        </w:rPr>
      </w:pPr>
      <w:r>
        <w:rPr>
          <w:rFonts w:ascii="Times New Roman" w:cs="Times New Roman" w:eastAsia="Times New Roman" w:hAnsi="Times New Roman"/>
          <w:sz w:val="19"/>
          <w:szCs w:val="19"/>
          <w:color w:val="auto"/>
        </w:rPr>
        <w:t>Annual Bonus amount equal to $6,000,000 (the “</w:t>
      </w:r>
      <w:r>
        <w:rPr>
          <w:rFonts w:ascii="Times New Roman" w:cs="Times New Roman" w:eastAsia="Times New Roman" w:hAnsi="Times New Roman"/>
          <w:sz w:val="19"/>
          <w:szCs w:val="19"/>
          <w:u w:val="single" w:color="auto"/>
          <w:color w:val="auto"/>
        </w:rPr>
        <w:t>Maximum Bonus</w:t>
      </w:r>
      <w:r>
        <w:rPr>
          <w:rFonts w:ascii="Times New Roman" w:cs="Times New Roman" w:eastAsia="Times New Roman" w:hAnsi="Times New Roman"/>
          <w:sz w:val="19"/>
          <w:szCs w:val="19"/>
          <w:color w:val="auto"/>
        </w:rPr>
        <w:t>”). Fifty percent (50%) of the Annual Bonus will be based on the achievement of annual quantitative targets</w:t>
      </w:r>
    </w:p>
    <w:p>
      <w:pPr>
        <w:spacing w:after="0" w:line="1" w:lineRule="exact"/>
        <w:rPr>
          <w:sz w:val="20"/>
          <w:szCs w:val="20"/>
          <w:color w:val="auto"/>
        </w:rPr>
      </w:pPr>
    </w:p>
    <w:p>
      <w:pPr>
        <w:ind w:right="560"/>
        <w:spacing w:after="0" w:line="208" w:lineRule="auto"/>
        <w:rPr>
          <w:sz w:val="20"/>
          <w:szCs w:val="20"/>
          <w:color w:val="auto"/>
        </w:rPr>
      </w:pPr>
      <w:r>
        <w:rPr>
          <w:rFonts w:ascii="Times New Roman" w:cs="Times New Roman" w:eastAsia="Times New Roman" w:hAnsi="Times New Roman"/>
          <w:sz w:val="19"/>
          <w:szCs w:val="19"/>
          <w:color w:val="auto"/>
        </w:rPr>
        <w:t>comprised of specific components of the Company’s annual budget established by the Board (the “</w:t>
      </w:r>
      <w:r>
        <w:rPr>
          <w:rFonts w:ascii="Times New Roman" w:cs="Times New Roman" w:eastAsia="Times New Roman" w:hAnsi="Times New Roman"/>
          <w:sz w:val="19"/>
          <w:szCs w:val="19"/>
          <w:u w:val="single" w:color="auto"/>
          <w:color w:val="auto"/>
        </w:rPr>
        <w:t>Quantitative Goals</w:t>
      </w:r>
      <w:r>
        <w:rPr>
          <w:rFonts w:ascii="Times New Roman" w:cs="Times New Roman" w:eastAsia="Times New Roman" w:hAnsi="Times New Roman"/>
          <w:sz w:val="19"/>
          <w:szCs w:val="19"/>
          <w:color w:val="auto"/>
        </w:rPr>
        <w:t>”) and the remaining fifty percent (50%) of the Annual Bonus will be based on annual qualitative targets established by the Board (the</w:t>
      </w:r>
    </w:p>
    <w:p>
      <w:pPr>
        <w:spacing w:after="0" w:line="1" w:lineRule="exact"/>
        <w:rPr>
          <w:sz w:val="20"/>
          <w:szCs w:val="20"/>
          <w:color w:val="auto"/>
        </w:rPr>
      </w:pPr>
    </w:p>
    <w:p>
      <w:pPr>
        <w:ind w:right="480"/>
        <w:spacing w:after="0" w:line="21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Qualitative Goals</w:t>
      </w:r>
      <w:r>
        <w:rPr>
          <w:rFonts w:ascii="Times New Roman" w:cs="Times New Roman" w:eastAsia="Times New Roman" w:hAnsi="Times New Roman"/>
          <w:sz w:val="19"/>
          <w:szCs w:val="19"/>
          <w:color w:val="auto"/>
        </w:rPr>
        <w:t>”). Accordingly, up to $1,500,000 of the Target Bonus and $3,000,000 of the Maximum Bonus may be earned based on the achievement of the Quantitative Goals and up to $1,500,000 of the Target Bonus and $3,000,000 of the Maximum</w:t>
      </w:r>
    </w:p>
    <w:p>
      <w:pPr>
        <w:spacing w:after="0" w:line="2" w:lineRule="exact"/>
        <w:rPr>
          <w:sz w:val="20"/>
          <w:szCs w:val="20"/>
          <w:color w:val="auto"/>
        </w:rPr>
      </w:pPr>
    </w:p>
    <w:p>
      <w:pPr>
        <w:ind w:right="300"/>
        <w:spacing w:after="0" w:line="208" w:lineRule="auto"/>
        <w:rPr>
          <w:sz w:val="20"/>
          <w:szCs w:val="20"/>
          <w:color w:val="auto"/>
        </w:rPr>
      </w:pPr>
      <w:r>
        <w:rPr>
          <w:rFonts w:ascii="Times New Roman" w:cs="Times New Roman" w:eastAsia="Times New Roman" w:hAnsi="Times New Roman"/>
          <w:sz w:val="19"/>
          <w:szCs w:val="19"/>
          <w:color w:val="auto"/>
        </w:rPr>
        <w:t>Bonus may be earned based on the achievement of the Qualitative Goals. Fifty percent (50%) of the Annual Bonus, if any, shall be paid in cash, thirty percent (30%) of the Annual Bonus, if any, shall be paid in the form of restricted shares or restricted share units</w:t>
      </w:r>
    </w:p>
    <w:p>
      <w:pPr>
        <w:spacing w:after="0" w:line="21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RSUs</w:t>
      </w:r>
      <w:r>
        <w:rPr>
          <w:rFonts w:ascii="Times New Roman" w:cs="Times New Roman" w:eastAsia="Times New Roman" w:hAnsi="Times New Roman"/>
          <w:sz w:val="19"/>
          <w:szCs w:val="19"/>
          <w:color w:val="auto"/>
        </w:rPr>
        <w:t>”) in respect of Class A common stock of the Company (the “</w:t>
      </w:r>
      <w:r>
        <w:rPr>
          <w:rFonts w:ascii="Times New Roman" w:cs="Times New Roman" w:eastAsia="Times New Roman" w:hAnsi="Times New Roman"/>
          <w:sz w:val="19"/>
          <w:szCs w:val="19"/>
          <w:u w:val="single" w:color="auto"/>
          <w:color w:val="auto"/>
        </w:rPr>
        <w:t>Stock</w:t>
      </w:r>
      <w:r>
        <w:rPr>
          <w:rFonts w:ascii="Times New Roman" w:cs="Times New Roman" w:eastAsia="Times New Roman" w:hAnsi="Times New Roman"/>
          <w:sz w:val="19"/>
          <w:szCs w:val="19"/>
          <w:color w:val="auto"/>
        </w:rPr>
        <w:t>”) that vest in equal annual installments on each the first</w:t>
      </w:r>
    </w:p>
    <w:p>
      <w:pPr>
        <w:ind w:right="320"/>
        <w:spacing w:after="0" w:line="208" w:lineRule="auto"/>
        <w:rPr>
          <w:sz w:val="20"/>
          <w:szCs w:val="20"/>
          <w:color w:val="auto"/>
        </w:rPr>
      </w:pPr>
      <w:r>
        <w:rPr>
          <w:rFonts w:ascii="Times New Roman" w:cs="Times New Roman" w:eastAsia="Times New Roman" w:hAnsi="Times New Roman"/>
          <w:sz w:val="19"/>
          <w:szCs w:val="19"/>
          <w:color w:val="auto"/>
        </w:rPr>
        <w:t>three (3) anniversaries of the date of grant, and the remaining twenty percent (20%) shall be paid in the form of fully-vested shares of Stock or fully-vested deferred share units (“</w:t>
      </w:r>
      <w:r>
        <w:rPr>
          <w:rFonts w:ascii="Times New Roman" w:cs="Times New Roman" w:eastAsia="Times New Roman" w:hAnsi="Times New Roman"/>
          <w:sz w:val="19"/>
          <w:szCs w:val="19"/>
          <w:u w:val="single" w:color="auto"/>
          <w:color w:val="auto"/>
        </w:rPr>
        <w:t>DSUs</w:t>
      </w:r>
      <w:r>
        <w:rPr>
          <w:rFonts w:ascii="Times New Roman" w:cs="Times New Roman" w:eastAsia="Times New Roman" w:hAnsi="Times New Roman"/>
          <w:sz w:val="19"/>
          <w:szCs w:val="19"/>
          <w:color w:val="auto"/>
        </w:rPr>
        <w:t>”) in respect of Stock (in each case, in accordance with any applicable timely</w:t>
      </w:r>
    </w:p>
    <w:p>
      <w:pPr>
        <w:spacing w:after="0" w:line="217" w:lineRule="auto"/>
        <w:rPr>
          <w:sz w:val="20"/>
          <w:szCs w:val="20"/>
          <w:color w:val="auto"/>
        </w:rPr>
      </w:pPr>
      <w:r>
        <w:rPr>
          <w:rFonts w:ascii="Times New Roman" w:cs="Times New Roman" w:eastAsia="Times New Roman" w:hAnsi="Times New Roman"/>
          <w:sz w:val="19"/>
          <w:szCs w:val="19"/>
          <w:color w:val="auto"/>
        </w:rPr>
        <w:t xml:space="preserve">deferral election made by Executive);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form, manner and timing of payment (including vesting of any payment in</w:t>
      </w:r>
    </w:p>
    <w:p>
      <w:pPr>
        <w:ind w:right="680"/>
        <w:spacing w:after="0" w:line="226" w:lineRule="auto"/>
        <w:rPr>
          <w:sz w:val="20"/>
          <w:szCs w:val="20"/>
          <w:color w:val="auto"/>
        </w:rPr>
      </w:pPr>
      <w:r>
        <w:rPr>
          <w:rFonts w:ascii="Times New Roman" w:cs="Times New Roman" w:eastAsia="Times New Roman" w:hAnsi="Times New Roman"/>
          <w:sz w:val="19"/>
          <w:szCs w:val="19"/>
          <w:color w:val="auto"/>
        </w:rPr>
        <w:t>equity or equity-based awards) with respect to the Annual Bonus is subject to change in the event of (and consistent with) any change to the payout</w:t>
      </w:r>
    </w:p>
    <w:p>
      <w:pPr>
        <w:sectPr>
          <w:pgSz w:w="11900" w:h="16838" w:orient="portrait"/>
          <w:cols w:equalWidth="0" w:num="1">
            <w:col w:w="10340"/>
          </w:cols>
          <w:pgMar w:left="840" w:top="1440" w:right="719" w:bottom="1440" w:gutter="0" w:footer="0" w:header="0"/>
        </w:sectPr>
      </w:pPr>
    </w:p>
    <w:bookmarkStart w:id="85" w:name="page86"/>
    <w:bookmarkEnd w:id="85"/>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schedule formulations that is made applicable to the senior executives of the Company. The Annual Bonus, if any, shall be payable</w:t>
      </w:r>
    </w:p>
    <w:p>
      <w:pPr>
        <w:ind w:right="100"/>
        <w:spacing w:after="0" w:line="208" w:lineRule="auto"/>
        <w:rPr>
          <w:sz w:val="20"/>
          <w:szCs w:val="20"/>
          <w:color w:val="auto"/>
        </w:rPr>
      </w:pPr>
      <w:r>
        <w:rPr>
          <w:rFonts w:ascii="Times New Roman" w:cs="Times New Roman" w:eastAsia="Times New Roman" w:hAnsi="Times New Roman"/>
          <w:sz w:val="19"/>
          <w:szCs w:val="19"/>
          <w:color w:val="auto"/>
        </w:rPr>
        <w:t>within the period required by Section 409A of the Code such that it qualifies as a “short-term deferral” pursuant to Section 1.409A-1(b)(4) of the Department of Treasury Regulations (or any successor thereto). The Annual Bonus payable in respect of the 2022</w:t>
      </w:r>
    </w:p>
    <w:p>
      <w:pPr>
        <w:spacing w:after="0" w:line="1" w:lineRule="exact"/>
        <w:rPr>
          <w:sz w:val="20"/>
          <w:szCs w:val="20"/>
          <w:color w:val="auto"/>
        </w:rPr>
      </w:pPr>
    </w:p>
    <w:p>
      <w:pPr>
        <w:ind w:right="720"/>
        <w:spacing w:after="0" w:line="233" w:lineRule="auto"/>
        <w:rPr>
          <w:sz w:val="20"/>
          <w:szCs w:val="20"/>
          <w:color w:val="auto"/>
        </w:rPr>
      </w:pPr>
      <w:r>
        <w:rPr>
          <w:rFonts w:ascii="Times New Roman" w:cs="Times New Roman" w:eastAsia="Times New Roman" w:hAnsi="Times New Roman"/>
          <w:sz w:val="19"/>
          <w:szCs w:val="19"/>
          <w:color w:val="auto"/>
        </w:rPr>
        <w:t>fiscal year shall be determined on a weighted average basis, based on the elapsed time that the Existing Agreement and this Agreement were each in effect during the 2022 fiscal year.</w:t>
      </w:r>
    </w:p>
    <w:p>
      <w:pPr>
        <w:spacing w:after="0" w:line="183" w:lineRule="exact"/>
        <w:rPr>
          <w:sz w:val="20"/>
          <w:szCs w:val="20"/>
          <w:color w:val="auto"/>
        </w:rPr>
      </w:pPr>
    </w:p>
    <w:p>
      <w:pPr>
        <w:jc w:val="both"/>
        <w:ind w:right="80" w:firstLine="1248"/>
        <w:spacing w:after="0" w:line="227" w:lineRule="auto"/>
        <w:tabs>
          <w:tab w:leader="none" w:pos="2006"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Equity Awards</w:t>
      </w:r>
      <w:r>
        <w:rPr>
          <w:rFonts w:ascii="Times New Roman" w:cs="Times New Roman" w:eastAsia="Times New Roman" w:hAnsi="Times New Roman"/>
          <w:sz w:val="19"/>
          <w:szCs w:val="19"/>
          <w:color w:val="auto"/>
        </w:rPr>
        <w:t>. The Executive shall be eligible to receive an equity award at the beginning of each calendar year during the Term (each such grant, an “</w:t>
      </w:r>
      <w:r>
        <w:rPr>
          <w:rFonts w:ascii="Times New Roman" w:cs="Times New Roman" w:eastAsia="Times New Roman" w:hAnsi="Times New Roman"/>
          <w:sz w:val="19"/>
          <w:szCs w:val="19"/>
          <w:u w:val="single" w:color="auto"/>
          <w:color w:val="auto"/>
        </w:rPr>
        <w:t>Annual Equity Award</w:t>
      </w:r>
      <w:r>
        <w:rPr>
          <w:rFonts w:ascii="Times New Roman" w:cs="Times New Roman" w:eastAsia="Times New Roman" w:hAnsi="Times New Roman"/>
          <w:sz w:val="19"/>
          <w:szCs w:val="19"/>
          <w:color w:val="auto"/>
        </w:rPr>
        <w:t>”). It is the current intention of the Board that such Annual Equity Award will be in the form of 150,000 restricted shares or RSUs in respect of Stock, and that any such award shall be earned and vest in accordance with the terms hereof.</w:t>
      </w:r>
    </w:p>
    <w:p>
      <w:pPr>
        <w:spacing w:after="0" w:line="182" w:lineRule="exact"/>
        <w:rPr>
          <w:rFonts w:ascii="Times New Roman" w:cs="Times New Roman" w:eastAsia="Times New Roman" w:hAnsi="Times New Roman"/>
          <w:sz w:val="19"/>
          <w:szCs w:val="19"/>
          <w:color w:val="auto"/>
        </w:rPr>
      </w:pPr>
    </w:p>
    <w:p>
      <w:pPr>
        <w:ind w:left="620" w:firstLine="1257"/>
        <w:spacing w:after="0" w:line="235" w:lineRule="auto"/>
        <w:tabs>
          <w:tab w:leader="none" w:pos="2622" w:val="left"/>
        </w:tabs>
        <w:numPr>
          <w:ilvl w:val="1"/>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number of shares earned with respect to each Annual Equity Award shall be determined based on the percentage of the Company’s budgeted EBITDA achieved in the calendar year to which such award relates in accordance with the following table:</w:t>
      </w:r>
    </w:p>
    <w:p>
      <w:pPr>
        <w:spacing w:after="0" w:line="226" w:lineRule="exact"/>
        <w:rPr>
          <w:sz w:val="20"/>
          <w:szCs w:val="20"/>
          <w:color w:val="auto"/>
        </w:rPr>
      </w:pPr>
    </w:p>
    <w:tbl>
      <w:tblPr>
        <w:tblLayout w:type="fixed"/>
        <w:tblInd w:w="1730" w:type="dxa"/>
        <w:tblCellMar>
          <w:top w:w="0" w:type="dxa"/>
          <w:left w:w="0" w:type="dxa"/>
          <w:bottom w:w="0" w:type="dxa"/>
          <w:right w:w="0" w:type="dxa"/>
        </w:tblCellMar>
      </w:tblPr>
      <w:tr>
        <w:trPr>
          <w:trHeight w:val="223"/>
        </w:trPr>
        <w:tc>
          <w:tcPr>
            <w:tcW w:w="1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Percentage of</w:t>
            </w:r>
          </w:p>
        </w:tc>
        <w:tc>
          <w:tcPr>
            <w:tcW w:w="3780" w:type="dxa"/>
            <w:vAlign w:val="bottom"/>
            <w:tcBorders>
              <w:top w:val="single" w:sz="8" w:color="auto"/>
              <w:right w:val="single" w:sz="8" w:color="auto"/>
            </w:tcBorders>
          </w:tcPr>
          <w:p>
            <w:pPr>
              <w:spacing w:after="0"/>
              <w:rPr>
                <w:sz w:val="19"/>
                <w:szCs w:val="19"/>
                <w:color w:val="auto"/>
              </w:rPr>
            </w:pPr>
          </w:p>
        </w:tc>
      </w:tr>
      <w:tr>
        <w:trPr>
          <w:trHeight w:val="210"/>
        </w:trPr>
        <w:tc>
          <w:tcPr>
            <w:tcW w:w="1960" w:type="dxa"/>
            <w:vAlign w:val="bottom"/>
            <w:tcBorders>
              <w:left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b w:val="1"/>
                <w:bCs w:val="1"/>
                <w:color w:val="auto"/>
                <w:w w:val="98"/>
              </w:rPr>
              <w:t>Budgeted</w:t>
            </w:r>
          </w:p>
        </w:tc>
        <w:tc>
          <w:tcPr>
            <w:tcW w:w="3780" w:type="dxa"/>
            <w:vAlign w:val="bottom"/>
            <w:tcBorders>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b w:val="1"/>
                <w:bCs w:val="1"/>
                <w:color w:val="auto"/>
              </w:rPr>
              <w:t>Number of Shares</w:t>
            </w:r>
          </w:p>
        </w:tc>
      </w:tr>
      <w:tr>
        <w:trPr>
          <w:trHeight w:val="196"/>
        </w:trPr>
        <w:tc>
          <w:tcPr>
            <w:tcW w:w="196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b w:val="1"/>
                <w:bCs w:val="1"/>
                <w:color w:val="auto"/>
                <w:w w:val="98"/>
              </w:rPr>
              <w:t>EBITDA</w:t>
            </w:r>
          </w:p>
        </w:tc>
        <w:tc>
          <w:tcPr>
            <w:tcW w:w="37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b w:val="1"/>
                <w:bCs w:val="1"/>
                <w:color w:val="auto"/>
                <w:w w:val="99"/>
              </w:rPr>
              <w:t>Earned</w:t>
            </w:r>
          </w:p>
        </w:tc>
      </w:tr>
      <w:tr>
        <w:trPr>
          <w:trHeight w:val="223"/>
        </w:trPr>
        <w:tc>
          <w:tcPr>
            <w:tcW w:w="1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Achieved</w:t>
            </w:r>
          </w:p>
        </w:tc>
        <w:tc>
          <w:tcPr>
            <w:tcW w:w="3780" w:type="dxa"/>
            <w:vAlign w:val="bottom"/>
            <w:tcBorders>
              <w:bottom w:val="single" w:sz="8" w:color="auto"/>
              <w:right w:val="single" w:sz="8" w:color="auto"/>
            </w:tcBorders>
          </w:tcPr>
          <w:p>
            <w:pPr>
              <w:spacing w:after="0"/>
              <w:rPr>
                <w:sz w:val="19"/>
                <w:szCs w:val="19"/>
                <w:color w:val="auto"/>
              </w:rPr>
            </w:pPr>
          </w:p>
        </w:tc>
      </w:tr>
      <w:tr>
        <w:trPr>
          <w:trHeight w:val="251"/>
        </w:trPr>
        <w:tc>
          <w:tcPr>
            <w:tcW w:w="1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65% or more</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150,000</w:t>
            </w:r>
          </w:p>
        </w:tc>
      </w:tr>
      <w:tr>
        <w:trPr>
          <w:trHeight w:val="193"/>
        </w:trPr>
        <w:tc>
          <w:tcPr>
            <w:tcW w:w="1960" w:type="dxa"/>
            <w:vAlign w:val="bottom"/>
            <w:tcBorders>
              <w:left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9"/>
                <w:szCs w:val="19"/>
                <w:color w:val="auto"/>
                <w:w w:val="99"/>
              </w:rPr>
              <w:t>Less than</w:t>
            </w:r>
          </w:p>
        </w:tc>
        <w:tc>
          <w:tcPr>
            <w:tcW w:w="3780" w:type="dxa"/>
            <w:vAlign w:val="bottom"/>
            <w:tcBorders>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9"/>
                <w:szCs w:val="19"/>
                <w:color w:val="auto"/>
              </w:rPr>
              <w:t>As determined at the sole discretion of the</w:t>
            </w:r>
          </w:p>
        </w:tc>
      </w:tr>
      <w:tr>
        <w:trPr>
          <w:trHeight w:val="196"/>
        </w:trPr>
        <w:tc>
          <w:tcPr>
            <w:tcW w:w="1960" w:type="dxa"/>
            <w:vAlign w:val="bottom"/>
            <w:tcBorders>
              <w:left w:val="single" w:sz="8" w:color="auto"/>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color w:val="auto"/>
              </w:rPr>
              <w:t>65%</w:t>
            </w:r>
          </w:p>
        </w:tc>
        <w:tc>
          <w:tcPr>
            <w:tcW w:w="37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19"/>
                <w:szCs w:val="19"/>
                <w:color w:val="auto"/>
              </w:rPr>
              <w:t>Compensation Committee of the Board,</w:t>
            </w:r>
          </w:p>
        </w:tc>
      </w:tr>
      <w:tr>
        <w:trPr>
          <w:trHeight w:val="237"/>
        </w:trPr>
        <w:tc>
          <w:tcPr>
            <w:tcW w:w="1960" w:type="dxa"/>
            <w:vAlign w:val="bottom"/>
            <w:tcBorders>
              <w:left w:val="single" w:sz="8" w:color="auto"/>
              <w:bottom w:val="single" w:sz="8" w:color="auto"/>
              <w:right w:val="single" w:sz="8" w:color="auto"/>
            </w:tcBorders>
          </w:tcPr>
          <w:p>
            <w:pPr>
              <w:spacing w:after="0"/>
              <w:rPr>
                <w:sz w:val="20"/>
                <w:szCs w:val="20"/>
                <w:color w:val="auto"/>
              </w:rPr>
            </w:pP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which may be 0</w:t>
            </w:r>
          </w:p>
        </w:tc>
      </w:tr>
    </w:tbl>
    <w:p>
      <w:pPr>
        <w:spacing w:after="0" w:line="200" w:lineRule="exact"/>
        <w:rPr>
          <w:sz w:val="20"/>
          <w:szCs w:val="20"/>
          <w:color w:val="auto"/>
        </w:rPr>
      </w:pPr>
    </w:p>
    <w:p>
      <w:pPr>
        <w:spacing w:after="0" w:line="262" w:lineRule="exact"/>
        <w:rPr>
          <w:sz w:val="20"/>
          <w:szCs w:val="20"/>
          <w:color w:val="auto"/>
        </w:rPr>
      </w:pPr>
    </w:p>
    <w:p>
      <w:pPr>
        <w:jc w:val="both"/>
        <w:ind w:left="620" w:right="20" w:firstLine="1257"/>
        <w:spacing w:after="0" w:line="235" w:lineRule="auto"/>
        <w:tabs>
          <w:tab w:leader="none" w:pos="2623"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Board determines that the number of shares of Stock subject to the Annual Equity Award will be greater or less than 150,000, then the amounts reflected in the table above shall be adjusted to reflect such number of shares.</w:t>
      </w:r>
    </w:p>
    <w:p>
      <w:pPr>
        <w:spacing w:after="0" w:line="183" w:lineRule="exact"/>
        <w:rPr>
          <w:rFonts w:ascii="Times New Roman" w:cs="Times New Roman" w:eastAsia="Times New Roman" w:hAnsi="Times New Roman"/>
          <w:sz w:val="19"/>
          <w:szCs w:val="19"/>
          <w:color w:val="auto"/>
        </w:rPr>
      </w:pPr>
    </w:p>
    <w:p>
      <w:pPr>
        <w:ind w:left="620" w:right="440" w:firstLine="1257"/>
        <w:spacing w:after="0" w:line="227" w:lineRule="auto"/>
        <w:tabs>
          <w:tab w:leader="none" w:pos="2624" w:val="left"/>
        </w:tabs>
        <w:numPr>
          <w:ilvl w:val="1"/>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any shares of Stock are earned with respect to any Annual Equity Award in accordance with Section 4(c)(i), 50% of such shares shall vest on the last day of the calendar year to which such award relates and the remaining 50% shall vest on the last day of the subsequent calendar year, subject in all cases to the Executive’s continued employment through the applicable vesting date.</w:t>
      </w:r>
    </w:p>
    <w:p>
      <w:pPr>
        <w:spacing w:after="0" w:line="182" w:lineRule="exact"/>
        <w:rPr>
          <w:rFonts w:ascii="Times New Roman" w:cs="Times New Roman" w:eastAsia="Times New Roman" w:hAnsi="Times New Roman"/>
          <w:sz w:val="19"/>
          <w:szCs w:val="19"/>
          <w:color w:val="auto"/>
        </w:rPr>
      </w:pPr>
    </w:p>
    <w:p>
      <w:pPr>
        <w:ind w:right="260" w:firstLine="1248"/>
        <w:spacing w:after="0" w:line="219" w:lineRule="auto"/>
        <w:tabs>
          <w:tab w:leader="none" w:pos="2004"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Benefits and Perquisites</w:t>
      </w:r>
      <w:r>
        <w:rPr>
          <w:rFonts w:ascii="Times New Roman" w:cs="Times New Roman" w:eastAsia="Times New Roman" w:hAnsi="Times New Roman"/>
          <w:sz w:val="19"/>
          <w:szCs w:val="19"/>
          <w:color w:val="auto"/>
        </w:rPr>
        <w:t>. During the Term, Executive shall be entitled to participate in the benefit plans and programs (including, without limitation, four (4) weeks’ vacation per calendar year, health insurance and a 401(k) plan) and receive perquisites, commensurate with</w:t>
      </w:r>
    </w:p>
    <w:p>
      <w:pPr>
        <w:ind w:right="120"/>
        <w:spacing w:after="0" w:line="22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position, that are provided by the Company from time to time for its senior executives generally, subject to the terms and conditions of such plans and programs. In addition, during the Term, the Company shall provide the Executive a car and driver consistent with past practice prior to the Effective Date.</w:t>
      </w:r>
    </w:p>
    <w:p>
      <w:pPr>
        <w:spacing w:after="0" w:line="183" w:lineRule="exact"/>
        <w:rPr>
          <w:rFonts w:ascii="Times New Roman" w:cs="Times New Roman" w:eastAsia="Times New Roman" w:hAnsi="Times New Roman"/>
          <w:sz w:val="19"/>
          <w:szCs w:val="19"/>
          <w:color w:val="auto"/>
        </w:rPr>
      </w:pPr>
    </w:p>
    <w:p>
      <w:pPr>
        <w:ind w:right="180" w:firstLine="1248"/>
        <w:spacing w:after="0" w:line="231" w:lineRule="auto"/>
        <w:tabs>
          <w:tab w:leader="none" w:pos="2006"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Business Expense Reimbursements</w:t>
      </w:r>
      <w:r>
        <w:rPr>
          <w:rFonts w:ascii="Times New Roman" w:cs="Times New Roman" w:eastAsia="Times New Roman" w:hAnsi="Times New Roman"/>
          <w:sz w:val="19"/>
          <w:szCs w:val="19"/>
          <w:color w:val="auto"/>
        </w:rPr>
        <w:t>. During the Term, the Company shall promptly reimburse Executive for Executive’s reasonable and necessary business expenses in accordance with the Company’s then-prevailing policies and procedures for expense reimbursement (which shall include appropriate itemization and substantiation of expenses incurred).</w:t>
      </w:r>
    </w:p>
    <w:p>
      <w:pPr>
        <w:sectPr>
          <w:pgSz w:w="11900" w:h="16838" w:orient="portrait"/>
          <w:cols w:equalWidth="0" w:num="1">
            <w:col w:w="10180"/>
          </w:cols>
          <w:pgMar w:left="840" w:top="1440" w:right="879" w:bottom="1440" w:gutter="0" w:footer="0" w:header="0"/>
        </w:sectPr>
      </w:pPr>
    </w:p>
    <w:bookmarkStart w:id="86" w:name="page87"/>
    <w:bookmarkEnd w:id="86"/>
    <w:p>
      <w:pPr>
        <w:spacing w:after="0" w:line="144" w:lineRule="exact"/>
        <w:rPr>
          <w:sz w:val="20"/>
          <w:szCs w:val="20"/>
          <w:color w:val="auto"/>
        </w:rPr>
      </w:pPr>
    </w:p>
    <w:p>
      <w:pPr>
        <w:ind w:left="9" w:firstLine="1248"/>
        <w:spacing w:after="0" w:line="215" w:lineRule="auto"/>
        <w:tabs>
          <w:tab w:leader="none" w:pos="2007" w:val="left"/>
        </w:tabs>
        <w:numPr>
          <w:ilvl w:val="1"/>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w:t>
      </w:r>
      <w:r>
        <w:rPr>
          <w:rFonts w:ascii="Times New Roman" w:cs="Times New Roman" w:eastAsia="Times New Roman" w:hAnsi="Times New Roman"/>
          <w:sz w:val="19"/>
          <w:szCs w:val="19"/>
          <w:color w:val="auto"/>
        </w:rPr>
        <w:t>. The Company shall indemnify and hold harmless Executive, to the fullest extent permitted by law and the Company’s governing documents, against all claims, expenses, damages, liabilities and losses incurred by Executive by reason of the fact that Executive is or was, or had agreed to become, a director, officer, employee, agent or fiduciary of the Company or any of its subsidiaries or Affiliates, or is or was serving at the request of the Company as a director, officer, partner, venturer, proprietor, trustee, employee, agent or similar functionary of another corporation, partnership, joint venture, business, person, trust, employee benefit plan or other entity. The indemnification obligations of the Company shall survive from the Effective Date of this Agreement and continue until six</w:t>
      </w:r>
    </w:p>
    <w:p>
      <w:pPr>
        <w:spacing w:after="0" w:line="1" w:lineRule="exact"/>
        <w:rPr>
          <w:rFonts w:ascii="Times New Roman" w:cs="Times New Roman" w:eastAsia="Times New Roman" w:hAnsi="Times New Roman"/>
          <w:sz w:val="19"/>
          <w:szCs w:val="19"/>
          <w:color w:val="auto"/>
        </w:rPr>
      </w:pPr>
    </w:p>
    <w:p>
      <w:pPr>
        <w:ind w:left="9" w:right="60" w:hanging="9"/>
        <w:spacing w:after="0" w:line="215" w:lineRule="auto"/>
        <w:tabs>
          <w:tab w:leader="none" w:pos="281"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years following his cessation of service with the applicable entity or, if longer, one (1) year after the expiration of any applicable statute of limitations for any potential claim. During the Term and for a period of six (6) years thereafter, the Company shall cause Executive to be covered by and named as an insured under any policy or contract of insurance obtained by it to insure its directors and officers against personal liability for acts, errors or omissions in connection with service as an officer or director of the Company or any of its subsidiaries or Affiliates or service in any other capacities at the request of the Company. The coverage provided to Executive shall be of a scope and on terms and conditions at least as favorable as the most favorable coverage provided to any other officer or director of the Company (or any successor). Anything in this Agreement to the contrary notwithstanding, this Section 4(f) shall survive the termination of this Agreement for any reason. Nothing in this Agreement shall limit or reduce any other rights to indemnification that apply to Executive, whether pursuant to contract or otherwise.</w:t>
      </w:r>
    </w:p>
    <w:p>
      <w:pPr>
        <w:spacing w:after="0" w:line="181" w:lineRule="exact"/>
        <w:rPr>
          <w:sz w:val="20"/>
          <w:szCs w:val="20"/>
          <w:color w:val="auto"/>
        </w:rPr>
      </w:pPr>
    </w:p>
    <w:p>
      <w:pPr>
        <w:ind w:left="9" w:right="200" w:firstLine="1248"/>
        <w:spacing w:after="0" w:line="227" w:lineRule="auto"/>
        <w:tabs>
          <w:tab w:leader="none" w:pos="2012"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Employment</w:t>
      </w:r>
      <w:r>
        <w:rPr>
          <w:rFonts w:ascii="Times New Roman" w:cs="Times New Roman" w:eastAsia="Times New Roman" w:hAnsi="Times New Roman"/>
          <w:sz w:val="19"/>
          <w:szCs w:val="19"/>
          <w:color w:val="auto"/>
        </w:rPr>
        <w:t xml:space="preserve">. (a) Executive’s employment under this Agreement may be terminated by either party at any time and for any reason;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Executive shall be required to give the Company at least sixty</w:t>
      </w:r>
    </w:p>
    <w:p>
      <w:pPr>
        <w:spacing w:after="0" w:line="1" w:lineRule="exact"/>
        <w:rPr>
          <w:rFonts w:ascii="Times New Roman" w:cs="Times New Roman" w:eastAsia="Times New Roman" w:hAnsi="Times New Roman"/>
          <w:sz w:val="19"/>
          <w:szCs w:val="19"/>
          <w:color w:val="auto"/>
        </w:rPr>
      </w:pPr>
    </w:p>
    <w:p>
      <w:pPr>
        <w:ind w:left="9" w:right="360" w:hanging="9"/>
        <w:spacing w:after="0" w:line="221" w:lineRule="auto"/>
        <w:tabs>
          <w:tab w:leader="none" w:pos="377"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advance written notice of any voluntary resignation of Executive’s employment hereunder (other than resignation for Good Reason) (and in such event the Company in its sole discretion may elect to accelerate Executive’s date of termination of employment, it being understood that such termination shall still be treated as a voluntary resignation for purposes of this Agreement). Notwithstanding the foregoing, Executive’s employment shall automatically terminate upon Executive’s death.</w:t>
      </w:r>
    </w:p>
    <w:p>
      <w:pPr>
        <w:spacing w:after="0" w:line="182" w:lineRule="exact"/>
        <w:rPr>
          <w:sz w:val="20"/>
          <w:szCs w:val="20"/>
          <w:color w:val="auto"/>
        </w:rPr>
      </w:pPr>
    </w:p>
    <w:p>
      <w:pPr>
        <w:jc w:val="both"/>
        <w:ind w:left="9" w:right="160" w:firstLine="1248"/>
        <w:spacing w:after="0" w:line="219" w:lineRule="auto"/>
        <w:tabs>
          <w:tab w:leader="none" w:pos="2013"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any termination of Executive’s employment under this Agreement, except for as provided for under this Section 5, the obligations of the Company to pay or provide Executive with compensation and benefits under Section 4 shall cease, and the Company shall have no further obligations to provide compensation or benefits to Executive hereunder, except</w:t>
      </w:r>
    </w:p>
    <w:p>
      <w:pPr>
        <w:ind w:left="9" w:right="240" w:hanging="9"/>
        <w:spacing w:after="0" w:line="211" w:lineRule="auto"/>
        <w:tabs>
          <w:tab w:leader="none" w:pos="238"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payment of any accrued but unpaid Base Salary and for payment of any unreimbursed expenses under Section 4(e), in each case accrued or incurred through the date of termination of employment, payable as soon as practicable and in all events within thirty (30) days following the date of termination of employment,</w:t>
      </w:r>
    </w:p>
    <w:p>
      <w:pPr>
        <w:ind w:left="9" w:right="180" w:hanging="9"/>
        <w:spacing w:after="0" w:line="220" w:lineRule="auto"/>
        <w:tabs>
          <w:tab w:leader="none" w:pos="291"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payment of any earned but unpaid Annual Bonus, if any, for the calendar year prior to the calendar year in which such termination of employment occurs, (iii) continued indemnification pursuant to Section 4(f), (iv) as explicitly set forth in any other benefit plans, programs or arrangements applicable to terminated employees in which Executive participates, other than severance plans or policies and (v) as otherwise expressly required by applicable law. For the avoidance of doubt, any unpaid Annual Bonus for the year of termination of employment is forfeited if Executive’s employment is terminated for any reason.</w:t>
      </w:r>
    </w:p>
    <w:p>
      <w:pPr>
        <w:spacing w:after="0" w:line="181" w:lineRule="exact"/>
        <w:rPr>
          <w:rFonts w:ascii="Times New Roman" w:cs="Times New Roman" w:eastAsia="Times New Roman" w:hAnsi="Times New Roman"/>
          <w:sz w:val="19"/>
          <w:szCs w:val="19"/>
          <w:color w:val="auto"/>
        </w:rPr>
      </w:pPr>
    </w:p>
    <w:p>
      <w:pPr>
        <w:ind w:left="9" w:firstLine="1248"/>
        <w:spacing w:after="0" w:line="220" w:lineRule="auto"/>
        <w:tabs>
          <w:tab w:leader="none" w:pos="2015"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Executive’s employment under this Agreement is terminated (i) by the Company without Cause, (ii) due to death or Disability, (iii) by Executive for Good Reason, or (iv) due to expiration of the Term on the Expiration Date as a result of the Company delivering a notice of non- renewal as contemplated by Section 1, in addition to the payments and benefits specified in Section 5(b), Executive shall be entitled to receive (A) severance pay in an aggregate amount (the “</w:t>
      </w:r>
      <w:r>
        <w:rPr>
          <w:rFonts w:ascii="Times New Roman" w:cs="Times New Roman" w:eastAsia="Times New Roman" w:hAnsi="Times New Roman"/>
          <w:sz w:val="19"/>
          <w:szCs w:val="19"/>
          <w:u w:val="single" w:color="auto"/>
          <w:color w:val="auto"/>
        </w:rPr>
        <w:t>Severance Amount</w:t>
      </w:r>
      <w:r>
        <w:rPr>
          <w:rFonts w:ascii="Times New Roman" w:cs="Times New Roman" w:eastAsia="Times New Roman" w:hAnsi="Times New Roman"/>
          <w:sz w:val="19"/>
          <w:szCs w:val="19"/>
          <w:color w:val="auto"/>
        </w:rPr>
        <w:t>”) equal to the greater of (x) one (1) times Executive’s Base Salary and (y) an amount equal to the total amount of Base Salary that Executive would have been entitled to receive had Executive continued to be employed through the Expiration Date; and (B) continued health, dental, vision and life insurance</w:t>
      </w:r>
    </w:p>
    <w:p>
      <w:pPr>
        <w:sectPr>
          <w:pgSz w:w="11900" w:h="16838" w:orient="portrait"/>
          <w:cols w:equalWidth="0" w:num="1">
            <w:col w:w="10189"/>
          </w:cols>
          <w:pgMar w:left="831" w:top="1440" w:right="879" w:bottom="1440" w:gutter="0" w:footer="0" w:header="0"/>
        </w:sectPr>
      </w:pPr>
    </w:p>
    <w:bookmarkStart w:id="87" w:name="page88"/>
    <w:bookmarkEnd w:id="87"/>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benefits under the terms of the applicable Company benefit plans for (x) twelve (12) months or (y) the period from Executive’s</w:t>
      </w:r>
    </w:p>
    <w:p>
      <w:pPr>
        <w:ind w:right="280"/>
        <w:spacing w:after="0" w:line="208" w:lineRule="auto"/>
        <w:rPr>
          <w:sz w:val="20"/>
          <w:szCs w:val="20"/>
          <w:color w:val="auto"/>
        </w:rPr>
      </w:pPr>
      <w:r>
        <w:rPr>
          <w:rFonts w:ascii="Times New Roman" w:cs="Times New Roman" w:eastAsia="Times New Roman" w:hAnsi="Times New Roman"/>
          <w:sz w:val="19"/>
          <w:szCs w:val="19"/>
          <w:color w:val="auto"/>
        </w:rPr>
        <w:t>termination of employment through the Expiration Date, whichever is longer (the “</w:t>
      </w:r>
      <w:r>
        <w:rPr>
          <w:rFonts w:ascii="Times New Roman" w:cs="Times New Roman" w:eastAsia="Times New Roman" w:hAnsi="Times New Roman"/>
          <w:sz w:val="19"/>
          <w:szCs w:val="19"/>
          <w:u w:val="single" w:color="auto"/>
          <w:color w:val="auto"/>
        </w:rPr>
        <w:t>Benefits Continuation Period</w:t>
      </w:r>
      <w:r>
        <w:rPr>
          <w:rFonts w:ascii="Times New Roman" w:cs="Times New Roman" w:eastAsia="Times New Roman" w:hAnsi="Times New Roman"/>
          <w:sz w:val="19"/>
          <w:szCs w:val="19"/>
          <w:color w:val="auto"/>
        </w:rPr>
        <w:t>”), subject to Executive’s payment of the cost of such benefits to the same extent that active employees of the Company are required to pay for</w:t>
      </w:r>
    </w:p>
    <w:p>
      <w:pPr>
        <w:spacing w:after="0" w:line="217" w:lineRule="auto"/>
        <w:rPr>
          <w:sz w:val="20"/>
          <w:szCs w:val="20"/>
          <w:color w:val="auto"/>
        </w:rPr>
      </w:pPr>
      <w:r>
        <w:rPr>
          <w:rFonts w:ascii="Times New Roman" w:cs="Times New Roman" w:eastAsia="Times New Roman" w:hAnsi="Times New Roman"/>
          <w:sz w:val="19"/>
          <w:szCs w:val="19"/>
          <w:color w:val="auto"/>
        </w:rPr>
        <w:t xml:space="preserve">such benefits from time to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such continuation coverage shall end earlier upon Executive’s becoming</w:t>
      </w:r>
    </w:p>
    <w:p>
      <w:pPr>
        <w:ind w:right="160"/>
        <w:spacing w:after="0" w:line="208" w:lineRule="auto"/>
        <w:rPr>
          <w:sz w:val="20"/>
          <w:szCs w:val="20"/>
          <w:color w:val="auto"/>
        </w:rPr>
      </w:pPr>
      <w:r>
        <w:rPr>
          <w:rFonts w:ascii="Times New Roman" w:cs="Times New Roman" w:eastAsia="Times New Roman" w:hAnsi="Times New Roman"/>
          <w:sz w:val="19"/>
          <w:szCs w:val="19"/>
          <w:color w:val="auto"/>
        </w:rPr>
        <w:t xml:space="preserve">eligible for comparable coverage under another employer’s benefit plans;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following the expiration of the Benefits Continuation Period (which was not terminated as a result of Executive becoming eligible for comparable coverage under</w:t>
      </w:r>
    </w:p>
    <w:p>
      <w:pPr>
        <w:spacing w:after="0" w:line="217" w:lineRule="auto"/>
        <w:rPr>
          <w:sz w:val="20"/>
          <w:szCs w:val="20"/>
          <w:color w:val="auto"/>
        </w:rPr>
      </w:pPr>
      <w:r>
        <w:rPr>
          <w:rFonts w:ascii="Times New Roman" w:cs="Times New Roman" w:eastAsia="Times New Roman" w:hAnsi="Times New Roman"/>
          <w:sz w:val="19"/>
          <w:szCs w:val="19"/>
          <w:color w:val="auto"/>
        </w:rPr>
        <w:t>another employer’s benefit plans), Executive shall be eligible to continue his health, dental, vision and life insurance benefits for</w:t>
      </w:r>
    </w:p>
    <w:p>
      <w:pPr>
        <w:ind w:right="260"/>
        <w:spacing w:after="0" w:line="208" w:lineRule="auto"/>
        <w:rPr>
          <w:sz w:val="20"/>
          <w:szCs w:val="20"/>
          <w:color w:val="auto"/>
        </w:rPr>
      </w:pPr>
      <w:r>
        <w:rPr>
          <w:rFonts w:ascii="Times New Roman" w:cs="Times New Roman" w:eastAsia="Times New Roman" w:hAnsi="Times New Roman"/>
          <w:sz w:val="19"/>
          <w:szCs w:val="19"/>
          <w:color w:val="auto"/>
        </w:rPr>
        <w:t>Executive and his spouse and eligible dependents under the terms of the applicable Company benefit plans until the earlier of (X) Executive’s dependents reaching the age of 26, (Y) Executive or his spouse become eligible for Medicare, or (Z) Executive</w:t>
      </w:r>
    </w:p>
    <w:p>
      <w:pPr>
        <w:spacing w:after="0" w:line="217" w:lineRule="auto"/>
        <w:rPr>
          <w:sz w:val="20"/>
          <w:szCs w:val="20"/>
          <w:color w:val="auto"/>
        </w:rPr>
      </w:pPr>
      <w:r>
        <w:rPr>
          <w:rFonts w:ascii="Times New Roman" w:cs="Times New Roman" w:eastAsia="Times New Roman" w:hAnsi="Times New Roman"/>
          <w:sz w:val="19"/>
          <w:szCs w:val="19"/>
          <w:color w:val="auto"/>
        </w:rPr>
        <w:t>becoming eligible for comparable coverage under another employer’s benefit plans, subject to Executive’s payment of the full cost</w:t>
      </w:r>
    </w:p>
    <w:p>
      <w:pPr>
        <w:ind w:right="80"/>
        <w:spacing w:after="0" w:line="208" w:lineRule="auto"/>
        <w:rPr>
          <w:sz w:val="20"/>
          <w:szCs w:val="20"/>
          <w:color w:val="auto"/>
        </w:rPr>
      </w:pPr>
      <w:r>
        <w:rPr>
          <w:rFonts w:ascii="Times New Roman" w:cs="Times New Roman" w:eastAsia="Times New Roman" w:hAnsi="Times New Roman"/>
          <w:sz w:val="19"/>
          <w:szCs w:val="19"/>
          <w:color w:val="auto"/>
        </w:rPr>
        <w:t xml:space="preserve">of such benefits; 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to the extent the provision of such continuation coverage is not permitted under the terms of the Company benefit plans or would result in an adverse tax consequence to the Company, the Company may alternatively</w:t>
      </w:r>
    </w:p>
    <w:p>
      <w:pPr>
        <w:spacing w:after="0" w:line="217" w:lineRule="auto"/>
        <w:rPr>
          <w:sz w:val="20"/>
          <w:szCs w:val="20"/>
          <w:color w:val="auto"/>
        </w:rPr>
      </w:pPr>
      <w:r>
        <w:rPr>
          <w:rFonts w:ascii="Times New Roman" w:cs="Times New Roman" w:eastAsia="Times New Roman" w:hAnsi="Times New Roman"/>
          <w:sz w:val="19"/>
          <w:szCs w:val="19"/>
          <w:color w:val="auto"/>
        </w:rPr>
        <w:t>provide Executive with a cash payment (the “</w:t>
      </w:r>
      <w:r>
        <w:rPr>
          <w:rFonts w:ascii="Times New Roman" w:cs="Times New Roman" w:eastAsia="Times New Roman" w:hAnsi="Times New Roman"/>
          <w:sz w:val="19"/>
          <w:szCs w:val="19"/>
          <w:u w:val="single" w:color="auto"/>
          <w:color w:val="auto"/>
        </w:rPr>
        <w:t>COBRA Cash Payment</w:t>
      </w:r>
      <w:r>
        <w:rPr>
          <w:rFonts w:ascii="Times New Roman" w:cs="Times New Roman" w:eastAsia="Times New Roman" w:hAnsi="Times New Roman"/>
          <w:sz w:val="19"/>
          <w:szCs w:val="19"/>
          <w:color w:val="auto"/>
        </w:rPr>
        <w:t>”) in an amount equal to the applicable COBRA premium that</w:t>
      </w:r>
    </w:p>
    <w:p>
      <w:pPr>
        <w:ind w:right="80"/>
        <w:spacing w:after="0" w:line="208" w:lineRule="auto"/>
        <w:rPr>
          <w:sz w:val="20"/>
          <w:szCs w:val="20"/>
          <w:color w:val="auto"/>
        </w:rPr>
      </w:pPr>
      <w:r>
        <w:rPr>
          <w:rFonts w:ascii="Times New Roman" w:cs="Times New Roman" w:eastAsia="Times New Roman" w:hAnsi="Times New Roman"/>
          <w:sz w:val="19"/>
          <w:szCs w:val="19"/>
          <w:color w:val="auto"/>
        </w:rPr>
        <w:t>Executive would otherwise be required to pay to obtain COBRA continuation coverage for such benefits for such period (minus the cost of such benefits to the same extent that active employees of the Company are required to pay for such benefits from time to</w:t>
      </w:r>
    </w:p>
    <w:p>
      <w:pPr>
        <w:spacing w:after="0" w:line="217" w:lineRule="auto"/>
        <w:rPr>
          <w:sz w:val="20"/>
          <w:szCs w:val="20"/>
          <w:color w:val="auto"/>
        </w:rPr>
      </w:pPr>
      <w:r>
        <w:rPr>
          <w:rFonts w:ascii="Times New Roman" w:cs="Times New Roman" w:eastAsia="Times New Roman" w:hAnsi="Times New Roman"/>
          <w:sz w:val="19"/>
          <w:szCs w:val="19"/>
          <w:color w:val="auto"/>
        </w:rPr>
        <w:t xml:space="preserve">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that the Company will use reasonable best efforts to continue coverage under the Company benefit plans to</w:t>
      </w:r>
    </w:p>
    <w:p>
      <w:pPr>
        <w:ind w:right="120"/>
        <w:spacing w:after="0" w:line="208" w:lineRule="auto"/>
        <w:rPr>
          <w:sz w:val="20"/>
          <w:szCs w:val="20"/>
          <w:color w:val="auto"/>
        </w:rPr>
      </w:pPr>
      <w:r>
        <w:rPr>
          <w:rFonts w:ascii="Times New Roman" w:cs="Times New Roman" w:eastAsia="Times New Roman" w:hAnsi="Times New Roman"/>
          <w:sz w:val="19"/>
          <w:szCs w:val="19"/>
          <w:color w:val="auto"/>
        </w:rPr>
        <w:t>the extent legally possible without suffering any adverse consequences to the Company or other participants in such plans. In addition, if the Executive’s employment is terminated in accordance with the provisions of this Section 5(c), (I) the Executive shall</w:t>
      </w:r>
    </w:p>
    <w:p>
      <w:pPr>
        <w:spacing w:after="0" w:line="217" w:lineRule="auto"/>
        <w:rPr>
          <w:sz w:val="20"/>
          <w:szCs w:val="20"/>
          <w:color w:val="auto"/>
        </w:rPr>
      </w:pPr>
      <w:r>
        <w:rPr>
          <w:rFonts w:ascii="Times New Roman" w:cs="Times New Roman" w:eastAsia="Times New Roman" w:hAnsi="Times New Roman"/>
          <w:sz w:val="19"/>
          <w:szCs w:val="19"/>
          <w:color w:val="auto"/>
        </w:rPr>
        <w:t>remain eligible to earn restricted shares of Stock or RSUs under his then-current Annual Equity Award in accordance with the</w:t>
      </w:r>
    </w:p>
    <w:p>
      <w:pPr>
        <w:spacing w:after="0" w:line="208" w:lineRule="auto"/>
        <w:rPr>
          <w:sz w:val="20"/>
          <w:szCs w:val="20"/>
          <w:color w:val="auto"/>
        </w:rPr>
      </w:pPr>
      <w:r>
        <w:rPr>
          <w:rFonts w:ascii="Times New Roman" w:cs="Times New Roman" w:eastAsia="Times New Roman" w:hAnsi="Times New Roman"/>
          <w:sz w:val="19"/>
          <w:szCs w:val="19"/>
          <w:color w:val="auto"/>
        </w:rPr>
        <w:t>criteria set forth in Section 4(c)(i) and, to the extent earned, the product of such earned shares multiplied by a fraction, the numerator of which is the number of calendar days the Executive was employed in the calendar year of termination, and the denominator of</w:t>
      </w:r>
    </w:p>
    <w:p>
      <w:pPr>
        <w:spacing w:after="0" w:line="217" w:lineRule="auto"/>
        <w:rPr>
          <w:sz w:val="20"/>
          <w:szCs w:val="20"/>
          <w:color w:val="auto"/>
        </w:rPr>
      </w:pPr>
      <w:r>
        <w:rPr>
          <w:rFonts w:ascii="Times New Roman" w:cs="Times New Roman" w:eastAsia="Times New Roman" w:hAnsi="Times New Roman"/>
          <w:sz w:val="19"/>
          <w:szCs w:val="19"/>
          <w:color w:val="auto"/>
        </w:rPr>
        <w:t>which is 365, shall be deemed vested on the last day of the calendar year to which such award relates, (II) any earned but unvested</w:t>
      </w:r>
    </w:p>
    <w:p>
      <w:pPr>
        <w:ind w:right="380"/>
        <w:spacing w:after="0" w:line="208" w:lineRule="auto"/>
        <w:rPr>
          <w:sz w:val="20"/>
          <w:szCs w:val="20"/>
          <w:color w:val="auto"/>
        </w:rPr>
      </w:pPr>
      <w:r>
        <w:rPr>
          <w:rFonts w:ascii="Times New Roman" w:cs="Times New Roman" w:eastAsia="Times New Roman" w:hAnsi="Times New Roman"/>
          <w:sz w:val="19"/>
          <w:szCs w:val="19"/>
          <w:color w:val="auto"/>
        </w:rPr>
        <w:t>restricted shares of Stock or RSUs under the Annual Equity Award granted in the calendar year prior to the calendar year of the Executive’s termination shall be deemed vested as of the date of termination and (III) the Executive shall receive 150,000 fully-</w:t>
      </w:r>
    </w:p>
    <w:p>
      <w:pPr>
        <w:spacing w:after="0" w:line="217" w:lineRule="auto"/>
        <w:rPr>
          <w:sz w:val="20"/>
          <w:szCs w:val="20"/>
          <w:color w:val="auto"/>
        </w:rPr>
      </w:pPr>
      <w:r>
        <w:rPr>
          <w:rFonts w:ascii="Times New Roman" w:cs="Times New Roman" w:eastAsia="Times New Roman" w:hAnsi="Times New Roman"/>
          <w:sz w:val="19"/>
          <w:szCs w:val="19"/>
          <w:color w:val="auto"/>
        </w:rPr>
        <w:t>vested shares of Stock or, if Executive has made an applicable and timely deferral election, DSUs (clauses (I), (II) and (III), the</w:t>
      </w:r>
    </w:p>
    <w:p>
      <w:pPr>
        <w:ind w:right="120"/>
        <w:spacing w:after="0" w:line="20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Equity Acceleration</w:t>
      </w:r>
      <w:r>
        <w:rPr>
          <w:rFonts w:ascii="Times New Roman" w:cs="Times New Roman" w:eastAsia="Times New Roman" w:hAnsi="Times New Roman"/>
          <w:sz w:val="19"/>
          <w:szCs w:val="19"/>
          <w:color w:val="auto"/>
        </w:rPr>
        <w:t>”). The Severance Amount (and the COBRA Cash Payment, if applicable) shall be paid in cash in a lump sum within thirty (30) days following the execution of the Release (defined below) that has become irrevocable by its terms, subject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any required delay of payment pursuant to Section 23.</w:t>
      </w:r>
    </w:p>
    <w:p>
      <w:pPr>
        <w:spacing w:after="0" w:line="192" w:lineRule="exact"/>
        <w:rPr>
          <w:sz w:val="20"/>
          <w:szCs w:val="20"/>
          <w:color w:val="auto"/>
        </w:rPr>
      </w:pPr>
    </w:p>
    <w:p>
      <w:pPr>
        <w:ind w:right="40" w:firstLine="1248"/>
        <w:spacing w:after="0" w:line="234" w:lineRule="auto"/>
        <w:tabs>
          <w:tab w:leader="none" w:pos="2004"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herein to the contrary, if at any time within sixty (60) days before, or twenty-four (24) months following, a Change in Control, Executive’s employment under this Agreement is terminated (i) by the Company without Cause, (ii) due to death or Disability, (iii) by Executive for Good Reason, or (iv) due to expiration of the Term on the Expiration Date as a result of the Company delivering a notice of non-renewal as contemplated by Section 1, then (A) in lieu of the Severance Amount described in Section 5(c)(A) the Executive shall be entitled to receive two and a half (2.5) times the sum of (x) Executive’s Base Salary and (y) the Annual Bonus (including any amounts deferred or satisfied through the grant of equity awards) most recently awarded to Executive for completed fiscal years of the Company (the “</w:t>
      </w:r>
      <w:r>
        <w:rPr>
          <w:rFonts w:ascii="Times New Roman" w:cs="Times New Roman" w:eastAsia="Times New Roman" w:hAnsi="Times New Roman"/>
          <w:sz w:val="19"/>
          <w:szCs w:val="19"/>
          <w:u w:val="single" w:color="auto"/>
          <w:color w:val="auto"/>
        </w:rPr>
        <w:t>CIC Severance Amount</w:t>
      </w:r>
      <w:r>
        <w:rPr>
          <w:rFonts w:ascii="Times New Roman" w:cs="Times New Roman" w:eastAsia="Times New Roman" w:hAnsi="Times New Roman"/>
          <w:sz w:val="19"/>
          <w:szCs w:val="19"/>
          <w:color w:val="auto"/>
        </w:rPr>
        <w:t>”), (B) the Benefits Continuation Period shall be extended to (x) twenty-four (24) months or (y) the period from Executive’s termination of employment through the Expiration Date, whichever is longer, and (C) in lieu of the Equity Acceleration described in Section 5(c), (I) the product of the number of shares of Stock under the Executive’s then-current Annual Equity Award multiplied by a fraction, the numerator of which is the number of calendar days the Executive was employed in the calendar year of termination, and the denominator of which is 365, shall be deemed vested as of the date of termination, (II) any earned but unvested restricted shares of Stock or</w:t>
      </w:r>
    </w:p>
    <w:p>
      <w:pPr>
        <w:sectPr>
          <w:pgSz w:w="11900" w:h="16838" w:orient="portrait"/>
          <w:cols w:equalWidth="0" w:num="1">
            <w:col w:w="10180"/>
          </w:cols>
          <w:pgMar w:left="840" w:top="1440" w:right="879" w:bottom="1440" w:gutter="0" w:footer="0" w:header="0"/>
        </w:sectPr>
      </w:pPr>
    </w:p>
    <w:bookmarkStart w:id="88" w:name="page89"/>
    <w:bookmarkEnd w:id="88"/>
    <w:p>
      <w:pPr>
        <w:spacing w:after="0" w:line="157" w:lineRule="exact"/>
        <w:rPr>
          <w:sz w:val="20"/>
          <w:szCs w:val="20"/>
          <w:color w:val="auto"/>
        </w:rPr>
      </w:pPr>
    </w:p>
    <w:p>
      <w:pPr>
        <w:ind w:left="9"/>
        <w:spacing w:after="0"/>
        <w:rPr>
          <w:sz w:val="20"/>
          <w:szCs w:val="20"/>
          <w:color w:val="auto"/>
        </w:rPr>
      </w:pPr>
      <w:r>
        <w:rPr>
          <w:rFonts w:ascii="Times New Roman" w:cs="Times New Roman" w:eastAsia="Times New Roman" w:hAnsi="Times New Roman"/>
          <w:sz w:val="19"/>
          <w:szCs w:val="19"/>
          <w:color w:val="auto"/>
        </w:rPr>
        <w:t>RSUs under the Annual Equity Award granted in the calendar year prior to the calendar year of the</w:t>
      </w:r>
    </w:p>
    <w:p>
      <w:pPr>
        <w:ind w:left="9"/>
        <w:spacing w:after="0" w:line="230" w:lineRule="auto"/>
        <w:rPr>
          <w:sz w:val="20"/>
          <w:szCs w:val="20"/>
          <w:color w:val="auto"/>
        </w:rPr>
      </w:pPr>
      <w:r>
        <w:rPr>
          <w:rFonts w:ascii="Times New Roman" w:cs="Times New Roman" w:eastAsia="Times New Roman" w:hAnsi="Times New Roman"/>
          <w:sz w:val="19"/>
          <w:szCs w:val="19"/>
          <w:color w:val="auto"/>
        </w:rPr>
        <w:t>Executive’s termination, shall be deemed vested as of the date of termination and (III) the Executive shall receive 150,000 fully-</w:t>
      </w:r>
    </w:p>
    <w:p>
      <w:pPr>
        <w:ind w:left="9" w:right="460"/>
        <w:spacing w:after="0" w:line="208" w:lineRule="auto"/>
        <w:rPr>
          <w:sz w:val="20"/>
          <w:szCs w:val="20"/>
          <w:color w:val="auto"/>
        </w:rPr>
      </w:pPr>
      <w:r>
        <w:rPr>
          <w:rFonts w:ascii="Times New Roman" w:cs="Times New Roman" w:eastAsia="Times New Roman" w:hAnsi="Times New Roman"/>
          <w:sz w:val="19"/>
          <w:szCs w:val="19"/>
          <w:color w:val="auto"/>
        </w:rPr>
        <w:t>vested shares of Stock or, if Executive has made an applicable and timely deferral election, DSUs (clauses (I), (II) and (III), the “</w:t>
      </w:r>
      <w:r>
        <w:rPr>
          <w:rFonts w:ascii="Times New Roman" w:cs="Times New Roman" w:eastAsia="Times New Roman" w:hAnsi="Times New Roman"/>
          <w:sz w:val="19"/>
          <w:szCs w:val="19"/>
          <w:u w:val="single" w:color="auto"/>
          <w:color w:val="auto"/>
        </w:rPr>
        <w:t>CIC Equity Acceleration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if the</w:t>
      </w:r>
    </w:p>
    <w:p>
      <w:pPr>
        <w:ind w:left="9"/>
        <w:spacing w:after="0" w:line="217" w:lineRule="auto"/>
        <w:rPr>
          <w:sz w:val="20"/>
          <w:szCs w:val="20"/>
          <w:color w:val="auto"/>
        </w:rPr>
      </w:pPr>
      <w:r>
        <w:rPr>
          <w:rFonts w:ascii="Times New Roman" w:cs="Times New Roman" w:eastAsia="Times New Roman" w:hAnsi="Times New Roman"/>
          <w:sz w:val="19"/>
          <w:szCs w:val="19"/>
          <w:color w:val="auto"/>
        </w:rPr>
        <w:t>Executive’s employment is terminated prior to a Change in Control and a Change in Control occurs within sixty (60) days of such</w:t>
      </w:r>
    </w:p>
    <w:p>
      <w:pPr>
        <w:ind w:left="9" w:right="240"/>
        <w:spacing w:after="0" w:line="208" w:lineRule="auto"/>
        <w:rPr>
          <w:sz w:val="20"/>
          <w:szCs w:val="20"/>
          <w:color w:val="auto"/>
        </w:rPr>
      </w:pPr>
      <w:r>
        <w:rPr>
          <w:rFonts w:ascii="Times New Roman" w:cs="Times New Roman" w:eastAsia="Times New Roman" w:hAnsi="Times New Roman"/>
          <w:sz w:val="19"/>
          <w:szCs w:val="19"/>
          <w:color w:val="auto"/>
        </w:rPr>
        <w:t>termination triggering this Section 5(d), then any amounts paid prior to the Change in Control pursuant to the Equity Acceleration shall reduce the amount required to be paid pursuant to the CIC Equity Acceleration. The CIC Severance Amount shall be paid in</w:t>
      </w:r>
    </w:p>
    <w:p>
      <w:pPr>
        <w:ind w:left="9"/>
        <w:spacing w:after="0" w:line="217" w:lineRule="auto"/>
        <w:rPr>
          <w:sz w:val="20"/>
          <w:szCs w:val="20"/>
          <w:color w:val="auto"/>
        </w:rPr>
      </w:pPr>
      <w:r>
        <w:rPr>
          <w:rFonts w:ascii="Times New Roman" w:cs="Times New Roman" w:eastAsia="Times New Roman" w:hAnsi="Times New Roman"/>
          <w:sz w:val="19"/>
          <w:szCs w:val="19"/>
          <w:color w:val="auto"/>
        </w:rPr>
        <w:t>cash in a lump sum within thirty</w:t>
      </w:r>
    </w:p>
    <w:p>
      <w:pPr>
        <w:jc w:val="both"/>
        <w:ind w:left="9" w:right="140" w:hanging="9"/>
        <w:spacing w:after="0" w:line="221" w:lineRule="auto"/>
        <w:tabs>
          <w:tab w:leader="none" w:pos="377"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days following the execution of the Release that has become irrevocable by its terms, subject to any required delay of payment pursuant to Section 23. In addition, Executive shall be entitled to the payments and benefits specified in Section 5(b). For purposes of determining the Severance Amount and CIC Severance Amount, Base Salary shall be the Base Salary as in effect prior to any reduction giving rise to a termination for Good Reason.</w:t>
      </w:r>
    </w:p>
    <w:p>
      <w:pPr>
        <w:spacing w:after="0" w:line="181" w:lineRule="exact"/>
        <w:rPr>
          <w:rFonts w:ascii="Times New Roman" w:cs="Times New Roman" w:eastAsia="Times New Roman" w:hAnsi="Times New Roman"/>
          <w:sz w:val="19"/>
          <w:szCs w:val="19"/>
          <w:color w:val="auto"/>
        </w:rPr>
      </w:pPr>
    </w:p>
    <w:p>
      <w:pPr>
        <w:ind w:left="9" w:right="140" w:firstLine="1248"/>
        <w:spacing w:after="0" w:line="217" w:lineRule="auto"/>
        <w:tabs>
          <w:tab w:leader="none" w:pos="2015"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entitlement to the payment and benefits and certain rights set forth in Sections 5(c) and 5(d) shall be conditioned upon Executive having provided an irrevocable waiver and release of claims in favor of the Company, its Affiliates, their respective predecessors and successors, and all of the respective current or former directors, officers, employees, shareholders, partners, members, agents or representatives of any of the foregoing (collectively, the “</w:t>
      </w:r>
      <w:r>
        <w:rPr>
          <w:rFonts w:ascii="Times New Roman" w:cs="Times New Roman" w:eastAsia="Times New Roman" w:hAnsi="Times New Roman"/>
          <w:sz w:val="19"/>
          <w:szCs w:val="19"/>
          <w:u w:val="single" w:color="auto"/>
          <w:color w:val="auto"/>
        </w:rPr>
        <w:t>Released Parties</w:t>
      </w:r>
      <w:r>
        <w:rPr>
          <w:rFonts w:ascii="Times New Roman" w:cs="Times New Roman" w:eastAsia="Times New Roman" w:hAnsi="Times New Roman"/>
          <w:sz w:val="19"/>
          <w:szCs w:val="19"/>
          <w:color w:val="auto"/>
        </w:rPr>
        <w:t xml:space="preserve">”), substantially in the form attached hereto as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Release</w:t>
      </w:r>
      <w:r>
        <w:rPr>
          <w:rFonts w:ascii="Times New Roman" w:cs="Times New Roman" w:eastAsia="Times New Roman" w:hAnsi="Times New Roman"/>
          <w:sz w:val="19"/>
          <w:szCs w:val="19"/>
          <w:color w:val="auto"/>
        </w:rPr>
        <w:t xml:space="preserve">”), that has become effective in accordance with its terms. Simultaneous with the delivery of the signed Release by Executive, the Company shall deliver an irrevocable waiver and release of claims in favor of Executive and his heirs, agents and representatives substantially in the form attached hereto as </w:t>
      </w:r>
      <w:r>
        <w:rPr>
          <w:rFonts w:ascii="Times New Roman" w:cs="Times New Roman" w:eastAsia="Times New Roman" w:hAnsi="Times New Roman"/>
          <w:sz w:val="19"/>
          <w:szCs w:val="19"/>
          <w:u w:val="single" w:color="auto"/>
          <w:color w:val="auto"/>
        </w:rPr>
        <w:t>Exhibit C</w:t>
      </w:r>
      <w:r>
        <w:rPr>
          <w:rFonts w:ascii="Times New Roman" w:cs="Times New Roman" w:eastAsia="Times New Roman" w:hAnsi="Times New Roman"/>
          <w:sz w:val="19"/>
          <w:szCs w:val="19"/>
          <w:color w:val="auto"/>
        </w:rPr>
        <w:t>, and if the Company fails to timely deliver its release, Executive’s obligation to deliver the Release shall lapse and be void for all purposes hereof, including for purposes of the Company’s obligation to pay or provide the payments and benefits under Sections 5(c) and 5(d).</w:t>
      </w:r>
    </w:p>
    <w:p>
      <w:pPr>
        <w:spacing w:after="0" w:line="185" w:lineRule="exact"/>
        <w:rPr>
          <w:rFonts w:ascii="Times New Roman" w:cs="Times New Roman" w:eastAsia="Times New Roman" w:hAnsi="Times New Roman"/>
          <w:sz w:val="19"/>
          <w:szCs w:val="19"/>
          <w:color w:val="auto"/>
        </w:rPr>
      </w:pPr>
    </w:p>
    <w:p>
      <w:pPr>
        <w:ind w:left="9" w:right="300" w:firstLine="1248"/>
        <w:spacing w:after="0" w:line="227" w:lineRule="auto"/>
        <w:tabs>
          <w:tab w:leader="none" w:pos="2007"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Upon termination of Executive’s employment for any reason, and regardless of whether Executive continues as a consultant to the Company, upon the Company’s request Executive agrees to resign, as of the date of such termination of employment or such other date requested, from the Board and any committees thereof, and, if applicable, from the board of directors (and any committees thereof) of any Affiliate of the Company to the extent Executive is then serving thereon.</w:t>
      </w:r>
    </w:p>
    <w:p>
      <w:pPr>
        <w:spacing w:after="0" w:line="182" w:lineRule="exact"/>
        <w:rPr>
          <w:rFonts w:ascii="Times New Roman" w:cs="Times New Roman" w:eastAsia="Times New Roman" w:hAnsi="Times New Roman"/>
          <w:sz w:val="19"/>
          <w:szCs w:val="19"/>
          <w:color w:val="auto"/>
        </w:rPr>
      </w:pPr>
    </w:p>
    <w:p>
      <w:pPr>
        <w:ind w:left="9" w:firstLine="1248"/>
        <w:spacing w:after="0" w:line="224" w:lineRule="auto"/>
        <w:tabs>
          <w:tab w:leader="none" w:pos="2013"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payment of any amounts accrued under any benefit plan, program or arrangement in which Executive participates shall be subject to the terms of the applicable plan, program or arrangement, and any elections Executive has made thereunder. The Company’s obligation to make the payments provided for in this Agreement and otherwise to perform its obligations hereunder shall not be affected by any set-off, counterclaim, recoupment, defense, or other claim, right or action that the Company may have against Executive or others.</w:t>
      </w:r>
    </w:p>
    <w:p>
      <w:pPr>
        <w:spacing w:after="0" w:line="185" w:lineRule="exact"/>
        <w:rPr>
          <w:rFonts w:ascii="Times New Roman" w:cs="Times New Roman" w:eastAsia="Times New Roman" w:hAnsi="Times New Roman"/>
          <w:sz w:val="19"/>
          <w:szCs w:val="19"/>
          <w:color w:val="auto"/>
        </w:rPr>
      </w:pPr>
    </w:p>
    <w:p>
      <w:pPr>
        <w:jc w:val="both"/>
        <w:ind w:left="9" w:right="220" w:firstLine="1248"/>
        <w:spacing w:after="0" w:line="227" w:lineRule="auto"/>
        <w:tabs>
          <w:tab w:leader="none" w:pos="2013"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Following any termination of Executive’s employment, Executive shall have no obligation to seek other employment or take any other action by way of mitigation of the amounts payable to Executive under any of the provisions of this Agreement. There shall be no offset against amounts due Executive under this agreement on account of any remuneration attributable to later employment, consultancy or other remunerative activity of Executive.</w:t>
      </w:r>
    </w:p>
    <w:p>
      <w:pPr>
        <w:spacing w:after="0" w:line="195" w:lineRule="exact"/>
        <w:rPr>
          <w:rFonts w:ascii="Times New Roman" w:cs="Times New Roman" w:eastAsia="Times New Roman" w:hAnsi="Times New Roman"/>
          <w:sz w:val="19"/>
          <w:szCs w:val="19"/>
          <w:color w:val="auto"/>
        </w:rPr>
      </w:pPr>
    </w:p>
    <w:p>
      <w:pPr>
        <w:ind w:left="1889" w:hanging="632"/>
        <w:spacing w:after="0"/>
        <w:tabs>
          <w:tab w:leader="none" w:pos="1889" w:val="left"/>
        </w:tabs>
        <w:numPr>
          <w:ilvl w:val="2"/>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280G Matters</w:t>
      </w:r>
      <w:r>
        <w:rPr>
          <w:rFonts w:ascii="Times New Roman" w:cs="Times New Roman" w:eastAsia="Times New Roman" w:hAnsi="Times New Roman"/>
          <w:sz w:val="19"/>
          <w:szCs w:val="19"/>
          <w:color w:val="auto"/>
        </w:rPr>
        <w:t>.</w:t>
      </w:r>
    </w:p>
    <w:p>
      <w:pPr>
        <w:spacing w:after="0" w:line="292" w:lineRule="exact"/>
        <w:rPr>
          <w:sz w:val="20"/>
          <w:szCs w:val="20"/>
          <w:color w:val="auto"/>
        </w:rPr>
      </w:pPr>
    </w:p>
    <w:p>
      <w:pPr>
        <w:ind w:left="9" w:right="180" w:firstLine="1248"/>
        <w:spacing w:after="0" w:line="231" w:lineRule="auto"/>
        <w:tabs>
          <w:tab w:leader="none" w:pos="2015"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any payment to or in respect of Executive by the Company or any Affiliate, whether pursuant to this Agreement or otherwise (a “</w:t>
      </w:r>
      <w:r>
        <w:rPr>
          <w:rFonts w:ascii="Times New Roman" w:cs="Times New Roman" w:eastAsia="Times New Roman" w:hAnsi="Times New Roman"/>
          <w:sz w:val="19"/>
          <w:szCs w:val="19"/>
          <w:u w:val="single" w:color="auto"/>
          <w:color w:val="auto"/>
        </w:rPr>
        <w:t>Payment</w:t>
      </w:r>
      <w:r>
        <w:rPr>
          <w:rFonts w:ascii="Times New Roman" w:cs="Times New Roman" w:eastAsia="Times New Roman" w:hAnsi="Times New Roman"/>
          <w:sz w:val="19"/>
          <w:szCs w:val="19"/>
          <w:color w:val="auto"/>
        </w:rPr>
        <w:t>”), is determined by the Auditor (as defined below) to be a “parachute payment” as defined in Section 280G(b)(2) of the Code (as defined below) (a</w:t>
      </w:r>
    </w:p>
    <w:p>
      <w:pPr>
        <w:sectPr>
          <w:pgSz w:w="11900" w:h="16838" w:orient="portrait"/>
          <w:cols w:equalWidth="0" w:num="1">
            <w:col w:w="10229"/>
          </w:cols>
          <w:pgMar w:left="831" w:top="1440" w:right="839" w:bottom="1440" w:gutter="0" w:footer="0" w:header="0"/>
        </w:sectPr>
      </w:pPr>
    </w:p>
    <w:bookmarkStart w:id="89" w:name="page90"/>
    <w:bookmarkEnd w:id="89"/>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Parachute Payment</w:t>
      </w:r>
      <w:r>
        <w:rPr>
          <w:rFonts w:ascii="Times New Roman" w:cs="Times New Roman" w:eastAsia="Times New Roman" w:hAnsi="Times New Roman"/>
          <w:sz w:val="19"/>
          <w:szCs w:val="19"/>
          <w:color w:val="auto"/>
        </w:rPr>
        <w:t>”) and also to be subject to the excise tax imposed by Section 4999 of the Code, or any interest or penalties are</w:t>
      </w:r>
    </w:p>
    <w:p>
      <w:pPr>
        <w:ind w:right="180"/>
        <w:spacing w:after="0" w:line="208" w:lineRule="auto"/>
        <w:rPr>
          <w:sz w:val="20"/>
          <w:szCs w:val="20"/>
          <w:color w:val="auto"/>
        </w:rPr>
      </w:pPr>
      <w:r>
        <w:rPr>
          <w:rFonts w:ascii="Times New Roman" w:cs="Times New Roman" w:eastAsia="Times New Roman" w:hAnsi="Times New Roman"/>
          <w:sz w:val="19"/>
          <w:szCs w:val="19"/>
          <w:color w:val="auto"/>
        </w:rPr>
        <w:t>incurred by Executive with respect to such excise tax (such excise tax, together with any such interest and penalties, being herein collectively referred to as the “</w:t>
      </w:r>
      <w:r>
        <w:rPr>
          <w:rFonts w:ascii="Times New Roman" w:cs="Times New Roman" w:eastAsia="Times New Roman" w:hAnsi="Times New Roman"/>
          <w:sz w:val="19"/>
          <w:szCs w:val="19"/>
          <w:u w:val="single" w:color="auto"/>
          <w:color w:val="auto"/>
        </w:rPr>
        <w:t>Excise Tax</w:t>
      </w:r>
      <w:r>
        <w:rPr>
          <w:rFonts w:ascii="Times New Roman" w:cs="Times New Roman" w:eastAsia="Times New Roman" w:hAnsi="Times New Roman"/>
          <w:sz w:val="19"/>
          <w:szCs w:val="19"/>
          <w:color w:val="auto"/>
        </w:rPr>
        <w:t>”), then the aggregate amount of the Parachute Payments otherwise payable to Executive</w:t>
      </w:r>
    </w:p>
    <w:p>
      <w:pPr>
        <w:spacing w:after="0" w:line="1" w:lineRule="exact"/>
        <w:rPr>
          <w:sz w:val="20"/>
          <w:szCs w:val="20"/>
          <w:color w:val="auto"/>
        </w:rPr>
      </w:pPr>
    </w:p>
    <w:p>
      <w:pPr>
        <w:ind w:right="180"/>
        <w:spacing w:after="0" w:line="208" w:lineRule="auto"/>
        <w:rPr>
          <w:sz w:val="20"/>
          <w:szCs w:val="20"/>
          <w:color w:val="auto"/>
        </w:rPr>
      </w:pPr>
      <w:r>
        <w:rPr>
          <w:rFonts w:ascii="Times New Roman" w:cs="Times New Roman" w:eastAsia="Times New Roman" w:hAnsi="Times New Roman"/>
          <w:sz w:val="19"/>
          <w:szCs w:val="19"/>
          <w:color w:val="auto"/>
        </w:rPr>
        <w:t>under this Agreement (unless otherwise agreed by Executive) shall be reduced if and to the extent that such reduction would result in Executive retaining a greater net after-tax amount than Executive would have</w:t>
      </w:r>
    </w:p>
    <w:p>
      <w:pPr>
        <w:spacing w:after="0" w:line="1" w:lineRule="exact"/>
        <w:rPr>
          <w:sz w:val="20"/>
          <w:szCs w:val="20"/>
          <w:color w:val="auto"/>
        </w:rPr>
      </w:pPr>
    </w:p>
    <w:p>
      <w:pPr>
        <w:ind w:right="340"/>
        <w:spacing w:after="0" w:line="227" w:lineRule="auto"/>
        <w:rPr>
          <w:sz w:val="20"/>
          <w:szCs w:val="20"/>
          <w:color w:val="auto"/>
        </w:rPr>
      </w:pPr>
      <w:r>
        <w:rPr>
          <w:rFonts w:ascii="Times New Roman" w:cs="Times New Roman" w:eastAsia="Times New Roman" w:hAnsi="Times New Roman"/>
          <w:sz w:val="19"/>
          <w:szCs w:val="19"/>
          <w:color w:val="auto"/>
        </w:rPr>
        <w:t>retained had he received the full amount of the Parachute Payments (and paid the applicable Excise Tax), with such reductions coming first from amounts that are exempt from Section 409A and, thereafter, from amounts that are subject to Section 409A, in each case in reverse chronological order of their scheduled distributions.</w:t>
      </w:r>
    </w:p>
    <w:p>
      <w:pPr>
        <w:spacing w:after="0" w:line="183" w:lineRule="exact"/>
        <w:rPr>
          <w:sz w:val="20"/>
          <w:szCs w:val="20"/>
          <w:color w:val="auto"/>
        </w:rPr>
      </w:pPr>
    </w:p>
    <w:p>
      <w:pPr>
        <w:ind w:right="60" w:firstLine="1248"/>
        <w:spacing w:after="0" w:line="235" w:lineRule="auto"/>
        <w:tabs>
          <w:tab w:leader="none" w:pos="2004"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determinations required to be made under this Section 6, including whether an Excise Tax is payable by Executive, the amount of such Excise Tax and the determination of which Parachute Payments shall be reduced, shall be made by the Company’s regular auditor, unless Executive objects to the use of that auditor, in which event the auditor shall be an independent auditor or other independent professional services organization that is a certified public accounting firm recognized as an expert in determinations and calculations for purposes of Section 280G of the Code selected by the Company and reasonably acceptable to Executive, which auditor shall not, without Executive’s consent, be a firm serving as accountant or auditor for the individual, entity or group effecting the Change in Control (the “</w:t>
      </w:r>
      <w:r>
        <w:rPr>
          <w:rFonts w:ascii="Times New Roman" w:cs="Times New Roman" w:eastAsia="Times New Roman" w:hAnsi="Times New Roman"/>
          <w:sz w:val="19"/>
          <w:szCs w:val="19"/>
          <w:u w:val="single" w:color="auto"/>
          <w:color w:val="auto"/>
        </w:rPr>
        <w:t>Auditor</w:t>
      </w:r>
      <w:r>
        <w:rPr>
          <w:rFonts w:ascii="Times New Roman" w:cs="Times New Roman" w:eastAsia="Times New Roman" w:hAnsi="Times New Roman"/>
          <w:sz w:val="19"/>
          <w:szCs w:val="19"/>
          <w:color w:val="auto"/>
        </w:rPr>
        <w:t>”). If the Auditor determines that the aggregate Payments to Executive under this Agreement should be reduced in accordance with Section 6(a), the Company shall promptly give Executive notice to that effect and a copy of the detailed calculation thereof. All determinations made by the Auditor under this Section 6 shall be binding upon the Company and Executive and shall be made as soon as reasonably practicable and in no event later than 10 days following the date of Executive’s termination of employment. All fees and expenses of the Auditor shall be borne solely by the Company.</w:t>
      </w:r>
    </w:p>
    <w:p>
      <w:pPr>
        <w:spacing w:after="0" w:line="201" w:lineRule="exact"/>
        <w:rPr>
          <w:rFonts w:ascii="Times New Roman" w:cs="Times New Roman" w:eastAsia="Times New Roman" w:hAnsi="Times New Roman"/>
          <w:sz w:val="19"/>
          <w:szCs w:val="19"/>
          <w:color w:val="auto"/>
        </w:rPr>
      </w:pPr>
    </w:p>
    <w:p>
      <w:pPr>
        <w:ind w:right="100" w:firstLine="1248"/>
        <w:spacing w:after="0" w:line="215" w:lineRule="auto"/>
        <w:tabs>
          <w:tab w:leader="none" w:pos="2006"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the term “</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shall mean the Internal Revenue Code of 1986, as amended, including all final regulations promulgated thereunder and any reference to a particular section of the Code shall include any provision that modifies, replaces or supersedes such section. The parties acknowledge that Executive’s continuing agreement to be bound by the confidentiality and restrictive covenant provisions set forth in the Third Amended and Restated Limited Liability Company Agreement of Virtu Financial LLC, a Delaware limited liability company, dated as of April 15, 2015, as amended (collectively, the “</w:t>
      </w:r>
      <w:r>
        <w:rPr>
          <w:rFonts w:ascii="Times New Roman" w:cs="Times New Roman" w:eastAsia="Times New Roman" w:hAnsi="Times New Roman"/>
          <w:sz w:val="19"/>
          <w:szCs w:val="19"/>
          <w:u w:val="single" w:color="auto"/>
          <w:color w:val="auto"/>
        </w:rPr>
        <w:t>Noncompetition Restrictions</w:t>
      </w:r>
      <w:r>
        <w:rPr>
          <w:rFonts w:ascii="Times New Roman" w:cs="Times New Roman" w:eastAsia="Times New Roman" w:hAnsi="Times New Roman"/>
          <w:sz w:val="19"/>
          <w:szCs w:val="19"/>
          <w:color w:val="auto"/>
        </w:rPr>
        <w:t>”) are partial</w:t>
      </w:r>
    </w:p>
    <w:p>
      <w:pPr>
        <w:ind w:right="360"/>
        <w:spacing w:after="0" w:line="22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consideration for the Company’s entering into this Agreement, and that at the request of Executive, the Company shall cause the Auditor to take into account the value of any reasonable compensation for services to be rendered by Executive before or after a Change in Control, including the Noncompetition Restrictions, in computing the amount of Parachute Payments under Section 280G of the Code, and the Company shall cooperate with Executive and the Auditor in performing such valuation.</w:t>
      </w:r>
    </w:p>
    <w:p>
      <w:pPr>
        <w:spacing w:after="0" w:line="182" w:lineRule="exact"/>
        <w:rPr>
          <w:sz w:val="20"/>
          <w:szCs w:val="20"/>
          <w:color w:val="auto"/>
        </w:rPr>
      </w:pPr>
    </w:p>
    <w:p>
      <w:pPr>
        <w:ind w:firstLine="1248"/>
        <w:spacing w:after="0" w:line="213" w:lineRule="auto"/>
        <w:tabs>
          <w:tab w:leader="none" w:pos="2003" w:val="left"/>
        </w:tabs>
        <w:numPr>
          <w:ilvl w:val="0"/>
          <w:numId w:val="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Confidential Information; Restrictive Covenants</w:t>
      </w:r>
      <w:r>
        <w:rPr>
          <w:rFonts w:ascii="Times New Roman" w:cs="Times New Roman" w:eastAsia="Times New Roman" w:hAnsi="Times New Roman"/>
          <w:sz w:val="19"/>
          <w:szCs w:val="19"/>
          <w:color w:val="auto"/>
        </w:rPr>
        <w:t xml:space="preserve">. For purposes of Sections 7, 8, 9 and 10, references to the Company shall include its subsidiaries and any Affiliates of the Company that are Controlled by the Company. Executive acknowledges and agrees that Executive shall be bound by the Noncompetition Restrictions, in accordance with the terms and conditions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Executive shall not be held criminally or civilly liable under any federal or state trade secret law for any disclosure of a trade secret that is made: (A) in confidence to a federal, state or local government official, either directly or indirectly, or to an attorney; and (B) solely for the purpose of reporting or investigating a suspected violation of law; or is made in a complaint or other document that is filed under seal in a lawsuit or other proceeding. If the Executive files a lawsuit for retaliation by the Company for reporting a suspected violation of law, the Executive may disclose the Company’s trade</w:t>
      </w:r>
    </w:p>
    <w:p>
      <w:pPr>
        <w:spacing w:after="0" w:line="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secrets to the Executive’s attorney and use the trade secret information in the court proceeding if the</w:t>
      </w:r>
    </w:p>
    <w:p>
      <w:pPr>
        <w:sectPr>
          <w:pgSz w:w="11900" w:h="16838" w:orient="portrait"/>
          <w:cols w:equalWidth="0" w:num="1">
            <w:col w:w="10200"/>
          </w:cols>
          <w:pgMar w:left="840" w:top="1440" w:right="859" w:bottom="1440" w:gutter="0" w:footer="0" w:header="0"/>
        </w:sectPr>
      </w:pPr>
    </w:p>
    <w:bookmarkStart w:id="90" w:name="page91"/>
    <w:bookmarkEnd w:id="90"/>
    <w:p>
      <w:pPr>
        <w:spacing w:after="0" w:line="144"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19"/>
          <w:szCs w:val="19"/>
          <w:color w:val="auto"/>
        </w:rPr>
        <w:t>Executive: (1) files any document containing the trade secret under seal; and (2) does not disclose the trade secret, except pursuant to court order.</w:t>
      </w:r>
    </w:p>
    <w:p>
      <w:pPr>
        <w:spacing w:after="0" w:line="172" w:lineRule="exact"/>
        <w:rPr>
          <w:sz w:val="20"/>
          <w:szCs w:val="20"/>
          <w:color w:val="auto"/>
        </w:rPr>
      </w:pPr>
    </w:p>
    <w:p>
      <w:pPr>
        <w:ind w:right="60" w:firstLine="1248"/>
        <w:spacing w:after="0" w:line="217" w:lineRule="auto"/>
        <w:tabs>
          <w:tab w:leader="none" w:pos="2003"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Property</w:t>
      </w:r>
      <w:r>
        <w:rPr>
          <w:rFonts w:ascii="Times New Roman" w:cs="Times New Roman" w:eastAsia="Times New Roman" w:hAnsi="Times New Roman"/>
          <w:sz w:val="19"/>
          <w:szCs w:val="19"/>
          <w:color w:val="auto"/>
        </w:rPr>
        <w:t xml:space="preserve">. Executive acknowledges that all notes, memoranda, specifications, devices, formulas, records, files, lists, drawings, documents, models, equipment, property, computer, software or intellectual property relating to the businesses of the Company, in whatever form (including electronic), and all copies thereof, that are received or created by Executive while an employee of the Company or its subsidiaries or Affiliates (including but not limited to Confidential Information and Inventions (as defined below)) are and shall remain the property of the Company, and Executive shall immediately return such property to the Company upon the termination of Executive’s employment and, in any event, at the Company’s request and subject to inspection in accordance with applicable Company employee policies generally, except as may otherwise be agreed by Executive and the Company at the time of termination;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Executive shall be permitted to retain a copy of his contacts/rolodex, including in electronic form.</w:t>
      </w:r>
    </w:p>
    <w:p>
      <w:pPr>
        <w:spacing w:after="0" w:line="200" w:lineRule="exact"/>
        <w:rPr>
          <w:rFonts w:ascii="Times New Roman" w:cs="Times New Roman" w:eastAsia="Times New Roman" w:hAnsi="Times New Roman"/>
          <w:sz w:val="19"/>
          <w:szCs w:val="19"/>
          <w:color w:val="auto"/>
        </w:rPr>
      </w:pPr>
    </w:p>
    <w:p>
      <w:pPr>
        <w:ind w:firstLine="1248"/>
        <w:spacing w:after="0" w:line="214" w:lineRule="auto"/>
        <w:tabs>
          <w:tab w:leader="none" w:pos="2003"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Intellectual Property Rights</w:t>
      </w:r>
      <w:r>
        <w:rPr>
          <w:rFonts w:ascii="Times New Roman" w:cs="Times New Roman" w:eastAsia="Times New Roman" w:hAnsi="Times New Roman"/>
          <w:sz w:val="19"/>
          <w:szCs w:val="19"/>
          <w:color w:val="auto"/>
        </w:rPr>
        <w:t>. (a) Executive agrees that the results and proceeds of Executive’s services for the Company (including, but not limited to,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an employee of the Company and any works in progress, whether or not patentable or registrable under copyright or similar statutes, that were made, developed, conceived or reduced to practice or learned by Executive, either alone or jointly with others (collectively, “</w:t>
      </w:r>
      <w:r>
        <w:rPr>
          <w:rFonts w:ascii="Times New Roman" w:cs="Times New Roman" w:eastAsia="Times New Roman" w:hAnsi="Times New Roman"/>
          <w:sz w:val="19"/>
          <w:szCs w:val="19"/>
          <w:u w:val="single" w:color="auto"/>
          <w:color w:val="auto"/>
        </w:rPr>
        <w:t>Inventions</w:t>
      </w:r>
      <w:r>
        <w:rPr>
          <w:rFonts w:ascii="Times New Roman" w:cs="Times New Roman" w:eastAsia="Times New Roman" w:hAnsi="Times New Roman"/>
          <w:sz w:val="19"/>
          <w:szCs w:val="19"/>
          <w:color w:val="auto"/>
        </w:rPr>
        <w:t>”), shall be works-made-for-hire and the Company shall be deemed the sole owner throughout the universe of any and all trade secret, patent, copyright and other intellectual property rights (collectively, “</w:t>
      </w:r>
      <w:r>
        <w:rPr>
          <w:rFonts w:ascii="Times New Roman" w:cs="Times New Roman" w:eastAsia="Times New Roman" w:hAnsi="Times New Roman"/>
          <w:sz w:val="19"/>
          <w:szCs w:val="19"/>
          <w:u w:val="single" w:color="auto"/>
          <w:color w:val="auto"/>
        </w:rPr>
        <w:t>Proprietary Rights</w:t>
      </w:r>
      <w:r>
        <w:rPr>
          <w:rFonts w:ascii="Times New Roman" w:cs="Times New Roman" w:eastAsia="Times New Roman" w:hAnsi="Times New Roman"/>
          <w:sz w:val="19"/>
          <w:szCs w:val="19"/>
          <w:color w:val="auto"/>
        </w:rPr>
        <w:t>”) of whatsoever nature therein, whether or not now or hereafter known, existing, contemplated, recognized or developed, with the right to use the same in perpetuity in any manner the Company determines in its sole discretion, without any further payment to Executive whatsoever. If, for any reason, any of such results and proceeds shall not legally be a work- made-for-hire and/or there are any Proprietary Rights which do not accrue to the Company under the immediately preceding sentence, then Executive hereby irrevocably assigns and agrees to assign any and all of Executive’s right, title and interest thereto, including any and all Proprietary Rights of whatsoever nature therein, whether or not now or hereafter known, existing, contemplated, recognized or developed, to the Company, and the Company shall have the right to use the same in perpetuity throughout the universe in any manner determined by the Company without any further payment to Executive whatsoever. As to any Invention that Executive is required to assign, Executive shall promptly and fully disclose to the Company all information known to Executive concerning such Invention.</w:t>
      </w:r>
    </w:p>
    <w:p>
      <w:pPr>
        <w:spacing w:after="0" w:line="187" w:lineRule="exact"/>
        <w:rPr>
          <w:sz w:val="20"/>
          <w:szCs w:val="20"/>
          <w:color w:val="auto"/>
        </w:rPr>
      </w:pPr>
    </w:p>
    <w:p>
      <w:pPr>
        <w:ind w:right="60" w:firstLine="1248"/>
        <w:spacing w:after="0" w:line="227" w:lineRule="auto"/>
        <w:tabs>
          <w:tab w:leader="none" w:pos="2004"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agrees that, from time to time, as may be requested by the Company and at the Company’s sole cost and expense, Executive shall do any and all things that the Company may</w:t>
      </w:r>
    </w:p>
    <w:p>
      <w:pPr>
        <w:spacing w:after="0" w:line="1" w:lineRule="exact"/>
        <w:rPr>
          <w:rFonts w:ascii="Times New Roman" w:cs="Times New Roman" w:eastAsia="Times New Roman" w:hAnsi="Times New Roman"/>
          <w:sz w:val="19"/>
          <w:szCs w:val="19"/>
          <w:color w:val="auto"/>
        </w:rPr>
      </w:pPr>
    </w:p>
    <w:p>
      <w:pPr>
        <w:ind w:right="100"/>
        <w:spacing w:after="0" w:line="21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Executive has any Proprietary Rights in the Inventions that cannot be assigned in the manner described above, Executive unconditionally and irrevocably waives the enforcement of such Proprietary Rights. This Section 9(b) is subject to and shall not be deemed to limit, restrict or constitute any waiver by the Company of any Proprietary Rights of ownership to which the Company may be entitled by operation of law by virtue of the Company’s being Executive’s employer. Executive further agrees that, from time to time, as may be requested by the Company and at the Company’s sole cost and expense, Executive shall assist the Company in every proper and lawful way to obtain and from time to time enforce Proprietary Rights relating to Inventions in any and all countries.</w:t>
      </w:r>
    </w:p>
    <w:p>
      <w:pPr>
        <w:sectPr>
          <w:pgSz w:w="11900" w:h="16838" w:orient="portrait"/>
          <w:cols w:equalWidth="0" w:num="1">
            <w:col w:w="10180"/>
          </w:cols>
          <w:pgMar w:left="840" w:top="1440" w:right="879" w:bottom="1440" w:gutter="0" w:footer="0" w:header="0"/>
        </w:sectPr>
      </w:pPr>
    </w:p>
    <w:bookmarkStart w:id="91" w:name="page92"/>
    <w:bookmarkEnd w:id="91"/>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shall execute, verify and deliver such documents and perform such other acts (including appearances as a witness) as the</w:t>
      </w:r>
    </w:p>
    <w:p>
      <w:pPr>
        <w:ind w:right="740"/>
        <w:spacing w:after="0" w:line="208" w:lineRule="auto"/>
        <w:rPr>
          <w:sz w:val="20"/>
          <w:szCs w:val="20"/>
          <w:color w:val="auto"/>
        </w:rPr>
      </w:pPr>
      <w:r>
        <w:rPr>
          <w:rFonts w:ascii="Times New Roman" w:cs="Times New Roman" w:eastAsia="Times New Roman" w:hAnsi="Times New Roman"/>
          <w:sz w:val="19"/>
          <w:szCs w:val="19"/>
          <w:color w:val="auto"/>
        </w:rPr>
        <w:t>Company may reasonably request for use in applying for, obtaining, perfecting, evidencing, sustaining, and enforcing such Proprietary Rights and the assignment thereof. In addition, Executive shall execute, verify and deliver assignments of such</w:t>
      </w:r>
    </w:p>
    <w:p>
      <w:pPr>
        <w:spacing w:after="0" w:line="1" w:lineRule="exact"/>
        <w:rPr>
          <w:sz w:val="20"/>
          <w:szCs w:val="20"/>
          <w:color w:val="auto"/>
        </w:rPr>
      </w:pPr>
    </w:p>
    <w:p>
      <w:pPr>
        <w:ind w:right="760"/>
        <w:spacing w:after="0" w:line="233" w:lineRule="auto"/>
        <w:rPr>
          <w:sz w:val="20"/>
          <w:szCs w:val="20"/>
          <w:color w:val="auto"/>
        </w:rPr>
      </w:pPr>
      <w:r>
        <w:rPr>
          <w:rFonts w:ascii="Times New Roman" w:cs="Times New Roman" w:eastAsia="Times New Roman" w:hAnsi="Times New Roman"/>
          <w:sz w:val="19"/>
          <w:szCs w:val="19"/>
          <w:color w:val="auto"/>
        </w:rPr>
        <w:t>Proprietary Rights to the Company or its designees. Executive’s obligations under this Section 9 shall continue beyond the termination of Executive’s employment with the Company.</w:t>
      </w:r>
    </w:p>
    <w:p>
      <w:pPr>
        <w:spacing w:after="0" w:line="183" w:lineRule="exact"/>
        <w:rPr>
          <w:sz w:val="20"/>
          <w:szCs w:val="20"/>
          <w:color w:val="auto"/>
        </w:rPr>
      </w:pPr>
    </w:p>
    <w:p>
      <w:pPr>
        <w:ind w:right="140" w:firstLine="1248"/>
        <w:spacing w:after="0" w:line="251" w:lineRule="auto"/>
        <w:tabs>
          <w:tab w:leader="none" w:pos="2006"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hereby waives and quitclaims to the Company any and all claims, of any nature whatsoever, that Executive now or may hereafter have for infringement of any Proprietary Rights assigned hereunder to the Company.</w:t>
      </w:r>
    </w:p>
    <w:p>
      <w:pPr>
        <w:spacing w:after="0" w:line="159" w:lineRule="exact"/>
        <w:rPr>
          <w:sz w:val="20"/>
          <w:szCs w:val="20"/>
          <w:color w:val="auto"/>
        </w:rPr>
      </w:pPr>
    </w:p>
    <w:p>
      <w:pPr>
        <w:ind w:right="20" w:firstLine="1248"/>
        <w:spacing w:after="0" w:line="219" w:lineRule="auto"/>
        <w:tabs>
          <w:tab w:leader="none" w:pos="2007"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Remedies and Injunctive Relief</w:t>
      </w:r>
      <w:r>
        <w:rPr>
          <w:rFonts w:ascii="Times New Roman" w:cs="Times New Roman" w:eastAsia="Times New Roman" w:hAnsi="Times New Roman"/>
          <w:sz w:val="19"/>
          <w:szCs w:val="19"/>
          <w:color w:val="auto"/>
        </w:rPr>
        <w:t>. Executive acknowledges that a violation by Executive of any of the covenants contained in Sections 7, 8 or 9 would 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injunctive relief (including temporary restraining orders, preliminary injunctions and/or permanent injunctions) in any court of competent jurisdiction for any actual or threatened breach of any of the covenants set forth in Sections 7, 8 or 9 in addition to any other legal or equitable remedies it may have. The preceding sentence shall not be construed as a waiver of the rights that the Company may have for damages under this Agreement or otherwise, and all of the Company’s rights shall be unrestricted.</w:t>
      </w:r>
    </w:p>
    <w:p>
      <w:pPr>
        <w:spacing w:after="0" w:line="183" w:lineRule="exact"/>
        <w:rPr>
          <w:rFonts w:ascii="Times New Roman" w:cs="Times New Roman" w:eastAsia="Times New Roman" w:hAnsi="Times New Roman"/>
          <w:sz w:val="19"/>
          <w:szCs w:val="19"/>
          <w:color w:val="auto"/>
        </w:rPr>
      </w:pPr>
    </w:p>
    <w:p>
      <w:pPr>
        <w:ind w:left="2000" w:hanging="752"/>
        <w:spacing w:after="0"/>
        <w:tabs>
          <w:tab w:leader="none" w:pos="200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Representations of Executive; Advice of Counsel</w:t>
      </w:r>
      <w:r>
        <w:rPr>
          <w:rFonts w:ascii="Times New Roman" w:cs="Times New Roman" w:eastAsia="Times New Roman" w:hAnsi="Times New Roman"/>
          <w:sz w:val="19"/>
          <w:szCs w:val="19"/>
          <w:color w:val="auto"/>
        </w:rPr>
        <w:t>. (a) Executive represents, warrants and covenants that</w:t>
      </w:r>
    </w:p>
    <w:p>
      <w:pPr>
        <w:ind w:right="140"/>
        <w:spacing w:after="0" w:line="21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date hereof: (i) Executive has the full right, authority and capacity to enter into this Agreement and perform Executive’s obligations hereunder, (ii) Executive is not bound by any agreement that conflicts with or prevents or restricts the full performance of Executive’s duties and obligations to the Company hereunder during or after the Term, and (iii) the execution and delivery of this Agreement shall not result in any breach or violation of, or a default under, any existing obligation, commitment or agreement to which Executive is subject.</w:t>
      </w:r>
    </w:p>
    <w:p>
      <w:pPr>
        <w:spacing w:after="0" w:line="195" w:lineRule="exact"/>
        <w:rPr>
          <w:sz w:val="20"/>
          <w:szCs w:val="20"/>
          <w:color w:val="auto"/>
        </w:rPr>
      </w:pPr>
    </w:p>
    <w:p>
      <w:pPr>
        <w:ind w:firstLine="1248"/>
        <w:spacing w:after="0" w:line="218" w:lineRule="auto"/>
        <w:tabs>
          <w:tab w:leader="none" w:pos="1672"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execution of this Agreement, Executive was advised by the Company of Executive’s right to seek 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 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spacing w:after="0" w:line="196" w:lineRule="exact"/>
        <w:rPr>
          <w:sz w:val="20"/>
          <w:szCs w:val="20"/>
          <w:color w:val="auto"/>
        </w:rPr>
      </w:pPr>
    </w:p>
    <w:p>
      <w:pPr>
        <w:ind w:right="160" w:firstLine="1248"/>
        <w:spacing w:after="0" w:line="217" w:lineRule="auto"/>
        <w:tabs>
          <w:tab w:leader="none" w:pos="2007"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Cooperation</w:t>
      </w:r>
      <w:r>
        <w:rPr>
          <w:rFonts w:ascii="Times New Roman" w:cs="Times New Roman" w:eastAsia="Times New Roman" w:hAnsi="Times New Roman"/>
          <w:sz w:val="19"/>
          <w:szCs w:val="19"/>
          <w:color w:val="auto"/>
        </w:rPr>
        <w:t xml:space="preserve">. Executive agrees that, upon reasonable notice and without the necessity of the Company obtaining a subpoena or court order, Executive shall provide reasonable cooperation in connection with any suit, action or proceeding (or any appeal from any suit, action or proceeding), and any investigation and/or defense of any claims asserted against the Company or its Affiliates, which relates to events occurring during Executive’s employment with the Company and its Affiliates as to which Executive may have relevant information (including but not limited to furnishing relevant information and materials to the Company or its designee and/or providing testimony at depositions and at trial);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such cooperation occurring following termination of employment, the Company shall reimburse Executive for expenses reasonably incurred in connection therewith, and </w:t>
      </w:r>
      <w:r>
        <w:rPr>
          <w:rFonts w:ascii="Times New Roman" w:cs="Times New Roman" w:eastAsia="Times New Roman" w:hAnsi="Times New Roman"/>
          <w:sz w:val="19"/>
          <w:szCs w:val="19"/>
          <w:u w:val="single" w:color="auto"/>
          <w:color w:val="auto"/>
        </w:rPr>
        <w:t>further provided</w:t>
      </w:r>
      <w:r>
        <w:rPr>
          <w:rFonts w:ascii="Times New Roman" w:cs="Times New Roman" w:eastAsia="Times New Roman" w:hAnsi="Times New Roman"/>
          <w:sz w:val="19"/>
          <w:szCs w:val="19"/>
          <w:color w:val="auto"/>
        </w:rPr>
        <w:t xml:space="preserve"> that any such cooperation occurring after the termination of Executive’s</w:t>
      </w:r>
    </w:p>
    <w:p>
      <w:pPr>
        <w:sectPr>
          <w:pgSz w:w="11900" w:h="16838" w:orient="portrait"/>
          <w:cols w:equalWidth="0" w:num="1">
            <w:col w:w="10160"/>
          </w:cols>
          <w:pgMar w:left="840" w:top="1440" w:right="899" w:bottom="1440" w:gutter="0" w:footer="0" w:header="0"/>
        </w:sectPr>
      </w:pPr>
    </w:p>
    <w:bookmarkStart w:id="92" w:name="page93"/>
    <w:bookmarkEnd w:id="92"/>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employment shall be scheduled so as not to unreasonably interfere with Executive’s business or personal affairs.</w:t>
      </w:r>
    </w:p>
    <w:p>
      <w:pPr>
        <w:spacing w:after="0" w:line="214" w:lineRule="exact"/>
        <w:rPr>
          <w:sz w:val="20"/>
          <w:szCs w:val="20"/>
          <w:color w:val="auto"/>
        </w:rPr>
      </w:pPr>
    </w:p>
    <w:p>
      <w:pPr>
        <w:ind w:right="220" w:firstLine="1248"/>
        <w:spacing w:after="0" w:line="251" w:lineRule="auto"/>
        <w:tabs>
          <w:tab w:leader="none" w:pos="2007"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Withholding</w:t>
      </w:r>
      <w:r>
        <w:rPr>
          <w:rFonts w:ascii="Times New Roman" w:cs="Times New Roman" w:eastAsia="Times New Roman" w:hAnsi="Times New Roman"/>
          <w:sz w:val="19"/>
          <w:szCs w:val="19"/>
          <w:color w:val="auto"/>
        </w:rPr>
        <w:t>. The Company may deduct and withhold from any amounts payable under this Agreement such Federal, state, local, non-U.S. or other taxes as are required to be withheld pursuant to any applicable law or regulation.</w:t>
      </w:r>
    </w:p>
    <w:p>
      <w:pPr>
        <w:spacing w:after="0" w:line="171" w:lineRule="exact"/>
        <w:rPr>
          <w:rFonts w:ascii="Times New Roman" w:cs="Times New Roman" w:eastAsia="Times New Roman" w:hAnsi="Times New Roman"/>
          <w:sz w:val="19"/>
          <w:szCs w:val="19"/>
          <w:color w:val="auto"/>
        </w:rPr>
      </w:pPr>
    </w:p>
    <w:p>
      <w:pPr>
        <w:jc w:val="both"/>
        <w:ind w:right="180" w:firstLine="1248"/>
        <w:spacing w:after="0" w:line="227" w:lineRule="auto"/>
        <w:tabs>
          <w:tab w:leader="none" w:pos="2007"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Assignment</w:t>
      </w:r>
      <w:r>
        <w:rPr>
          <w:rFonts w:ascii="Times New Roman" w:cs="Times New Roman" w:eastAsia="Times New Roman" w:hAnsi="Times New Roman"/>
          <w:sz w:val="19"/>
          <w:szCs w:val="19"/>
          <w:color w:val="auto"/>
        </w:rPr>
        <w:t>. (a) This Agreement is personal to Executive and without the prior written consent of the Company shall not be assignable by Executive, except for the assignment by will or the laws of descent and distribution of any accrued pecuniary interest of Executive, and any assignment in violation of this Agreement shall be void. The Company may only assign this Agreement, and its rights and obligations hereunder, in accordance with the terms of Section 14(b).</w:t>
      </w:r>
    </w:p>
    <w:p>
      <w:pPr>
        <w:spacing w:after="0" w:line="195" w:lineRule="exact"/>
        <w:rPr>
          <w:sz w:val="20"/>
          <w:szCs w:val="20"/>
          <w:color w:val="auto"/>
        </w:rPr>
      </w:pPr>
    </w:p>
    <w:p>
      <w:pPr>
        <w:jc w:val="both"/>
        <w:ind w:right="40" w:firstLine="1248"/>
        <w:spacing w:after="0" w:line="219" w:lineRule="auto"/>
        <w:tabs>
          <w:tab w:leader="none" w:pos="2004"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Agreement shall be binding on, and shall inure to the benefit of, the parties to it and their respective heirs, legal representatives, successors and permitted assigns (including, without limitation, successors by merger, consolidation, sale or similar transaction, and, in the event of</w:t>
      </w:r>
    </w:p>
    <w:p>
      <w:pPr>
        <w:spacing w:after="0" w:line="208"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Executive’s death or Disability, Executive’s estate, successors, heirs and assigns in the case of any payments due to Executive hereunder). 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w:t>
      </w:r>
    </w:p>
    <w:p>
      <w:pPr>
        <w:spacing w:after="0" w:line="2" w:lineRule="exact"/>
        <w:rPr>
          <w:rFonts w:ascii="Times New Roman" w:cs="Times New Roman" w:eastAsia="Times New Roman" w:hAnsi="Times New Roman"/>
          <w:sz w:val="19"/>
          <w:szCs w:val="19"/>
          <w:color w:val="auto"/>
        </w:rPr>
      </w:pPr>
    </w:p>
    <w:p>
      <w:pPr>
        <w:ind w:right="40"/>
        <w:spacing w:after="0" w:line="22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place. “Company” means the Company as hereinbefore defined and any successor to its business and/or assets as aforesaid that assumes and agrees to perform this Agreement by operation of law or otherwise. Following a Change in Control, if the Company is not the ultimate parent corporation and the Company’s common stock is not publicly traded, the “Board of Directors” or “Board” as used in this Agreement shall refer to the board of directors of the ultimate parent of the Company.</w:t>
      </w:r>
    </w:p>
    <w:p>
      <w:pPr>
        <w:spacing w:after="0" w:line="194" w:lineRule="exact"/>
        <w:rPr>
          <w:rFonts w:ascii="Times New Roman" w:cs="Times New Roman" w:eastAsia="Times New Roman" w:hAnsi="Times New Roman"/>
          <w:sz w:val="19"/>
          <w:szCs w:val="19"/>
          <w:color w:val="auto"/>
        </w:rPr>
      </w:pPr>
    </w:p>
    <w:p>
      <w:pPr>
        <w:ind w:right="100" w:firstLine="1248"/>
        <w:spacing w:after="0" w:line="231" w:lineRule="auto"/>
        <w:tabs>
          <w:tab w:leader="none" w:pos="2006"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acknowledges and agrees that all of Executive’s covenants and obligations to the Company, as well as the rights of the Company hereunder, shall run in favor of and shall be enforceable by the Company and its successors and assigns.</w:t>
      </w:r>
    </w:p>
    <w:p>
      <w:pPr>
        <w:spacing w:after="0" w:line="181" w:lineRule="exact"/>
        <w:rPr>
          <w:sz w:val="20"/>
          <w:szCs w:val="20"/>
          <w:color w:val="auto"/>
        </w:rPr>
      </w:pPr>
    </w:p>
    <w:p>
      <w:pPr>
        <w:ind w:right="180" w:firstLine="1248"/>
        <w:spacing w:after="0" w:line="222" w:lineRule="auto"/>
        <w:tabs>
          <w:tab w:leader="none" w:pos="2007"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 No Construction Against Drafter</w:t>
      </w:r>
      <w:r>
        <w:rPr>
          <w:rFonts w:ascii="Times New Roman" w:cs="Times New Roman" w:eastAsia="Times New Roman" w:hAnsi="Times New Roman"/>
          <w:sz w:val="19"/>
          <w:szCs w:val="19"/>
          <w:color w:val="auto"/>
        </w:rPr>
        <w:t>. This Agreement shall be deemed to be made in the State of New York, and the validity, interpretation, construction, and performance of this Agreement in all respects shall be governed by the laws of the State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pacing w:after="0" w:line="181" w:lineRule="exact"/>
        <w:rPr>
          <w:rFonts w:ascii="Times New Roman" w:cs="Times New Roman" w:eastAsia="Times New Roman" w:hAnsi="Times New Roman"/>
          <w:sz w:val="19"/>
          <w:szCs w:val="19"/>
          <w:color w:val="auto"/>
        </w:rPr>
      </w:pPr>
    </w:p>
    <w:p>
      <w:pPr>
        <w:ind w:right="60" w:firstLine="1248"/>
        <w:spacing w:after="0" w:line="219" w:lineRule="auto"/>
        <w:tabs>
          <w:tab w:leader="none" w:pos="2007"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 to Jurisdiction; Waiver of Jury Trial</w:t>
      </w:r>
      <w:r>
        <w:rPr>
          <w:rFonts w:ascii="Times New Roman" w:cs="Times New Roman" w:eastAsia="Times New Roman" w:hAnsi="Times New Roman"/>
          <w:sz w:val="19"/>
          <w:szCs w:val="19"/>
          <w:color w:val="auto"/>
        </w:rPr>
        <w:t xml:space="preserve">. (a) Except as otherwise specifically provided herein, Executive and the Company each hereby irrevocably submits to the exclusive jurisdiction of the federal courts located within the Borough of Manhattan (or, if subject matter jurisdiction in such courts are not available, in any state court located within the Borough of Manhattan) over any dispute arising out of or relating to this Agreement. Except as otherwise specifically provided in this Agreement, the parties undertake not to commence any suit, action or proceeding arising out of or relating to this Agreement in a forum other than a forum described in this Section 16(a);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nothing herein shall preclude either party from bringing any suit, action or proceeding in any other court for the purpose of enforcing the provisions of this Section 16 or enforcing any judgment obtained by either party.</w:t>
      </w:r>
    </w:p>
    <w:p>
      <w:pPr>
        <w:sectPr>
          <w:pgSz w:w="11900" w:h="16838" w:orient="portrait"/>
          <w:cols w:equalWidth="0" w:num="1">
            <w:col w:w="10160"/>
          </w:cols>
          <w:pgMar w:left="840" w:top="1440" w:right="899" w:bottom="1440" w:gutter="0" w:footer="0" w:header="0"/>
        </w:sectPr>
      </w:pPr>
    </w:p>
    <w:bookmarkStart w:id="93" w:name="page94"/>
    <w:bookmarkEnd w:id="93"/>
    <w:p>
      <w:pPr>
        <w:spacing w:after="0" w:line="144" w:lineRule="exact"/>
        <w:rPr>
          <w:sz w:val="20"/>
          <w:szCs w:val="20"/>
          <w:color w:val="auto"/>
        </w:rPr>
      </w:pPr>
    </w:p>
    <w:p>
      <w:pPr>
        <w:ind w:left="-600" w:firstLine="1248"/>
        <w:spacing w:after="0" w:line="219" w:lineRule="auto"/>
        <w:tabs>
          <w:tab w:leader="none" w:pos="1404"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agreement of the parties to the forum described in Section 16(a) is independent of the law that may be applied in any suit, action, or proceeding and the parties agree to such forum even if such forum may under applicable law choose to apply non-forum law. The parties hereby waive, to the fullest extent permitted by applicable law, any objection which they now or hereafter have to personal jurisdiction or to the laying of venue of any such suit, action or proceeding brought in an applicable court described in Section 16(a), and the parties agree that they shall not attempt to deny or defeat such personal jurisdiction by motion or other request for leave from any such court. The parties agree that, to the fullest extent permitted by applicable law, a final and non-appealable judgment in any suit, action or proceeding brought in any applicable court described in Section 16(a) shall be conclusive and binding upon the parties and may be enforced in any other jurisdiction.</w:t>
      </w:r>
    </w:p>
    <w:p>
      <w:pPr>
        <w:spacing w:after="0" w:line="186" w:lineRule="exact"/>
        <w:rPr>
          <w:rFonts w:ascii="Times New Roman" w:cs="Times New Roman" w:eastAsia="Times New Roman" w:hAnsi="Times New Roman"/>
          <w:sz w:val="19"/>
          <w:szCs w:val="19"/>
          <w:color w:val="auto"/>
        </w:rPr>
      </w:pPr>
    </w:p>
    <w:p>
      <w:pPr>
        <w:ind w:left="-600" w:right="20" w:firstLine="1248"/>
        <w:spacing w:after="0" w:line="231" w:lineRule="auto"/>
        <w:tabs>
          <w:tab w:leader="none" w:pos="1406"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parties hereto irrevocably consent to the service of any and all process in any suit, action or proceeding arising out of or relating to this Agreement by the mailing of copies of such process to such party at such party’s address specified in Section 20.</w:t>
      </w:r>
    </w:p>
    <w:p>
      <w:pPr>
        <w:spacing w:after="0" w:line="194" w:lineRule="exact"/>
        <w:rPr>
          <w:rFonts w:ascii="Times New Roman" w:cs="Times New Roman" w:eastAsia="Times New Roman" w:hAnsi="Times New Roman"/>
          <w:sz w:val="19"/>
          <w:szCs w:val="19"/>
          <w:color w:val="auto"/>
        </w:rPr>
      </w:pPr>
    </w:p>
    <w:p>
      <w:pPr>
        <w:ind w:left="-600" w:right="180" w:firstLine="1248"/>
        <w:spacing w:after="0" w:line="221" w:lineRule="auto"/>
        <w:tabs>
          <w:tab w:leader="none" w:pos="1404"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hereto hereby waives, to the fullest extent permitted by applicable law, any right it may have to a trial by jury in respect of any suit, action or proceeding arising out of or relating to this Agreement. Each party hereto (i) certifies that no representative, agent or attorney of any other party has represented, expressly or otherwise, that such party would not, in the event of any action, suit or proceeding, seek to enforce the foregoing waiver, and (ii) acknowledges that it and the other party hereto has been induced to enter into this Agreement by, among other things, the mutual waiver and certifications in this Section 16(d).</w:t>
      </w:r>
    </w:p>
    <w:p>
      <w:pPr>
        <w:spacing w:after="0" w:line="181" w:lineRule="exact"/>
        <w:rPr>
          <w:rFonts w:ascii="Times New Roman" w:cs="Times New Roman" w:eastAsia="Times New Roman" w:hAnsi="Times New Roman"/>
          <w:sz w:val="19"/>
          <w:szCs w:val="19"/>
          <w:color w:val="auto"/>
        </w:rPr>
      </w:pPr>
    </w:p>
    <w:p>
      <w:pPr>
        <w:ind w:left="-600" w:right="180" w:firstLine="1248"/>
        <w:spacing w:after="0" w:line="219" w:lineRule="auto"/>
        <w:tabs>
          <w:tab w:leader="none" w:pos="1406"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party shall bear its own costs and expenses (including reasonable attorneys’ fees and expenses) incurred in connection with any dispute arising out of or relating to this Agreement, except as provided in the following sentence. The Company agrees to pay as incurred (within ten (10) days following the Company’s receipt of an invoice from Executive), to the fullest extent permitted by law, all legal fees and expenses that Executive may reasonably incur as a result of any contest (regardless of the outcome thereof) by the Company, Executive or others of the validity or enforceability of, or liability under, any provision of this Agreement or any guarantee of performance thereof (including as a result of any contest by Executive about the amount of any payment pursuant to this Agreement) that arises in connection with or following a Change in Control, plus, in each case, interest on any delayed payment at the applicable federal rate provided for in Section 7872(f)(2)(A) of the Code (“</w:t>
      </w:r>
      <w:r>
        <w:rPr>
          <w:rFonts w:ascii="Times New Roman" w:cs="Times New Roman" w:eastAsia="Times New Roman" w:hAnsi="Times New Roman"/>
          <w:sz w:val="19"/>
          <w:szCs w:val="19"/>
          <w:u w:val="single" w:color="auto"/>
          <w:color w:val="auto"/>
        </w:rPr>
        <w:t>Interest</w:t>
      </w:r>
      <w:r>
        <w:rPr>
          <w:rFonts w:ascii="Times New Roman" w:cs="Times New Roman" w:eastAsia="Times New Roman" w:hAnsi="Times New Roman"/>
          <w:sz w:val="19"/>
          <w:szCs w:val="19"/>
          <w:color w:val="auto"/>
        </w:rPr>
        <w:t>”), based on the applicable rate on the date such legal fees and expenses were incurred.</w:t>
      </w:r>
    </w:p>
    <w:p>
      <w:pPr>
        <w:spacing w:after="0" w:line="171" w:lineRule="exact"/>
        <w:rPr>
          <w:sz w:val="20"/>
          <w:szCs w:val="20"/>
          <w:color w:val="auto"/>
        </w:rPr>
      </w:pPr>
    </w:p>
    <w:p>
      <w:pPr>
        <w:ind w:left="-600" w:right="40" w:firstLine="1248"/>
        <w:spacing w:after="0" w:line="220" w:lineRule="auto"/>
        <w:tabs>
          <w:tab w:leader="none" w:pos="1407"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 No Waiver; Severability</w:t>
      </w:r>
      <w:r>
        <w:rPr>
          <w:rFonts w:ascii="Times New Roman" w:cs="Times New Roman" w:eastAsia="Times New Roman" w:hAnsi="Times New Roman"/>
          <w:sz w:val="19"/>
          <w:szCs w:val="19"/>
          <w:color w:val="auto"/>
        </w:rPr>
        <w:t>. (a) No provisions of this Agreement may be amended, modified, waived or discharged except by a written document signed by Executive and a duly authorized officer of the Company (other than Executive). The failure of a party to insist upon strict adherence to any term of this Agreement on any occasion shall not be 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pacing w:after="0" w:line="183" w:lineRule="exact"/>
        <w:rPr>
          <w:sz w:val="20"/>
          <w:szCs w:val="20"/>
          <w:color w:val="auto"/>
        </w:rPr>
      </w:pPr>
    </w:p>
    <w:p>
      <w:pPr>
        <w:ind w:left="-600" w:right="100" w:firstLine="1248"/>
        <w:spacing w:after="0" w:line="224" w:lineRule="auto"/>
        <w:tabs>
          <w:tab w:leader="none" w:pos="1072"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to any party;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in the event that any court of competent jurisdiction shall finally hold in a non- appealable judicial determination that any provision of Section 7, 8 or 9 (whether in whole or in part) is</w:t>
      </w:r>
    </w:p>
    <w:p>
      <w:pPr>
        <w:sectPr>
          <w:pgSz w:w="11900" w:h="16838" w:orient="portrait"/>
          <w:cols w:equalWidth="0" w:num="1">
            <w:col w:w="9560"/>
          </w:cols>
          <w:pgMar w:left="1440" w:top="1440" w:right="899" w:bottom="1440" w:gutter="0" w:footer="0" w:header="0"/>
        </w:sectPr>
      </w:pPr>
    </w:p>
    <w:bookmarkStart w:id="94" w:name="page95"/>
    <w:bookmarkEnd w:id="94"/>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void or constitutes an unreasonable restriction against Executive, such provision shall not be rendered void but shall be deemed to</w:t>
      </w:r>
    </w:p>
    <w:p>
      <w:pPr>
        <w:ind w:right="80"/>
        <w:spacing w:after="0" w:line="208" w:lineRule="auto"/>
        <w:rPr>
          <w:sz w:val="20"/>
          <w:szCs w:val="20"/>
          <w:color w:val="auto"/>
        </w:rPr>
      </w:pPr>
      <w:r>
        <w:rPr>
          <w:rFonts w:ascii="Times New Roman" w:cs="Times New Roman" w:eastAsia="Times New Roman" w:hAnsi="Times New Roman"/>
          <w:sz w:val="19"/>
          <w:szCs w:val="19"/>
          <w:color w:val="auto"/>
        </w:rPr>
        <w:t>be modified to the minimum extent necessary to make such provision enforceable for the longest duration and the greatest scope as such court may determine constitutes a reasonable restriction under the circumstances. Subject to the foregoing, upon such</w:t>
      </w:r>
    </w:p>
    <w:p>
      <w:pPr>
        <w:spacing w:after="0" w:line="217" w:lineRule="auto"/>
        <w:rPr>
          <w:sz w:val="20"/>
          <w:szCs w:val="20"/>
          <w:color w:val="auto"/>
        </w:rPr>
      </w:pPr>
      <w:r>
        <w:rPr>
          <w:rFonts w:ascii="Times New Roman" w:cs="Times New Roman" w:eastAsia="Times New Roman" w:hAnsi="Times New Roman"/>
          <w:sz w:val="19"/>
          <w:szCs w:val="19"/>
          <w:color w:val="auto"/>
        </w:rPr>
        <w:t>determination that any term or other provision is invalid, illegal or incapable of being enforced, the parties hereto shall negotiate in</w:t>
      </w:r>
    </w:p>
    <w:p>
      <w:pPr>
        <w:spacing w:after="0" w:line="226" w:lineRule="auto"/>
        <w:rPr>
          <w:sz w:val="20"/>
          <w:szCs w:val="20"/>
          <w:color w:val="auto"/>
        </w:rPr>
      </w:pPr>
      <w:r>
        <w:rPr>
          <w:rFonts w:ascii="Times New Roman" w:cs="Times New Roman" w:eastAsia="Times New Roman" w:hAnsi="Times New Roman"/>
          <w:sz w:val="19"/>
          <w:szCs w:val="19"/>
          <w:color w:val="auto"/>
        </w:rPr>
        <w:t>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95" w:lineRule="exact"/>
        <w:rPr>
          <w:sz w:val="20"/>
          <w:szCs w:val="20"/>
          <w:color w:val="auto"/>
        </w:rPr>
      </w:pPr>
    </w:p>
    <w:p>
      <w:pPr>
        <w:ind w:right="80" w:firstLine="1248"/>
        <w:spacing w:after="0" w:line="222" w:lineRule="auto"/>
        <w:tabs>
          <w:tab w:leader="none" w:pos="200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This Agreement constitutes the entire agreement and understanding between the Company and Executive with respect to the subject matter hereof and supersedes all prior agreements and understandings (whether written or oral), between Executive and the Company, relating to such subject matter. None of the parties shall be liable or bound to any other party in any manner by any representations and warranties or covenants relating to such subject matter except as specifically set forth herein.</w:t>
      </w:r>
    </w:p>
    <w:p>
      <w:pPr>
        <w:spacing w:after="0" w:line="181" w:lineRule="exact"/>
        <w:rPr>
          <w:rFonts w:ascii="Times New Roman" w:cs="Times New Roman" w:eastAsia="Times New Roman" w:hAnsi="Times New Roman"/>
          <w:sz w:val="19"/>
          <w:szCs w:val="19"/>
          <w:color w:val="auto"/>
        </w:rPr>
      </w:pPr>
    </w:p>
    <w:p>
      <w:pPr>
        <w:ind w:right="220" w:firstLine="1248"/>
        <w:spacing w:after="0" w:line="227" w:lineRule="auto"/>
        <w:tabs>
          <w:tab w:leader="none" w:pos="200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Survival</w:t>
      </w:r>
      <w:r>
        <w:rPr>
          <w:rFonts w:ascii="Times New Roman" w:cs="Times New Roman" w:eastAsia="Times New Roman" w:hAnsi="Times New Roman"/>
          <w:sz w:val="19"/>
          <w:szCs w:val="19"/>
          <w:color w:val="auto"/>
        </w:rPr>
        <w:t>. The rights and obligations of the parties under the provisions of this Agreement shall survive, and remain binding and enforceable, 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spacing w:after="0" w:line="182" w:lineRule="exact"/>
        <w:rPr>
          <w:rFonts w:ascii="Times New Roman" w:cs="Times New Roman" w:eastAsia="Times New Roman" w:hAnsi="Times New Roman"/>
          <w:sz w:val="19"/>
          <w:szCs w:val="19"/>
          <w:color w:val="auto"/>
        </w:rPr>
      </w:pPr>
    </w:p>
    <w:p>
      <w:pPr>
        <w:ind w:right="80" w:firstLine="1248"/>
        <w:spacing w:after="0" w:line="224" w:lineRule="auto"/>
        <w:tabs>
          <w:tab w:leader="none" w:pos="2007"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or other communications required or permitted to be given hereunder shall be in writing and shall be delivered by hand or sent by facsimile or sent, postage prepaid, by registered, certified or express mail or overnight courier service and shall be deemed given when so delivered by hand or facsimile, or if mailed, three days after mailing (one (1) business day in the case of express mail or overnight courier service) to the parties at the following addresses or facsimiles (or at such other address for a party as shall be specified by like notice):</w:t>
      </w:r>
    </w:p>
    <w:p>
      <w:pPr>
        <w:spacing w:after="0" w:line="180" w:lineRule="exact"/>
        <w:rPr>
          <w:sz w:val="20"/>
          <w:szCs w:val="20"/>
          <w:color w:val="auto"/>
        </w:rPr>
      </w:pPr>
    </w:p>
    <w:p>
      <w:pPr>
        <w:ind w:left="660"/>
        <w:spacing w:after="0"/>
        <w:tabs>
          <w:tab w:leader="none" w:pos="2280" w:val="left"/>
        </w:tabs>
        <w:rPr>
          <w:sz w:val="20"/>
          <w:szCs w:val="20"/>
          <w:color w:val="auto"/>
        </w:rPr>
      </w:pPr>
      <w:r>
        <w:rPr>
          <w:rFonts w:ascii="Times New Roman" w:cs="Times New Roman" w:eastAsia="Times New Roman" w:hAnsi="Times New Roman"/>
          <w:sz w:val="19"/>
          <w:szCs w:val="19"/>
          <w:color w:val="auto"/>
        </w:rPr>
        <w:t>If to the Company:</w:t>
      </w:r>
      <w:r>
        <w:rPr>
          <w:sz w:val="20"/>
          <w:szCs w:val="20"/>
          <w:color w:val="auto"/>
        </w:rPr>
        <w:tab/>
      </w:r>
      <w:r>
        <w:rPr>
          <w:rFonts w:ascii="Times New Roman" w:cs="Times New Roman" w:eastAsia="Times New Roman" w:hAnsi="Times New Roman"/>
          <w:sz w:val="18"/>
          <w:szCs w:val="18"/>
          <w:color w:val="auto"/>
        </w:rPr>
        <w:t>Virtu Financial, Inc.</w:t>
      </w:r>
    </w:p>
    <w:p>
      <w:pPr>
        <w:ind w:left="4000"/>
        <w:spacing w:after="0" w:line="183" w:lineRule="auto"/>
        <w:rPr>
          <w:sz w:val="20"/>
          <w:szCs w:val="20"/>
          <w:color w:val="auto"/>
        </w:rPr>
      </w:pPr>
      <w:r>
        <w:rPr>
          <w:rFonts w:ascii="Times New Roman" w:cs="Times New Roman" w:eastAsia="Times New Roman" w:hAnsi="Times New Roman"/>
          <w:sz w:val="18"/>
          <w:szCs w:val="18"/>
          <w:color w:val="auto"/>
        </w:rPr>
        <w:t>1633 Broadway, 41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Floor New York, NY 10019</w:t>
      </w:r>
    </w:p>
    <w:p>
      <w:pPr>
        <w:ind w:left="4000"/>
        <w:spacing w:after="0" w:line="216" w:lineRule="auto"/>
        <w:rPr>
          <w:sz w:val="20"/>
          <w:szCs w:val="20"/>
          <w:color w:val="auto"/>
        </w:rPr>
      </w:pPr>
      <w:r>
        <w:rPr>
          <w:rFonts w:ascii="Times New Roman" w:cs="Times New Roman" w:eastAsia="Times New Roman" w:hAnsi="Times New Roman"/>
          <w:sz w:val="19"/>
          <w:szCs w:val="19"/>
          <w:color w:val="auto"/>
        </w:rPr>
        <w:t>Attn: Legal Department Fax: (212) 418-0010</w:t>
      </w:r>
    </w:p>
    <w:p>
      <w:pPr>
        <w:ind w:left="4000"/>
        <w:spacing w:after="0"/>
        <w:rPr>
          <w:sz w:val="20"/>
          <w:szCs w:val="20"/>
          <w:color w:val="auto"/>
        </w:rPr>
      </w:pPr>
      <w:r>
        <w:rPr>
          <w:rFonts w:ascii="Times New Roman" w:cs="Times New Roman" w:eastAsia="Times New Roman" w:hAnsi="Times New Roman"/>
          <w:sz w:val="19"/>
          <w:szCs w:val="19"/>
          <w:color w:val="auto"/>
        </w:rPr>
        <w:t>E-mail: Legal@virtu.com</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With a copy (which shall not</w:t>
      </w:r>
    </w:p>
    <w:p>
      <w:pPr>
        <w:spacing w:after="0" w:line="13" w:lineRule="exact"/>
        <w:rPr>
          <w:sz w:val="20"/>
          <w:szCs w:val="20"/>
          <w:color w:val="auto"/>
        </w:rPr>
      </w:pPr>
    </w:p>
    <w:p>
      <w:pPr>
        <w:ind w:left="2420" w:right="1720" w:hanging="3332"/>
        <w:spacing w:after="0" w:line="215" w:lineRule="auto"/>
        <w:tabs>
          <w:tab w:leader="none" w:pos="2400" w:val="left"/>
        </w:tabs>
        <w:rPr>
          <w:sz w:val="20"/>
          <w:szCs w:val="20"/>
          <w:color w:val="auto"/>
        </w:rPr>
      </w:pPr>
      <w:r>
        <w:rPr>
          <w:rFonts w:ascii="Times New Roman" w:cs="Times New Roman" w:eastAsia="Times New Roman" w:hAnsi="Times New Roman"/>
          <w:sz w:val="19"/>
          <w:szCs w:val="19"/>
          <w:color w:val="auto"/>
        </w:rPr>
        <w:t>constitute notice) to:</w:t>
        <w:tab/>
        <w:t>Paul, Weiss, Rifkind, Wharton &amp; Garrison LLP 1285 Avenue of the Americas New York, NY 10019-6064</w:t>
      </w:r>
    </w:p>
    <w:p>
      <w:pPr>
        <w:ind w:left="4000"/>
        <w:spacing w:after="0" w:line="231" w:lineRule="auto"/>
        <w:rPr>
          <w:sz w:val="20"/>
          <w:szCs w:val="20"/>
          <w:color w:val="auto"/>
        </w:rPr>
      </w:pPr>
      <w:r>
        <w:rPr>
          <w:rFonts w:ascii="Times New Roman" w:cs="Times New Roman" w:eastAsia="Times New Roman" w:hAnsi="Times New Roman"/>
          <w:sz w:val="19"/>
          <w:szCs w:val="19"/>
          <w:color w:val="auto"/>
        </w:rPr>
        <w:t>Telephone: (212) 373-3000</w:t>
      </w:r>
    </w:p>
    <w:p>
      <w:pPr>
        <w:ind w:left="4000"/>
        <w:spacing w:after="0" w:line="216" w:lineRule="auto"/>
        <w:rPr>
          <w:sz w:val="20"/>
          <w:szCs w:val="20"/>
          <w:color w:val="auto"/>
        </w:rPr>
      </w:pPr>
      <w:r>
        <w:rPr>
          <w:rFonts w:ascii="Times New Roman" w:cs="Times New Roman" w:eastAsia="Times New Roman" w:hAnsi="Times New Roman"/>
          <w:sz w:val="19"/>
          <w:szCs w:val="19"/>
          <w:color w:val="auto"/>
        </w:rPr>
        <w:t>Facsimile: (212) 757-3990 Attention: John C. Kennedy</w:t>
      </w:r>
    </w:p>
    <w:p>
      <w:pPr>
        <w:spacing w:after="0" w:line="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color w:val="auto"/>
        </w:rPr>
        <w:t>Jeffrey D. Marell</w:t>
      </w:r>
    </w:p>
    <w:p>
      <w:pPr>
        <w:spacing w:after="0" w:line="179" w:lineRule="exact"/>
        <w:rPr>
          <w:sz w:val="20"/>
          <w:szCs w:val="20"/>
          <w:color w:val="auto"/>
        </w:rPr>
      </w:pPr>
    </w:p>
    <w:p>
      <w:pPr>
        <w:ind w:left="620"/>
        <w:spacing w:after="0"/>
        <w:tabs>
          <w:tab w:leader="none" w:pos="1980" w:val="left"/>
        </w:tabs>
        <w:rPr>
          <w:sz w:val="20"/>
          <w:szCs w:val="20"/>
          <w:color w:val="auto"/>
        </w:rPr>
      </w:pPr>
      <w:r>
        <w:rPr>
          <w:rFonts w:ascii="Times New Roman" w:cs="Times New Roman" w:eastAsia="Times New Roman" w:hAnsi="Times New Roman"/>
          <w:sz w:val="19"/>
          <w:szCs w:val="19"/>
          <w:color w:val="auto"/>
        </w:rPr>
        <w:t>If to Executive:</w:t>
        <w:tab/>
        <w:t>At the most recent address on file in the Company’s records</w:t>
      </w:r>
    </w:p>
    <w:p>
      <w:pPr>
        <w:spacing w:after="0" w:line="22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9"/>
          <w:szCs w:val="19"/>
          <w:color w:val="auto"/>
        </w:rPr>
        <w:t>Notices delivered by facsimile shall have the same legal effect as if such notice had been delivered in person.</w:t>
      </w:r>
    </w:p>
    <w:p>
      <w:pPr>
        <w:sectPr>
          <w:pgSz w:w="11900" w:h="16838" w:orient="portrait"/>
          <w:cols w:equalWidth="0" w:num="1">
            <w:col w:w="10140"/>
          </w:cols>
          <w:pgMar w:left="840" w:top="1440" w:right="919" w:bottom="1440" w:gutter="0" w:footer="0" w:header="0"/>
        </w:sectPr>
      </w:pPr>
    </w:p>
    <w:bookmarkStart w:id="95" w:name="page96"/>
    <w:bookmarkEnd w:id="95"/>
    <w:p>
      <w:pPr>
        <w:spacing w:after="0" w:line="144" w:lineRule="exact"/>
        <w:rPr>
          <w:sz w:val="20"/>
          <w:szCs w:val="20"/>
          <w:color w:val="auto"/>
        </w:rPr>
      </w:pPr>
    </w:p>
    <w:p>
      <w:pPr>
        <w:jc w:val="both"/>
        <w:ind w:left="9" w:right="120" w:firstLine="1248"/>
        <w:spacing w:after="0" w:line="231" w:lineRule="auto"/>
        <w:tabs>
          <w:tab w:leader="none" w:pos="2016"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 and References</w:t>
      </w:r>
      <w:r>
        <w:rPr>
          <w:rFonts w:ascii="Times New Roman" w:cs="Times New Roman" w:eastAsia="Times New Roman" w:hAnsi="Times New Roman"/>
          <w:sz w:val="19"/>
          <w:szCs w:val="19"/>
          <w:color w:val="auto"/>
        </w:rPr>
        <w:t>. The headings of this Agreement are inserted for convenience only and neither constitute a part of this Agreement nor affect in any way the meaning or interpretation of this Agreement. When a reference in this Agreement is made to a Section, such reference shall be to a Section of this Agreement unless otherwise indicated.</w:t>
      </w:r>
    </w:p>
    <w:p>
      <w:pPr>
        <w:spacing w:after="0" w:line="194" w:lineRule="exact"/>
        <w:rPr>
          <w:rFonts w:ascii="Times New Roman" w:cs="Times New Roman" w:eastAsia="Times New Roman" w:hAnsi="Times New Roman"/>
          <w:sz w:val="19"/>
          <w:szCs w:val="19"/>
          <w:color w:val="auto"/>
        </w:rPr>
      </w:pPr>
    </w:p>
    <w:p>
      <w:pPr>
        <w:ind w:left="9" w:right="100" w:firstLine="1248"/>
        <w:spacing w:after="0" w:line="227" w:lineRule="auto"/>
        <w:tabs>
          <w:tab w:leader="none" w:pos="2016"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one or more counterparts (including via facsimile and electronic image scan (.pdf)),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182" w:lineRule="exact"/>
        <w:rPr>
          <w:rFonts w:ascii="Times New Roman" w:cs="Times New Roman" w:eastAsia="Times New Roman" w:hAnsi="Times New Roman"/>
          <w:sz w:val="19"/>
          <w:szCs w:val="19"/>
          <w:color w:val="auto"/>
        </w:rPr>
      </w:pPr>
    </w:p>
    <w:p>
      <w:pPr>
        <w:jc w:val="both"/>
        <w:ind w:left="9" w:right="40" w:firstLine="1248"/>
        <w:spacing w:after="0" w:line="227" w:lineRule="auto"/>
        <w:tabs>
          <w:tab w:leader="none" w:pos="2016"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(a) For purposes of this Agreement,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means Section 409A of the Code, and the Treasury Regulations promulgated thereunder (and such other Treasury or Internal Revenue Service guidance) as in effect from time to time. The parties intend that any amounts payable hereunder that could constitute “deferred compensation” within the meaning of Section 409A will be compliant with Section 409A or exempt from Section 409A.</w:t>
      </w:r>
    </w:p>
    <w:p>
      <w:pPr>
        <w:spacing w:after="0" w:line="182" w:lineRule="exact"/>
        <w:rPr>
          <w:sz w:val="20"/>
          <w:szCs w:val="20"/>
          <w:color w:val="auto"/>
        </w:rPr>
      </w:pPr>
    </w:p>
    <w:p>
      <w:pPr>
        <w:ind w:left="9" w:right="180" w:firstLine="1248"/>
        <w:spacing w:after="0" w:line="218" w:lineRule="auto"/>
        <w:tabs>
          <w:tab w:leader="none" w:pos="2013"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this Agreement to the contrary, the following special rule shall apply, if and to the extent required by Section 409A, in the event that (i) Executive is deemed to be a “specified employee” within the meaning of Section 409A(a)(2)(B)(i) (as determined in accordance with the methodology established by the Company as in effect on the date of Executive’s</w:t>
      </w:r>
    </w:p>
    <w:p>
      <w:pPr>
        <w:spacing w:after="0" w:line="1" w:lineRule="exact"/>
        <w:rPr>
          <w:rFonts w:ascii="Times New Roman" w:cs="Times New Roman" w:eastAsia="Times New Roman" w:hAnsi="Times New Roman"/>
          <w:sz w:val="19"/>
          <w:szCs w:val="19"/>
          <w:color w:val="auto"/>
        </w:rPr>
      </w:pPr>
    </w:p>
    <w:p>
      <w:pPr>
        <w:ind w:left="9" w:right="100"/>
        <w:spacing w:after="0" w:line="215"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“separation from service” (within the meaning of Treasury Regulations Section 1.409A-1(h))), (ii) amounts or benefits under this Agreement or any other program, plan or arrangement of the Company or a controlled group affiliate thereof are due or payable on account of separation from service and (iii)</w:t>
      </w:r>
    </w:p>
    <w:p>
      <w:pPr>
        <w:spacing w:after="0" w:line="2" w:lineRule="exact"/>
        <w:rPr>
          <w:rFonts w:ascii="Times New Roman" w:cs="Times New Roman" w:eastAsia="Times New Roman" w:hAnsi="Times New Roman"/>
          <w:sz w:val="19"/>
          <w:szCs w:val="19"/>
          <w:color w:val="auto"/>
        </w:rPr>
      </w:pPr>
    </w:p>
    <w:p>
      <w:pPr>
        <w:ind w:left="9"/>
        <w:spacing w:after="0" w:line="23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Executive is employed by a public company or a controlled group affiliate thereof: no payments</w:t>
      </w:r>
    </w:p>
    <w:p>
      <w:pPr>
        <w:ind w:left="9" w:right="280"/>
        <w:spacing w:after="0" w:line="220"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hereunder that are “deferred compensation” subject to Section 409A shall be made to Executive prior to the date that is six (6) months after the date of Executive’s separation from service or, if earlier, ten (10) days following Executive’s date of death; following any applicable six (6)-month delay, all such delayed payments, plus Interest based on the applicable rate as of the date payment would have been made but for the Section 409A delay, will be paid in a single lump sum on the earliest permissible payment date.</w:t>
      </w:r>
    </w:p>
    <w:p>
      <w:pPr>
        <w:spacing w:after="0" w:line="181" w:lineRule="exact"/>
        <w:rPr>
          <w:rFonts w:ascii="Times New Roman" w:cs="Times New Roman" w:eastAsia="Times New Roman" w:hAnsi="Times New Roman"/>
          <w:sz w:val="19"/>
          <w:szCs w:val="19"/>
          <w:color w:val="auto"/>
        </w:rPr>
      </w:pPr>
    </w:p>
    <w:p>
      <w:pPr>
        <w:ind w:left="9" w:right="80" w:firstLine="1248"/>
        <w:spacing w:after="0" w:line="220" w:lineRule="auto"/>
        <w:tabs>
          <w:tab w:leader="none" w:pos="2015"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payment or benefit due or payable on account of Executive’s separation from service that represents a “deferral of compensation” within the meaning of Section 409A shall commence to be paid or provided to Executive sixty-one</w:t>
      </w:r>
    </w:p>
    <w:p>
      <w:pPr>
        <w:spacing w:after="0" w:line="1" w:lineRule="exact"/>
        <w:rPr>
          <w:rFonts w:ascii="Times New Roman" w:cs="Times New Roman" w:eastAsia="Times New Roman" w:hAnsi="Times New Roman"/>
          <w:sz w:val="19"/>
          <w:szCs w:val="19"/>
          <w:color w:val="auto"/>
        </w:rPr>
      </w:pPr>
    </w:p>
    <w:p>
      <w:pPr>
        <w:ind w:left="9" w:hanging="9"/>
        <w:spacing w:after="0" w:line="214" w:lineRule="auto"/>
        <w:tabs>
          <w:tab w:leader="none" w:pos="377"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days following Executive’s separation from service;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Executive executes, if required by Section 5(e), the Release described therein, within sixty (60) days following his “separation from service.” Each payment made under this Agreement (including each separate installment payment in the case of a series of installment payments) shall be deemed to be a separate payment for purposes of Section 409A. Amounts payable under this Agreement shall be deemed not to be a “deferral of compensation” subject to Section 409A to the extent provided in the exceptions in Treasury Regulations §§ 1.409A-1(b)(4) (“short-term deferrals”) and (b)(9) (“separation pay plans,” including the exception under subparagraph (iii)) and other applicable provisions of Section 409A, and shall be paid under any such exception to the maximum extent permitted. For purposes of this Agreement, with respect to payments of any amounts that are considered to be “deferred compensation” subject to Section 409A, references to “termination of employment,” “termination,” or words and phrases of similar import, shall be deemed to refer to Executive’s “separation from service” as defined in Section 409A, and shall be interpreted and applied in a manner that is consistent with the requirements of Section 409A. In no event may Executive, directly or indirectly, designate the calendar year of any payment under this Agreement.</w:t>
      </w:r>
    </w:p>
    <w:p>
      <w:pPr>
        <w:spacing w:after="0" w:line="194" w:lineRule="exact"/>
        <w:rPr>
          <w:rFonts w:ascii="Times New Roman" w:cs="Times New Roman" w:eastAsia="Times New Roman" w:hAnsi="Times New Roman"/>
          <w:sz w:val="19"/>
          <w:szCs w:val="19"/>
          <w:color w:val="auto"/>
        </w:rPr>
      </w:pPr>
    </w:p>
    <w:p>
      <w:pPr>
        <w:ind w:left="9" w:right="880" w:firstLine="1248"/>
        <w:spacing w:after="0" w:line="238" w:lineRule="auto"/>
        <w:tabs>
          <w:tab w:leader="none" w:pos="2013"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in this Agreement, any payment or benefit under this Agreement or otherwise that is eligible for exemption from Section 409A pursuant to</w:t>
      </w:r>
    </w:p>
    <w:p>
      <w:pPr>
        <w:sectPr>
          <w:pgSz w:w="11900" w:h="16838" w:orient="portrait"/>
          <w:cols w:equalWidth="0" w:num="1">
            <w:col w:w="10149"/>
          </w:cols>
          <w:pgMar w:left="831" w:top="1440" w:right="919" w:bottom="1440" w:gutter="0" w:footer="0" w:header="0"/>
        </w:sectPr>
      </w:pPr>
    </w:p>
    <w:bookmarkStart w:id="96" w:name="page97"/>
    <w:bookmarkEnd w:id="96"/>
    <w:p>
      <w:pPr>
        <w:spacing w:after="0" w:line="14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9"/>
          <w:szCs w:val="19"/>
          <w:color w:val="auto"/>
        </w:rPr>
        <w:t>Treasury Regulation § 1.409A-1(b)(9)(v)(A) or (C) (relating to certain reimbursements and in-kind benefits) shall be paid or</w:t>
      </w:r>
    </w:p>
    <w:p>
      <w:pPr>
        <w:ind w:left="9" w:right="160"/>
        <w:spacing w:after="0" w:line="208" w:lineRule="auto"/>
        <w:rPr>
          <w:sz w:val="20"/>
          <w:szCs w:val="20"/>
          <w:color w:val="auto"/>
        </w:rPr>
      </w:pPr>
      <w:r>
        <w:rPr>
          <w:rFonts w:ascii="Times New Roman" w:cs="Times New Roman" w:eastAsia="Times New Roman" w:hAnsi="Times New Roman"/>
          <w:sz w:val="19"/>
          <w:szCs w:val="19"/>
          <w:color w:val="auto"/>
        </w:rPr>
        <w:t xml:space="preserve">provided to Executive only to the extent that the expenses are not incurred, or the benefits are not provided, beyond the last day of the second calendar year following the calendar year in which Executive’s “separation from service” occurs; and </w:t>
      </w:r>
      <w:r>
        <w:rPr>
          <w:rFonts w:ascii="Times New Roman" w:cs="Times New Roman" w:eastAsia="Times New Roman" w:hAnsi="Times New Roman"/>
          <w:sz w:val="19"/>
          <w:szCs w:val="19"/>
          <w:u w:val="single" w:color="auto"/>
          <w:color w:val="auto"/>
        </w:rPr>
        <w:t>provided further</w:t>
      </w:r>
    </w:p>
    <w:p>
      <w:pPr>
        <w:ind w:left="9"/>
        <w:spacing w:after="0" w:line="217" w:lineRule="auto"/>
        <w:rPr>
          <w:sz w:val="20"/>
          <w:szCs w:val="20"/>
          <w:color w:val="auto"/>
        </w:rPr>
      </w:pPr>
      <w:r>
        <w:rPr>
          <w:rFonts w:ascii="Times New Roman" w:cs="Times New Roman" w:eastAsia="Times New Roman" w:hAnsi="Times New Roman"/>
          <w:sz w:val="19"/>
          <w:szCs w:val="19"/>
          <w:color w:val="auto"/>
        </w:rPr>
        <w:t>that such expenses are reimbursed no later than the last day of the third calendar year following the calendar year in which</w:t>
      </w:r>
    </w:p>
    <w:p>
      <w:pPr>
        <w:ind w:left="9" w:right="60"/>
        <w:spacing w:after="0" w:line="208" w:lineRule="auto"/>
        <w:rPr>
          <w:sz w:val="20"/>
          <w:szCs w:val="20"/>
          <w:color w:val="auto"/>
        </w:rPr>
      </w:pPr>
      <w:r>
        <w:rPr>
          <w:rFonts w:ascii="Times New Roman" w:cs="Times New Roman" w:eastAsia="Times New Roman" w:hAnsi="Times New Roman"/>
          <w:sz w:val="19"/>
          <w:szCs w:val="19"/>
          <w:color w:val="auto"/>
        </w:rPr>
        <w:t>Executive’s “separation from service” occurs. To the extent any indemnification payment, expense reimbursement, or the provision of any in-kind benefit is determined to be subject to Section 409A (and not exempt pursuant to the prior sentence or otherwise), the</w:t>
      </w:r>
    </w:p>
    <w:p>
      <w:pPr>
        <w:ind w:left="9"/>
        <w:spacing w:after="0" w:line="217" w:lineRule="auto"/>
        <w:rPr>
          <w:sz w:val="20"/>
          <w:szCs w:val="20"/>
          <w:color w:val="auto"/>
        </w:rPr>
      </w:pPr>
      <w:r>
        <w:rPr>
          <w:rFonts w:ascii="Times New Roman" w:cs="Times New Roman" w:eastAsia="Times New Roman" w:hAnsi="Times New Roman"/>
          <w:sz w:val="19"/>
          <w:szCs w:val="19"/>
          <w:color w:val="auto"/>
        </w:rPr>
        <w:t>amount of any such indemnification payment or expenses eligible for reimbursement, or the provision of any in-kind benefit, in one</w:t>
      </w:r>
    </w:p>
    <w:p>
      <w:pPr>
        <w:ind w:left="9" w:hanging="9"/>
        <w:spacing w:after="0"/>
        <w:tabs>
          <w:tab w:leader="none" w:pos="281"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 following the calendar year in which Executive incurred such indemnification payment or expenses, and in no event shall any right to indemnification payment or reimbursement or the provision of any in-kind benefit be subject to liquidation or exchange for another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Signature Page Follows</w:t>
      </w:r>
      <w:r>
        <w:rPr>
          <w:rFonts w:ascii="Times New Roman" w:cs="Times New Roman" w:eastAsia="Times New Roman" w:hAnsi="Times New Roman"/>
          <w:sz w:val="19"/>
          <w:szCs w:val="19"/>
          <w:color w:val="auto"/>
        </w:rPr>
        <w:t>]</w:t>
      </w:r>
    </w:p>
    <w:p>
      <w:pPr>
        <w:sectPr>
          <w:pgSz w:w="11900" w:h="16838" w:orient="portrait"/>
          <w:cols w:equalWidth="0" w:num="1">
            <w:col w:w="10149"/>
          </w:cols>
          <w:pgMar w:left="831" w:top="1440" w:right="9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9"/>
          <w:szCs w:val="19"/>
          <w:color w:val="auto"/>
        </w:rPr>
        <w:t>IN WITNESS WHEREOF, this Agreement has been duly executed by the parties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VIRTU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158750</wp:posOffset>
            </wp:positionV>
            <wp:extent cx="1563370" cy="307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63370" cy="30797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674370</wp:posOffset>
            </wp:positionV>
            <wp:extent cx="17049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04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240"/>
        <w:spacing w:after="0"/>
        <w:tabs>
          <w:tab w:leader="none" w:pos="6640" w:val="left"/>
        </w:tabs>
        <w:rPr>
          <w:sz w:val="20"/>
          <w:szCs w:val="20"/>
          <w:color w:val="auto"/>
        </w:rPr>
      </w:pPr>
      <w:r>
        <w:rPr>
          <w:rFonts w:ascii="Times New Roman" w:cs="Times New Roman" w:eastAsia="Times New Roman" w:hAnsi="Times New Roman"/>
          <w:sz w:val="19"/>
          <w:szCs w:val="19"/>
          <w:color w:val="auto"/>
        </w:rPr>
        <w:t>Name: Robert Greifeld Title:</w:t>
        <w:tab/>
        <w:t>Chairman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9"/>
          <w:szCs w:val="19"/>
          <w:color w:val="auto"/>
        </w:rPr>
        <w:t>DOUGLAS A. CIFU</w:t>
      </w:r>
    </w:p>
    <w:p>
      <w:pPr>
        <w:spacing w:after="0" w:line="51" w:lineRule="exact"/>
        <w:rPr>
          <w:sz w:val="20"/>
          <w:szCs w:val="20"/>
          <w:color w:val="auto"/>
        </w:rPr>
      </w:pPr>
    </w:p>
    <w:p>
      <w:pPr>
        <w:ind w:left="4240"/>
        <w:spacing w:after="0"/>
        <w:rPr>
          <w:sz w:val="20"/>
          <w:szCs w:val="20"/>
          <w:color w:val="auto"/>
        </w:rPr>
      </w:pPr>
      <w:r>
        <w:rPr>
          <w:rFonts w:ascii="Arial" w:cs="Arial" w:eastAsia="Arial" w:hAnsi="Arial"/>
          <w:sz w:val="36"/>
          <w:szCs w:val="36"/>
          <w:i w:val="1"/>
          <w:iCs w:val="1"/>
          <w:color w:val="auto"/>
        </w:rPr>
        <w:t>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-19685</wp:posOffset>
            </wp:positionV>
            <wp:extent cx="1831975"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31975" cy="16510"/>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13335</wp:posOffset>
            </wp:positionV>
            <wp:extent cx="18878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[Signature Page to Cifu Employment Agreement]</w:t>
      </w:r>
    </w:p>
    <w:p>
      <w:pPr>
        <w:sectPr>
          <w:pgSz w:w="11900" w:h="16838" w:orient="portrait"/>
          <w:cols w:equalWidth="0" w:num="1">
            <w:col w:w="10520"/>
          </w:cols>
          <w:pgMar w:left="360" w:top="1348" w:right="1019" w:bottom="1440" w:gutter="0" w:footer="0" w:header="0"/>
        </w:sectPr>
      </w:pPr>
    </w:p>
    <w:bookmarkStart w:id="98" w:name="page99"/>
    <w:bookmarkEnd w:id="98"/>
    <w:p>
      <w:pPr>
        <w:jc w:val="center"/>
        <w:ind w:right="-1080"/>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16"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19"/>
          <w:szCs w:val="19"/>
          <w:color w:val="auto"/>
        </w:rPr>
        <w:t>PERMITTED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[Signature Page to Cifu Employment Agreement]</w:t>
      </w:r>
    </w:p>
    <w:p>
      <w:pPr>
        <w:sectPr>
          <w:pgSz w:w="11900" w:h="16838" w:orient="portrait"/>
          <w:cols w:equalWidth="0" w:num="1">
            <w:col w:w="10099"/>
          </w:cols>
          <w:pgMar w:left="360" w:top="1346" w:right="1440" w:bottom="1440" w:gutter="0" w:footer="0" w:header="0"/>
        </w:sectPr>
      </w:pPr>
    </w:p>
    <w:bookmarkStart w:id="99" w:name="page100"/>
    <w:bookmarkEnd w:id="99"/>
    <w:p>
      <w:pPr>
        <w:spacing w:after="0" w:line="142"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9"/>
          <w:szCs w:val="19"/>
          <w:b w:val="1"/>
          <w:bCs w:val="1"/>
          <w:u w:val="single" w:color="auto"/>
          <w:color w:val="auto"/>
        </w:rPr>
        <w:t>EXHIBIT B</w:t>
      </w:r>
    </w:p>
    <w:p>
      <w:pPr>
        <w:spacing w:after="0" w:line="216"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9"/>
          <w:szCs w:val="19"/>
          <w:color w:val="auto"/>
        </w:rPr>
        <w:t>FORM OF EXECUTIVE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[Signature Page to Cifu Employment Agreement]</w:t>
      </w:r>
    </w:p>
    <w:p>
      <w:pPr>
        <w:sectPr>
          <w:pgSz w:w="11900" w:h="16838" w:orient="portrait"/>
          <w:cols w:equalWidth="0" w:num="1">
            <w:col w:w="10099"/>
          </w:cols>
          <w:pgMar w:left="360" w:top="1440" w:right="1440" w:bottom="1440" w:gutter="0" w:footer="0" w:header="0"/>
        </w:sectPr>
      </w:pPr>
    </w:p>
    <w:bookmarkStart w:id="100" w:name="page101"/>
    <w:bookmarkEnd w:id="100"/>
    <w:p>
      <w:pPr>
        <w:spacing w:after="0" w:line="142"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9"/>
          <w:szCs w:val="19"/>
          <w:b w:val="1"/>
          <w:bCs w:val="1"/>
          <w:u w:val="single" w:color="auto"/>
          <w:color w:val="auto"/>
        </w:rPr>
        <w:t>EXHIBIT C</w:t>
      </w:r>
    </w:p>
    <w:p>
      <w:pPr>
        <w:spacing w:after="0" w:line="216" w:lineRule="exact"/>
        <w:rPr>
          <w:sz w:val="20"/>
          <w:szCs w:val="20"/>
          <w:color w:val="auto"/>
        </w:rPr>
      </w:pPr>
    </w:p>
    <w:p>
      <w:pPr>
        <w:jc w:val="right"/>
        <w:ind w:right="3159"/>
        <w:spacing w:after="0"/>
        <w:rPr>
          <w:sz w:val="20"/>
          <w:szCs w:val="20"/>
          <w:color w:val="auto"/>
        </w:rPr>
      </w:pPr>
      <w:r>
        <w:rPr>
          <w:rFonts w:ascii="Times New Roman" w:cs="Times New Roman" w:eastAsia="Times New Roman" w:hAnsi="Times New Roman"/>
          <w:sz w:val="19"/>
          <w:szCs w:val="19"/>
          <w:color w:val="auto"/>
        </w:rPr>
        <w:t>FORM OF COMPANY RELEASE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[Signature Page to Cifu Employment Agreement]</w:t>
      </w:r>
    </w:p>
    <w:p>
      <w:pPr>
        <w:sectPr>
          <w:pgSz w:w="11900" w:h="16838" w:orient="portrait"/>
          <w:cols w:equalWidth="0" w:num="1">
            <w:col w:w="10099"/>
          </w:cols>
          <w:pgMar w:left="360" w:top="1440" w:right="1440" w:bottom="1440" w:gutter="0" w:footer="0" w:header="0"/>
        </w:sectPr>
      </w:pPr>
    </w:p>
    <w:bookmarkStart w:id="101" w:name="page102"/>
    <w:bookmarkEnd w:id="10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CEO 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SARBANES — 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Douglas A. Cifu, certify that:</w:t>
      </w:r>
    </w:p>
    <w:p>
      <w:pPr>
        <w:spacing w:after="0" w:line="250" w:lineRule="exact"/>
        <w:rPr>
          <w:sz w:val="20"/>
          <w:szCs w:val="20"/>
          <w:color w:val="auto"/>
        </w:rPr>
      </w:pPr>
    </w:p>
    <w:p>
      <w:pPr>
        <w:ind w:left="640" w:right="360" w:hanging="321"/>
        <w:spacing w:after="0" w:line="296" w:lineRule="auto"/>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ending June 30, 2022 of Virtu Financial, Inc. (the “registrant”) as filed with the Securities and Exchange Commission on the date hereof;</w:t>
      </w:r>
    </w:p>
    <w:p>
      <w:pPr>
        <w:spacing w:after="0" w:line="172" w:lineRule="exact"/>
        <w:rPr>
          <w:rFonts w:ascii="Times New Roman" w:cs="Times New Roman" w:eastAsia="Times New Roman" w:hAnsi="Times New Roman"/>
          <w:sz w:val="17"/>
          <w:szCs w:val="17"/>
          <w:color w:val="auto"/>
        </w:rPr>
      </w:pPr>
    </w:p>
    <w:p>
      <w:pPr>
        <w:jc w:val="both"/>
        <w:ind w:left="640" w:right="460" w:hanging="321"/>
        <w:spacing w:after="0" w:line="276" w:lineRule="auto"/>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left="640" w:right="420" w:hanging="321"/>
        <w:spacing w:after="0" w:line="296" w:lineRule="auto"/>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640" w:right="40" w:hanging="321"/>
        <w:spacing w:after="0" w:line="276" w:lineRule="auto"/>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7"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7"/>
          <w:szCs w:val="17"/>
          <w:color w:val="auto"/>
        </w:rPr>
      </w:pPr>
    </w:p>
    <w:p>
      <w:pPr>
        <w:ind w:left="1100" w:right="540" w:hanging="466"/>
        <w:spacing w:after="0" w:line="276" w:lineRule="auto"/>
        <w:tabs>
          <w:tab w:leader="none" w:pos="1094"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7"/>
          <w:szCs w:val="17"/>
          <w:color w:val="auto"/>
        </w:rPr>
      </w:pPr>
    </w:p>
    <w:p>
      <w:pPr>
        <w:jc w:val="both"/>
        <w:ind w:left="1100" w:right="700" w:hanging="466"/>
        <w:spacing w:after="0" w:line="296" w:lineRule="auto"/>
        <w:tabs>
          <w:tab w:leader="none" w:pos="1097"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4"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7"/>
          <w:szCs w:val="17"/>
          <w:color w:val="auto"/>
        </w:rPr>
      </w:pPr>
    </w:p>
    <w:p>
      <w:pPr>
        <w:ind w:left="640" w:right="340" w:hanging="321"/>
        <w:spacing w:after="0" w:line="296" w:lineRule="auto"/>
        <w:tabs>
          <w:tab w:leader="none" w:pos="6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100" w:right="140" w:hanging="466"/>
        <w:spacing w:after="0" w:line="296" w:lineRule="auto"/>
        <w:tabs>
          <w:tab w:leader="none" w:pos="1097"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1100" w:right="100" w:hanging="466"/>
        <w:spacing w:after="0" w:line="281" w:lineRule="auto"/>
        <w:tabs>
          <w:tab w:leader="none" w:pos="1094"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Date: August 2, 2022</w:t>
            </w:r>
          </w:p>
        </w:tc>
        <w:tc>
          <w:tcPr>
            <w:tcW w:w="2640" w:type="dxa"/>
            <w:vAlign w:val="bottom"/>
          </w:tcPr>
          <w:p>
            <w:pPr>
              <w:ind w:left="2040"/>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Douglas A. Cifu</w:t>
            </w:r>
          </w:p>
        </w:tc>
      </w:tr>
      <w:tr>
        <w:trPr>
          <w:trHeight w:val="211"/>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Douglas A. Cifu</w:t>
            </w:r>
          </w:p>
        </w:tc>
      </w:tr>
      <w:tr>
        <w:trPr>
          <w:trHeight w:val="228"/>
        </w:trPr>
        <w:tc>
          <w:tcPr>
            <w:tcW w:w="356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866"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CFO 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SARBANES — 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Sean Galvin, certify that:</w:t>
      </w:r>
    </w:p>
    <w:p>
      <w:pPr>
        <w:spacing w:after="0" w:line="224" w:lineRule="exact"/>
        <w:rPr>
          <w:sz w:val="20"/>
          <w:szCs w:val="20"/>
          <w:color w:val="auto"/>
        </w:rPr>
      </w:pPr>
    </w:p>
    <w:p>
      <w:pPr>
        <w:ind w:left="640" w:right="360" w:hanging="321"/>
        <w:spacing w:after="0" w:line="296"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ending June 30, 2022 of Virtu Financial, Inc. (the “registrant”) as filed with the Securities and Exchange Commission on the date hereof;</w:t>
      </w:r>
    </w:p>
    <w:p>
      <w:pPr>
        <w:spacing w:after="0" w:line="172" w:lineRule="exact"/>
        <w:rPr>
          <w:rFonts w:ascii="Times New Roman" w:cs="Times New Roman" w:eastAsia="Times New Roman" w:hAnsi="Times New Roman"/>
          <w:sz w:val="17"/>
          <w:szCs w:val="17"/>
          <w:color w:val="auto"/>
        </w:rPr>
      </w:pPr>
    </w:p>
    <w:p>
      <w:pPr>
        <w:jc w:val="both"/>
        <w:ind w:left="640" w:right="460" w:hanging="321"/>
        <w:spacing w:after="0" w:line="276"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left="640" w:right="420" w:hanging="321"/>
        <w:spacing w:after="0" w:line="296"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640" w:right="40" w:hanging="321"/>
        <w:spacing w:after="0" w:line="276"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7"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7"/>
          <w:szCs w:val="17"/>
          <w:color w:val="auto"/>
        </w:rPr>
      </w:pPr>
    </w:p>
    <w:p>
      <w:pPr>
        <w:ind w:left="1100" w:right="540" w:hanging="466"/>
        <w:spacing w:after="0" w:line="276" w:lineRule="auto"/>
        <w:tabs>
          <w:tab w:leader="none" w:pos="1094"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7"/>
          <w:szCs w:val="17"/>
          <w:color w:val="auto"/>
        </w:rPr>
      </w:pPr>
    </w:p>
    <w:p>
      <w:pPr>
        <w:jc w:val="both"/>
        <w:ind w:left="1100" w:right="700" w:hanging="466"/>
        <w:spacing w:after="0" w:line="296" w:lineRule="auto"/>
        <w:tabs>
          <w:tab w:leader="none" w:pos="1097"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4"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7"/>
          <w:szCs w:val="17"/>
          <w:color w:val="auto"/>
        </w:rPr>
      </w:pPr>
    </w:p>
    <w:p>
      <w:pPr>
        <w:ind w:left="640" w:right="340" w:hanging="321"/>
        <w:spacing w:after="0" w:line="296" w:lineRule="auto"/>
        <w:tabs>
          <w:tab w:leader="none" w:pos="6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100" w:right="140" w:hanging="466"/>
        <w:spacing w:after="0" w:line="296" w:lineRule="auto"/>
        <w:tabs>
          <w:tab w:leader="none" w:pos="1097"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1100" w:right="100" w:hanging="466"/>
        <w:spacing w:after="0" w:line="281" w:lineRule="auto"/>
        <w:tabs>
          <w:tab w:leader="none" w:pos="1094"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Date: August 2, 2022</w:t>
            </w:r>
          </w:p>
        </w:tc>
        <w:tc>
          <w:tcPr>
            <w:tcW w:w="2640" w:type="dxa"/>
            <w:vAlign w:val="bottom"/>
          </w:tcPr>
          <w:p>
            <w:pPr>
              <w:ind w:left="2060"/>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Sean P. Galvin</w:t>
            </w:r>
          </w:p>
        </w:tc>
      </w:tr>
      <w:tr>
        <w:trPr>
          <w:trHeight w:val="211"/>
        </w:trPr>
        <w:tc>
          <w:tcPr>
            <w:tcW w:w="35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Sean Galvin</w:t>
            </w:r>
          </w:p>
        </w:tc>
      </w:tr>
      <w:tr>
        <w:trPr>
          <w:trHeight w:val="228"/>
        </w:trPr>
        <w:tc>
          <w:tcPr>
            <w:tcW w:w="35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66"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6"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Virtu Financial, Inc. (the “Company”) for the period ended June 30, 2022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90" w:lineRule="exact"/>
        <w:rPr>
          <w:sz w:val="20"/>
          <w:szCs w:val="20"/>
          <w:color w:val="auto"/>
        </w:rPr>
      </w:pPr>
    </w:p>
    <w:p>
      <w:pPr>
        <w:ind w:left="1280" w:hanging="175"/>
        <w:spacing w:after="0"/>
        <w:tabs>
          <w:tab w:leader="none" w:pos="128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23" w:lineRule="exact"/>
        <w:rPr>
          <w:rFonts w:ascii="Times New Roman" w:cs="Times New Roman" w:eastAsia="Times New Roman" w:hAnsi="Times New Roman"/>
          <w:sz w:val="17"/>
          <w:szCs w:val="17"/>
          <w:color w:val="auto"/>
        </w:rPr>
      </w:pPr>
    </w:p>
    <w:p>
      <w:pPr>
        <w:ind w:left="1100" w:right="580" w:firstLine="5"/>
        <w:spacing w:after="0" w:line="296" w:lineRule="auto"/>
        <w:tabs>
          <w:tab w:leader="none" w:pos="127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20320</wp:posOffset>
            </wp:positionV>
            <wp:extent cx="34766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Douglas A. Cifu</w:t>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August 2, 2022</w:t>
      </w:r>
    </w:p>
    <w:p>
      <w:pPr>
        <w:sectPr>
          <w:pgSz w:w="11900" w:h="16838" w:orient="portrait"/>
          <w:cols w:equalWidth="0" w:num="1">
            <w:col w:w="11240"/>
          </w:cols>
          <w:pgMar w:left="320" w:top="866"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6" w:lineRule="exact"/>
        <w:rPr>
          <w:sz w:val="20"/>
          <w:szCs w:val="20"/>
          <w:color w:val="auto"/>
        </w:rPr>
      </w:pPr>
    </w:p>
    <w:p>
      <w:pPr>
        <w:jc w:val="both"/>
        <w:ind w:right="100"/>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Virtu Financial, Inc. (the “Company”) for the period ended June 30, 2022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spacing w:after="0" w:line="164" w:lineRule="exact"/>
        <w:rPr>
          <w:sz w:val="20"/>
          <w:szCs w:val="20"/>
          <w:color w:val="auto"/>
        </w:rPr>
      </w:pPr>
    </w:p>
    <w:p>
      <w:pPr>
        <w:ind w:left="1280" w:hanging="175"/>
        <w:spacing w:after="0"/>
        <w:tabs>
          <w:tab w:leader="none" w:pos="128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23" w:lineRule="exact"/>
        <w:rPr>
          <w:rFonts w:ascii="Times New Roman" w:cs="Times New Roman" w:eastAsia="Times New Roman" w:hAnsi="Times New Roman"/>
          <w:sz w:val="17"/>
          <w:szCs w:val="17"/>
          <w:color w:val="auto"/>
        </w:rPr>
      </w:pPr>
    </w:p>
    <w:p>
      <w:pPr>
        <w:ind w:left="1100" w:right="580" w:firstLine="5"/>
        <w:spacing w:after="0" w:line="296" w:lineRule="auto"/>
        <w:tabs>
          <w:tab w:leader="none" w:pos="127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20320</wp:posOffset>
            </wp:positionV>
            <wp:extent cx="34931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9313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Sean Galvin</w:t>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August 2, 2022</w:t>
      </w: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decimal"/>
      <w:start w:val="1"/>
    </w:lvl>
  </w:abstractNum>
  <w:abstractNum w:abstractNumId="7">
    <w:nsid w:val="5072367"/>
    <w:multiLevelType w:val="hybridMultilevel"/>
    <w:lvl w:ilvl="0">
      <w:lvlJc w:val="left"/>
      <w:lvlText w:val="(%1)"/>
      <w:numFmt w:val="decimal"/>
      <w:start w:val="1"/>
    </w:lvl>
  </w:abstractNum>
  <w:abstractNum w:abstractNumId="8">
    <w:nsid w:val="3804823E"/>
    <w:multiLevelType w:val="hybridMultilevel"/>
    <w:lvl w:ilvl="0">
      <w:lvlJc w:val="left"/>
      <w:lvlText w:val="(%1)"/>
      <w:numFmt w:val="decimal"/>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1)"/>
      <w:numFmt w:val="decimal"/>
      <w:start w:val="1"/>
    </w:lvl>
  </w:abstractNum>
  <w:abstractNum w:abstractNumId="15">
    <w:nsid w:val="2D517796"/>
    <w:multiLevelType w:val="hybridMultilevel"/>
    <w:lvl w:ilvl="0">
      <w:lvlJc w:val="left"/>
      <w:lvlText w:val="(%1)"/>
      <w:numFmt w:val="decimal"/>
      <w:start w:val="3"/>
    </w:lvl>
  </w:abstractNum>
  <w:abstractNum w:abstractNumId="16">
    <w:nsid w:val="580BD78F"/>
    <w:multiLevelType w:val="hybridMultilevel"/>
    <w:lvl w:ilvl="0">
      <w:lvlJc w:val="left"/>
      <w:lvlText w:val="(%1)"/>
      <w:numFmt w:val="decimal"/>
      <w:start w:val="1"/>
    </w:lvl>
  </w:abstractNum>
  <w:abstractNum w:abstractNumId="17">
    <w:nsid w:val="153EA438"/>
    <w:multiLevelType w:val="hybridMultilevel"/>
    <w:lvl w:ilvl="0">
      <w:lvlJc w:val="left"/>
      <w:lvlText w:val="(%1)"/>
      <w:numFmt w:val="lowerRoman"/>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lowerLetter"/>
      <w:start w:val="2"/>
    </w:lvl>
  </w:abstractNum>
  <w:abstractNum w:abstractNumId="21">
    <w:nsid w:val="2A487CB0"/>
    <w:multiLevelType w:val="hybridMultilevel"/>
    <w:lvl w:ilvl="0">
      <w:lvlJc w:val="left"/>
      <w:lvlText w:val="%1."/>
      <w:numFmt w:val="decimal"/>
      <w:start w:val="2"/>
    </w:lvl>
  </w:abstractNum>
  <w:abstractNum w:abstractNumId="22">
    <w:nsid w:val="1D4ED43B"/>
    <w:multiLevelType w:val="hybridMultilevel"/>
    <w:lvl w:ilvl="0">
      <w:lvlJc w:val="left"/>
      <w:lvlText w:val="%1"/>
      <w:numFmt w:val="lowerLetter"/>
      <w:start w:val="1"/>
    </w:lvl>
    <w:lvl w:ilvl="1">
      <w:lvlJc w:val="left"/>
      <w:lvlText w:val="(%2)"/>
      <w:numFmt w:val="lowerLetter"/>
      <w:start w:val="1"/>
    </w:lvl>
  </w:abstractNum>
  <w:abstractNum w:abstractNumId="23">
    <w:nsid w:val="725A06FB"/>
    <w:multiLevelType w:val="hybridMultilevel"/>
    <w:lvl w:ilvl="0">
      <w:lvlJc w:val="left"/>
      <w:lvlText w:val="(%1)"/>
      <w:numFmt w:val="lowerLetter"/>
      <w:start w:val="25"/>
    </w:lvl>
    <w:lvl w:ilvl="1">
      <w:lvlJc w:val="left"/>
      <w:lvlText w:val="(%2)"/>
      <w:numFmt w:val="lowerLetter"/>
      <w:start w:val="4"/>
    </w:lvl>
  </w:abstractNum>
  <w:abstractNum w:abstractNumId="24">
    <w:nsid w:val="2CD89A32"/>
    <w:multiLevelType w:val="hybridMultilevel"/>
    <w:lvl w:ilvl="0">
      <w:lvlJc w:val="left"/>
      <w:lvlText w:val="(%1)"/>
      <w:numFmt w:val="lowerLetter"/>
      <w:start w:val="1"/>
    </w:lvl>
  </w:abstractNum>
  <w:abstractNum w:abstractNumId="25">
    <w:nsid w:val="57E4CCAF"/>
    <w:multiLevelType w:val="hybridMultilevel"/>
    <w:lvl w:ilvl="0">
      <w:lvlJc w:val="left"/>
      <w:lvlText w:val="(%1)"/>
      <w:numFmt w:val="lowerLetter"/>
      <w:start w:val="22"/>
    </w:lvl>
    <w:lvl w:ilvl="1">
      <w:lvlJc w:val="left"/>
      <w:lvlText w:val="(%2)"/>
      <w:numFmt w:val="lowerLetter"/>
      <w:start w:val="2"/>
    </w:lvl>
  </w:abstractNum>
  <w:abstractNum w:abstractNumId="26">
    <w:nsid w:val="7A6D8D3C"/>
    <w:multiLevelType w:val="hybridMultilevel"/>
    <w:lvl w:ilvl="0">
      <w:lvlJc w:val="left"/>
      <w:lvlText w:val="%1."/>
      <w:numFmt w:val="decimal"/>
      <w:start w:val="3"/>
    </w:lvl>
  </w:abstractNum>
  <w:abstractNum w:abstractNumId="27">
    <w:nsid w:val="4B588F54"/>
    <w:multiLevelType w:val="hybridMultilevel"/>
    <w:lvl w:ilvl="0">
      <w:lvlJc w:val="left"/>
      <w:lvlText w:val="(%1)"/>
      <w:numFmt w:val="lowerLetter"/>
      <w:start w:val="2"/>
    </w:lvl>
  </w:abstractNum>
  <w:abstractNum w:abstractNumId="28">
    <w:nsid w:val="542289EC"/>
    <w:multiLevelType w:val="hybridMultilevel"/>
    <w:lvl w:ilvl="0">
      <w:lvlJc w:val="left"/>
      <w:lvlText w:val="%1."/>
      <w:numFmt w:val="decimal"/>
      <w:start w:val="4"/>
    </w:lvl>
    <w:lvl w:ilvl="1">
      <w:lvlJc w:val="left"/>
      <w:lvlText w:val="(%2)"/>
      <w:numFmt w:val="lowerLetter"/>
      <w:start w:val="2"/>
    </w:lvl>
  </w:abstractNum>
  <w:abstractNum w:abstractNumId="29">
    <w:nsid w:val="6DE91B18"/>
    <w:multiLevelType w:val="hybridMultilevel"/>
    <w:lvl w:ilvl="0">
      <w:lvlJc w:val="left"/>
      <w:lvlText w:val="(%1)"/>
      <w:numFmt w:val="lowerLetter"/>
      <w:start w:val="3"/>
    </w:lvl>
    <w:lvl w:ilvl="1">
      <w:lvlJc w:val="left"/>
      <w:lvlText w:val="(%2)"/>
      <w:numFmt w:val="lowerLetter"/>
      <w:start w:val="9"/>
    </w:lvl>
  </w:abstractNum>
  <w:abstractNum w:abstractNumId="30">
    <w:nsid w:val="38437FDB"/>
    <w:multiLevelType w:val="hybridMultilevel"/>
    <w:lvl w:ilvl="0">
      <w:lvlJc w:val="left"/>
      <w:lvlText w:val="%1"/>
      <w:numFmt w:val="lowerLetter"/>
      <w:start w:val="1"/>
    </w:lvl>
    <w:lvl w:ilvl="1">
      <w:lvlJc w:val="left"/>
      <w:lvlText w:val="(%2)"/>
      <w:numFmt w:val="lowerRoman"/>
      <w:start w:val="2"/>
    </w:lvl>
  </w:abstractNum>
  <w:abstractNum w:abstractNumId="31">
    <w:nsid w:val="7644A45C"/>
    <w:multiLevelType w:val="hybridMultilevel"/>
    <w:lvl w:ilvl="0">
      <w:lvlJc w:val="left"/>
      <w:lvlText w:val="(%1)"/>
      <w:numFmt w:val="lowerLetter"/>
      <w:start w:val="4"/>
    </w:lvl>
    <w:lvl w:ilvl="1">
      <w:lvlJc w:val="left"/>
      <w:lvlText w:val="%2"/>
      <w:numFmt w:val="lowerRoman"/>
      <w:start w:val="1"/>
    </w:lvl>
  </w:abstractNum>
  <w:abstractNum w:abstractNumId="32">
    <w:nsid w:val="32FFF902"/>
    <w:multiLevelType w:val="hybridMultilevel"/>
    <w:lvl w:ilvl="0">
      <w:lvlJc w:val="left"/>
      <w:lvlText w:val="%1"/>
      <w:numFmt w:val="decimal"/>
      <w:start w:val="1"/>
    </w:lvl>
    <w:lvl w:ilvl="1">
      <w:lvlJc w:val="left"/>
      <w:lvlText w:val="(%2)"/>
      <w:numFmt w:val="lowerLetter"/>
      <w:start w:val="6"/>
    </w:lvl>
  </w:abstractNum>
  <w:abstractNum w:abstractNumId="33">
    <w:nsid w:val="684A481A"/>
    <w:multiLevelType w:val="hybridMultilevel"/>
    <w:lvl w:ilvl="0">
      <w:lvlJc w:val="left"/>
      <w:lvlText w:val="(%1)"/>
      <w:numFmt w:val="decimal"/>
      <w:start w:val="6"/>
    </w:lvl>
    <w:lvl w:ilvl="1">
      <w:lvlJc w:val="left"/>
      <w:lvlText w:val="%2"/>
      <w:numFmt w:val="lowerLetter"/>
      <w:start w:val="1"/>
    </w:lvl>
  </w:abstractNum>
  <w:abstractNum w:abstractNumId="34">
    <w:nsid w:val="579478FE"/>
    <w:multiLevelType w:val="hybridMultilevel"/>
    <w:lvl w:ilvl="0">
      <w:lvlJc w:val="left"/>
      <w:lvlText w:val="%1"/>
      <w:numFmt w:val="decimal"/>
      <w:start w:val="1"/>
    </w:lvl>
    <w:lvl w:ilvl="1">
      <w:lvlJc w:val="left"/>
      <w:lvlText w:val="%2."/>
      <w:numFmt w:val="decimal"/>
      <w:start w:val="5"/>
    </w:lvl>
  </w:abstractNum>
  <w:abstractNum w:abstractNumId="35">
    <w:nsid w:val="749ABB43"/>
    <w:multiLevelType w:val="hybridMultilevel"/>
    <w:lvl w:ilvl="0">
      <w:lvlJc w:val="left"/>
      <w:lvlText w:val="(%1)"/>
      <w:numFmt w:val="decimal"/>
      <w:start w:val="60"/>
    </w:lvl>
    <w:lvl w:ilvl="1">
      <w:lvlJc w:val="left"/>
      <w:lvlText w:val="%2"/>
      <w:numFmt w:val="decimal"/>
      <w:start w:val="1"/>
    </w:lvl>
  </w:abstractNum>
  <w:abstractNum w:abstractNumId="36">
    <w:nsid w:val="3DC240FB"/>
    <w:multiLevelType w:val="hybridMultilevel"/>
    <w:lvl w:ilvl="0">
      <w:lvlJc w:val="left"/>
      <w:lvlText w:val="%1"/>
      <w:numFmt w:val="lowerRoman"/>
      <w:start w:val="1"/>
    </w:lvl>
    <w:lvl w:ilvl="1">
      <w:lvlJc w:val="left"/>
      <w:lvlText w:val="(%2)"/>
      <w:numFmt w:val="lowerLetter"/>
      <w:start w:val="2"/>
    </w:lvl>
  </w:abstractNum>
  <w:abstractNum w:abstractNumId="37">
    <w:nsid w:val="1BA026FA"/>
    <w:multiLevelType w:val="hybridMultilevel"/>
    <w:lvl w:ilvl="0">
      <w:lvlJc w:val="left"/>
      <w:lvlText w:val="(%1)"/>
      <w:numFmt w:val="lowerRoman"/>
      <w:start w:val="1"/>
    </w:lvl>
    <w:lvl w:ilvl="1">
      <w:lvlJc w:val="left"/>
      <w:lvlText w:val="(%2)"/>
      <w:numFmt w:val="lowerLetter"/>
      <w:start w:val="3"/>
    </w:lvl>
  </w:abstractNum>
  <w:abstractNum w:abstractNumId="38">
    <w:nsid w:val="79A1DEAA"/>
    <w:multiLevelType w:val="hybridMultilevel"/>
    <w:lvl w:ilvl="0">
      <w:lvlJc w:val="left"/>
      <w:lvlText w:val="(%1)"/>
      <w:numFmt w:val="lowerLetter"/>
      <w:start w:val="4"/>
    </w:lvl>
  </w:abstractNum>
  <w:abstractNum w:abstractNumId="39">
    <w:nsid w:val="75C6C33A"/>
    <w:multiLevelType w:val="hybridMultilevel"/>
    <w:lvl w:ilvl="0">
      <w:lvlJc w:val="left"/>
      <w:lvlText w:val="(%1)"/>
      <w:numFmt w:val="decimal"/>
      <w:start w:val="30"/>
    </w:lvl>
    <w:lvl w:ilvl="1">
      <w:lvlJc w:val="left"/>
      <w:lvlText w:val="(%2)"/>
      <w:numFmt w:val="lowerLetter"/>
      <w:start w:val="5"/>
    </w:lvl>
    <w:lvl w:ilvl="2">
      <w:lvlJc w:val="left"/>
      <w:lvlText w:val="%3."/>
      <w:numFmt w:val="decimal"/>
      <w:start w:val="6"/>
    </w:lvl>
  </w:abstractNum>
  <w:abstractNum w:abstractNumId="40">
    <w:nsid w:val="12E685FB"/>
    <w:multiLevelType w:val="hybridMultilevel"/>
    <w:lvl w:ilvl="0">
      <w:lvlJc w:val="left"/>
      <w:lvlText w:val="(%1)"/>
      <w:numFmt w:val="lowerLetter"/>
      <w:start w:val="1"/>
    </w:lvl>
  </w:abstractNum>
  <w:abstractNum w:abstractNumId="41">
    <w:nsid w:val="70C6A529"/>
    <w:multiLevelType w:val="hybridMultilevel"/>
    <w:lvl w:ilvl="0">
      <w:lvlJc w:val="left"/>
      <w:lvlText w:val="(%1)"/>
      <w:numFmt w:val="lowerLetter"/>
      <w:start w:val="2"/>
    </w:lvl>
  </w:abstractNum>
  <w:abstractNum w:abstractNumId="42">
    <w:nsid w:val="520EEDD1"/>
    <w:multiLevelType w:val="hybridMultilevel"/>
    <w:lvl w:ilvl="0">
      <w:lvlJc w:val="left"/>
      <w:lvlText w:val="%1."/>
      <w:numFmt w:val="decimal"/>
      <w:start w:val="7"/>
    </w:lvl>
  </w:abstractNum>
  <w:abstractNum w:abstractNumId="43">
    <w:nsid w:val="374A3FE6"/>
    <w:multiLevelType w:val="hybridMultilevel"/>
    <w:lvl w:ilvl="0">
      <w:lvlJc w:val="left"/>
      <w:lvlText w:val="%1."/>
      <w:numFmt w:val="decimal"/>
      <w:start w:val="8"/>
    </w:lvl>
  </w:abstractNum>
  <w:abstractNum w:abstractNumId="44">
    <w:nsid w:val="4F4EF005"/>
    <w:multiLevelType w:val="hybridMultilevel"/>
    <w:lvl w:ilvl="0">
      <w:lvlJc w:val="left"/>
      <w:lvlText w:val="(%1)"/>
      <w:numFmt w:val="lowerLetter"/>
      <w:start w:val="2"/>
    </w:lvl>
  </w:abstractNum>
  <w:abstractNum w:abstractNumId="45">
    <w:nsid w:val="23F9C13C"/>
    <w:multiLevelType w:val="hybridMultilevel"/>
    <w:lvl w:ilvl="0">
      <w:lvlJc w:val="left"/>
      <w:lvlText w:val="(%1)"/>
      <w:numFmt w:val="lowerLetter"/>
      <w:start w:val="3"/>
    </w:lvl>
  </w:abstractNum>
  <w:abstractNum w:abstractNumId="46">
    <w:nsid w:val="649BB77C"/>
    <w:multiLevelType w:val="hybridMultilevel"/>
    <w:lvl w:ilvl="0">
      <w:lvlJc w:val="left"/>
      <w:lvlText w:val="%1."/>
      <w:numFmt w:val="decimal"/>
      <w:start w:val="10"/>
    </w:lvl>
  </w:abstractNum>
  <w:abstractNum w:abstractNumId="47">
    <w:nsid w:val="275AC794"/>
    <w:multiLevelType w:val="hybridMultilevel"/>
    <w:lvl w:ilvl="0">
      <w:lvlJc w:val="left"/>
      <w:lvlText w:val="(%1)"/>
      <w:numFmt w:val="lowerLetter"/>
      <w:start w:val="2"/>
    </w:lvl>
  </w:abstractNum>
  <w:abstractNum w:abstractNumId="48">
    <w:nsid w:val="39386575"/>
    <w:multiLevelType w:val="hybridMultilevel"/>
    <w:lvl w:ilvl="0">
      <w:lvlJc w:val="left"/>
      <w:lvlText w:val="%1."/>
      <w:numFmt w:val="decimal"/>
      <w:start w:val="12"/>
    </w:lvl>
  </w:abstractNum>
  <w:abstractNum w:abstractNumId="49">
    <w:nsid w:val="1CF10FD8"/>
    <w:multiLevelType w:val="hybridMultilevel"/>
    <w:lvl w:ilvl="0">
      <w:lvlJc w:val="left"/>
      <w:lvlText w:val="%1."/>
      <w:numFmt w:val="decimal"/>
      <w:start w:val="13"/>
    </w:lvl>
  </w:abstractNum>
  <w:abstractNum w:abstractNumId="50">
    <w:nsid w:val="180115BE"/>
    <w:multiLevelType w:val="hybridMultilevel"/>
    <w:lvl w:ilvl="0">
      <w:lvlJc w:val="left"/>
      <w:lvlText w:val="(%1)"/>
      <w:numFmt w:val="lowerLetter"/>
      <w:start w:val="2"/>
    </w:lvl>
  </w:abstractNum>
  <w:abstractNum w:abstractNumId="51">
    <w:nsid w:val="235BA861"/>
    <w:multiLevelType w:val="hybridMultilevel"/>
    <w:lvl w:ilvl="0">
      <w:lvlJc w:val="left"/>
      <w:lvlText w:val="%1."/>
      <w:numFmt w:val="decimal"/>
      <w:start w:val="15"/>
    </w:lvl>
  </w:abstractNum>
  <w:abstractNum w:abstractNumId="52">
    <w:nsid w:val="47398C89"/>
    <w:multiLevelType w:val="hybridMultilevel"/>
    <w:lvl w:ilvl="0">
      <w:lvlJc w:val="left"/>
      <w:lvlText w:val="(%1)"/>
      <w:numFmt w:val="lowerLetter"/>
      <w:start w:val="2"/>
    </w:lvl>
  </w:abstractNum>
  <w:abstractNum w:abstractNumId="53">
    <w:nsid w:val="354FE9F9"/>
    <w:multiLevelType w:val="hybridMultilevel"/>
    <w:lvl w:ilvl="0">
      <w:lvlJc w:val="left"/>
      <w:lvlText w:val="%1."/>
      <w:numFmt w:val="decimal"/>
      <w:start w:val="17"/>
    </w:lvl>
  </w:abstractNum>
  <w:abstractNum w:abstractNumId="54">
    <w:nsid w:val="15B5AF5C"/>
    <w:multiLevelType w:val="hybridMultilevel"/>
    <w:lvl w:ilvl="0">
      <w:lvlJc w:val="left"/>
      <w:lvlText w:val="(%1)"/>
      <w:numFmt w:val="lowerLetter"/>
      <w:start w:val="2"/>
    </w:lvl>
  </w:abstractNum>
  <w:abstractNum w:abstractNumId="55">
    <w:nsid w:val="741226BB"/>
    <w:multiLevelType w:val="hybridMultilevel"/>
    <w:lvl w:ilvl="0">
      <w:lvlJc w:val="left"/>
      <w:lvlText w:val="%1."/>
      <w:numFmt w:val="decimal"/>
      <w:start w:val="18"/>
    </w:lvl>
  </w:abstractNum>
  <w:abstractNum w:abstractNumId="56">
    <w:nsid w:val="D34B6A8"/>
    <w:multiLevelType w:val="hybridMultilevel"/>
    <w:lvl w:ilvl="0">
      <w:lvlJc w:val="left"/>
      <w:lvlText w:val="%1."/>
      <w:numFmt w:val="decimal"/>
      <w:start w:val="21"/>
    </w:lvl>
  </w:abstractNum>
  <w:abstractNum w:abstractNumId="57">
    <w:nsid w:val="10233C99"/>
    <w:multiLevelType w:val="hybridMultilevel"/>
    <w:lvl w:ilvl="0">
      <w:lvlJc w:val="left"/>
      <w:lvlText w:val="%1"/>
      <w:numFmt w:val="decimal"/>
      <w:start w:val="1"/>
    </w:lvl>
    <w:lvl w:ilvl="1">
      <w:lvlJc w:val="left"/>
      <w:lvlText w:val="(%2)"/>
      <w:numFmt w:val="lowerLetter"/>
      <w:start w:val="2"/>
    </w:lvl>
  </w:abstractNum>
  <w:abstractNum w:abstractNumId="58">
    <w:nsid w:val="3F6AB60F"/>
    <w:multiLevelType w:val="hybridMultilevel"/>
    <w:lvl w:ilvl="0">
      <w:lvlJc w:val="left"/>
      <w:lvlText w:val="(%1)"/>
      <w:numFmt w:val="decimal"/>
      <w:start w:val="61"/>
    </w:lvl>
    <w:lvl w:ilvl="1">
      <w:lvlJc w:val="left"/>
      <w:lvlText w:val="(%2)"/>
      <w:numFmt w:val="lowerLetter"/>
      <w:start w:val="4"/>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2022-08-02T14:11:52Z</dcterms:created>
  <dcterms:modified xsi:type="dcterms:W3CDTF">2022-08-02T14:11:52Z</dcterms:modified>
</cp:coreProperties>
</file>