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588010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612775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0"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5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6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80" w:lineRule="exact"/>
        <w:rPr>
          <w:sz w:val="24"/>
          <w:szCs w:val="24"/>
          <w:color w:val="auto"/>
        </w:rPr>
      </w:pPr>
    </w:p>
    <w:p>
      <w:pPr>
        <w:ind w:left="220" w:hanging="215"/>
        <w:spacing w:after="0"/>
        <w:tabs>
          <w:tab w:leader="none" w:pos="2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280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6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760" w:type="dxa"/>
            <w:vAlign w:val="bottom"/>
          </w:tcPr>
          <w:p>
            <w:pPr>
              <w:spacing w:after="0"/>
              <w:rPr>
                <w:sz w:val="18"/>
                <w:szCs w:val="18"/>
                <w:color w:val="auto"/>
              </w:rPr>
            </w:pPr>
          </w:p>
        </w:tc>
        <w:tc>
          <w:tcPr>
            <w:tcW w:w="7460" w:type="dxa"/>
            <w:vAlign w:val="bottom"/>
            <w:gridSpan w:val="6"/>
          </w:tcPr>
          <w:p>
            <w:pPr>
              <w:jc w:val="center"/>
              <w:ind w:right="36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310"/>
        </w:trPr>
        <w:tc>
          <w:tcPr>
            <w:tcW w:w="3760" w:type="dxa"/>
            <w:vAlign w:val="bottom"/>
          </w:tcPr>
          <w:p>
            <w:pPr>
              <w:spacing w:after="0"/>
              <w:rPr>
                <w:sz w:val="24"/>
                <w:szCs w:val="24"/>
                <w:color w:val="auto"/>
              </w:rPr>
            </w:pPr>
          </w:p>
        </w:tc>
        <w:tc>
          <w:tcPr>
            <w:tcW w:w="7460" w:type="dxa"/>
            <w:vAlign w:val="bottom"/>
            <w:gridSpan w:val="6"/>
          </w:tcPr>
          <w:p>
            <w:pPr>
              <w:jc w:val="center"/>
              <w:ind w:right="37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760" w:type="dxa"/>
            <w:vAlign w:val="bottom"/>
          </w:tcPr>
          <w:p>
            <w:pPr>
              <w:spacing w:after="0"/>
              <w:rPr>
                <w:sz w:val="13"/>
                <w:szCs w:val="13"/>
                <w:color w:val="auto"/>
              </w:rPr>
            </w:pPr>
          </w:p>
        </w:tc>
        <w:tc>
          <w:tcPr>
            <w:tcW w:w="7460" w:type="dxa"/>
            <w:vAlign w:val="bottom"/>
            <w:gridSpan w:val="6"/>
          </w:tcPr>
          <w:p>
            <w:pPr>
              <w:jc w:val="center"/>
              <w:ind w:right="37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43"/>
        </w:trPr>
        <w:tc>
          <w:tcPr>
            <w:tcW w:w="3760" w:type="dxa"/>
            <w:vAlign w:val="bottom"/>
          </w:tcPr>
          <w:p>
            <w:pPr>
              <w:jc w:val="center"/>
              <w:ind w:left="178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660" w:type="dxa"/>
            <w:vAlign w:val="bottom"/>
            <w:gridSpan w:val="3"/>
          </w:tcPr>
          <w:p>
            <w:pPr>
              <w:jc w:val="right"/>
              <w:ind w:right="232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560" w:type="dxa"/>
            <w:vAlign w:val="bottom"/>
            <w:gridSpan w:val="4"/>
          </w:tcPr>
          <w:p>
            <w:pPr>
              <w:jc w:val="center"/>
              <w:ind w:right="8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Pr>
          <w:p>
            <w:pPr>
              <w:jc w:val="center"/>
              <w:ind w:right="1368"/>
              <w:spacing w:after="0"/>
              <w:rPr>
                <w:sz w:val="20"/>
                <w:szCs w:val="20"/>
                <w:color w:val="auto"/>
              </w:rPr>
            </w:pPr>
            <w:r>
              <w:rPr>
                <w:rFonts w:ascii="Times New Roman" w:cs="Times New Roman" w:eastAsia="Times New Roman" w:hAnsi="Times New Roman"/>
                <w:sz w:val="14"/>
                <w:szCs w:val="14"/>
                <w:color w:val="auto"/>
                <w:w w:val="99"/>
              </w:rPr>
              <w:t>(I.R.S. Employer Identification No.)</w:t>
            </w:r>
          </w:p>
        </w:tc>
      </w:tr>
      <w:tr>
        <w:trPr>
          <w:trHeight w:val="485"/>
        </w:trPr>
        <w:tc>
          <w:tcPr>
            <w:tcW w:w="3760" w:type="dxa"/>
            <w:vAlign w:val="bottom"/>
          </w:tcPr>
          <w:p>
            <w:pPr>
              <w:jc w:val="center"/>
              <w:ind w:left="26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96"/>
        </w:trPr>
        <w:tc>
          <w:tcPr>
            <w:tcW w:w="6560" w:type="dxa"/>
            <w:vAlign w:val="bottom"/>
            <w:gridSpan w:val="4"/>
          </w:tcPr>
          <w:p>
            <w:pPr>
              <w:ind w:left="262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4660" w:type="dxa"/>
            <w:vAlign w:val="bottom"/>
            <w:gridSpan w:val="3"/>
          </w:tcPr>
          <w:p>
            <w:pPr>
              <w:jc w:val="right"/>
              <w:ind w:right="302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5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jc w:val="center"/>
              <w:ind w:right="2248"/>
              <w:spacing w:after="0"/>
              <w:rPr>
                <w:sz w:val="20"/>
                <w:szCs w:val="20"/>
                <w:color w:val="auto"/>
              </w:rPr>
            </w:pPr>
            <w:r>
              <w:rPr>
                <w:rFonts w:ascii="Times New Roman" w:cs="Times New Roman" w:eastAsia="Times New Roman" w:hAnsi="Times New Roman"/>
                <w:sz w:val="14"/>
                <w:szCs w:val="14"/>
                <w:color w:val="auto"/>
              </w:rPr>
              <w:t>(Zip Code)</w:t>
            </w:r>
          </w:p>
        </w:tc>
      </w:tr>
      <w:tr>
        <w:trPr>
          <w:trHeight w:val="285"/>
        </w:trPr>
        <w:tc>
          <w:tcPr>
            <w:tcW w:w="3760" w:type="dxa"/>
            <w:vAlign w:val="bottom"/>
          </w:tcPr>
          <w:p>
            <w:pPr>
              <w:spacing w:after="0"/>
              <w:rPr>
                <w:sz w:val="24"/>
                <w:szCs w:val="24"/>
                <w:color w:val="auto"/>
              </w:rPr>
            </w:pPr>
          </w:p>
        </w:tc>
        <w:tc>
          <w:tcPr>
            <w:tcW w:w="2800" w:type="dxa"/>
            <w:vAlign w:val="bottom"/>
            <w:gridSpan w:val="3"/>
          </w:tcPr>
          <w:p>
            <w:pPr>
              <w:jc w:val="center"/>
              <w:ind w:left="81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06"/>
        </w:trPr>
        <w:tc>
          <w:tcPr>
            <w:tcW w:w="3760" w:type="dxa"/>
            <w:vAlign w:val="bottom"/>
          </w:tcPr>
          <w:p>
            <w:pPr>
              <w:spacing w:after="0"/>
              <w:rPr>
                <w:sz w:val="17"/>
                <w:szCs w:val="17"/>
                <w:color w:val="auto"/>
              </w:rPr>
            </w:pPr>
          </w:p>
        </w:tc>
        <w:tc>
          <w:tcPr>
            <w:tcW w:w="7460" w:type="dxa"/>
            <w:vAlign w:val="bottom"/>
            <w:gridSpan w:val="6"/>
          </w:tcPr>
          <w:p>
            <w:pPr>
              <w:jc w:val="center"/>
              <w:ind w:right="37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511"/>
        </w:trPr>
        <w:tc>
          <w:tcPr>
            <w:tcW w:w="3760" w:type="dxa"/>
            <w:vAlign w:val="bottom"/>
          </w:tcPr>
          <w:p>
            <w:pPr>
              <w:spacing w:after="0"/>
              <w:rPr>
                <w:sz w:val="24"/>
                <w:szCs w:val="24"/>
                <w:color w:val="auto"/>
              </w:rPr>
            </w:pPr>
          </w:p>
        </w:tc>
        <w:tc>
          <w:tcPr>
            <w:tcW w:w="7460" w:type="dxa"/>
            <w:vAlign w:val="bottom"/>
            <w:gridSpan w:val="6"/>
          </w:tcPr>
          <w:p>
            <w:pPr>
              <w:jc w:val="center"/>
              <w:ind w:right="3688"/>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r>
      <w:tr>
        <w:trPr>
          <w:trHeight w:val="256"/>
        </w:trPr>
        <w:tc>
          <w:tcPr>
            <w:tcW w:w="37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left="266"/>
              <w:spacing w:after="0"/>
              <w:rPr>
                <w:sz w:val="20"/>
                <w:szCs w:val="20"/>
                <w:color w:val="auto"/>
              </w:rPr>
            </w:pPr>
            <w:r>
              <w:rPr>
                <w:rFonts w:ascii="Times New Roman" w:cs="Times New Roman" w:eastAsia="Times New Roman" w:hAnsi="Times New Roman"/>
                <w:sz w:val="16"/>
                <w:szCs w:val="16"/>
                <w:color w:val="auto"/>
                <w:w w:val="96"/>
              </w:rPr>
              <w:t>VIRT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9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w:t>
      </w:r>
    </w:p>
    <w:p>
      <w:pPr>
        <w:jc w:val="center"/>
        <w:ind w:right="100"/>
        <w:spacing w:after="0"/>
        <w:rPr>
          <w:sz w:val="20"/>
          <w:szCs w:val="20"/>
          <w:color w:val="auto"/>
        </w:rPr>
      </w:pPr>
      <w:r>
        <w:rPr>
          <w:rFonts w:ascii="Times New Roman" w:cs="Times New Roman" w:eastAsia="Times New Roman" w:hAnsi="Times New Roman"/>
          <w:sz w:val="14"/>
          <w:szCs w:val="14"/>
          <w:color w:val="auto"/>
        </w:rPr>
        <w:t>(Title of class)</w:t>
      </w:r>
    </w:p>
    <w:p>
      <w:pPr>
        <w:spacing w:after="0" w:line="5"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5"/>
        <w:spacing w:after="0" w:line="184" w:lineRule="exact"/>
        <w:tabs>
          <w:tab w:leader="none" w:pos="1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42" w:lineRule="exact"/>
        <w:rPr>
          <w:sz w:val="24"/>
          <w:szCs w:val="24"/>
          <w:color w:val="auto"/>
        </w:rPr>
      </w:pPr>
    </w:p>
    <w:p>
      <w:pPr>
        <w:ind w:right="520" w:firstLine="31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 w:lineRule="exact"/>
        <w:rPr>
          <w:sz w:val="24"/>
          <w:szCs w:val="24"/>
          <w:color w:val="auto"/>
        </w:rPr>
      </w:pPr>
    </w:p>
    <w:p>
      <w:pPr>
        <w:ind w:right="260" w:firstLine="314"/>
        <w:spacing w:after="0" w:line="30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720"/>
        <w:spacing w:after="0" w:line="161" w:lineRule="exact"/>
        <w:tabs>
          <w:tab w:leader="none" w:pos="2580" w:val="left"/>
          <w:tab w:leader="none" w:pos="3060" w:val="left"/>
          <w:tab w:leader="none" w:pos="4320" w:val="left"/>
          <w:tab w:leader="none" w:pos="5520" w:val="left"/>
          <w:tab w:leader="none" w:pos="7740" w:val="left"/>
          <w:tab w:leader="none" w:pos="8540" w:val="left"/>
          <w:tab w:leader="none" w:pos="102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3"/>
          <w:szCs w:val="13"/>
          <w:color w:val="auto"/>
        </w:rPr>
        <w:t>☐</w:t>
      </w:r>
    </w:p>
    <w:p>
      <w:pPr>
        <w:spacing w:after="0" w:line="111" w:lineRule="exact"/>
        <w:rPr>
          <w:sz w:val="24"/>
          <w:szCs w:val="24"/>
          <w:color w:val="auto"/>
        </w:rPr>
      </w:pPr>
    </w:p>
    <w:p>
      <w:pPr>
        <w:ind w:left="4980"/>
        <w:spacing w:after="0" w:line="211" w:lineRule="exact"/>
        <w:tabs>
          <w:tab w:leader="none" w:pos="8540" w:val="left"/>
          <w:tab w:leader="none" w:pos="10220" w:val="left"/>
        </w:tabs>
        <w:rPr>
          <w:sz w:val="20"/>
          <w:szCs w:val="20"/>
          <w:color w:val="auto"/>
        </w:rPr>
      </w:pPr>
      <w:r>
        <w:rPr>
          <w:rFonts w:ascii="Times New Roman" w:cs="Times New Roman" w:eastAsia="Times New Roman" w:hAnsi="Times New Roman"/>
          <w:sz w:val="12"/>
          <w:szCs w:val="12"/>
          <w:color w:val="auto"/>
        </w:rPr>
        <w:t>(Do not check if a smaller reporting company)</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1"/>
          <w:szCs w:val="21"/>
          <w:color w:val="auto"/>
          <w:vertAlign w:val="subscript"/>
        </w:rPr>
        <w:t>☐</w:t>
      </w:r>
    </w:p>
    <w:p>
      <w:pPr>
        <w:spacing w:after="0" w:line="262" w:lineRule="exact"/>
        <w:rPr>
          <w:sz w:val="24"/>
          <w:szCs w:val="24"/>
          <w:color w:val="auto"/>
        </w:rPr>
      </w:pPr>
    </w:p>
    <w:p>
      <w:pPr>
        <w:ind w:right="100" w:firstLine="314"/>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right="420" w:firstLine="314"/>
        <w:spacing w:after="0" w:line="19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w:t>
      </w:r>
    </w:p>
    <w:p>
      <w:pPr>
        <w:spacing w:after="0" w:line="177" w:lineRule="exact"/>
        <w:rPr>
          <w:sz w:val="20"/>
          <w:szCs w:val="20"/>
          <w:color w:val="auto"/>
        </w:rPr>
      </w:pPr>
      <w:r>
        <w:rPr>
          <w:rFonts w:ascii="Times New Roman" w:cs="Times New Roman" w:eastAsia="Times New Roman" w:hAnsi="Times New Roman"/>
          <w:sz w:val="16"/>
          <w:szCs w:val="16"/>
          <w:color w:val="auto"/>
        </w:rPr>
        <w:t xml:space="preserve">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80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53" w:lineRule="exact"/>
        <w:rPr>
          <w:sz w:val="24"/>
          <w:szCs w:val="24"/>
          <w:color w:val="auto"/>
        </w:rPr>
      </w:pPr>
    </w:p>
    <w:p>
      <w:pPr>
        <w:ind w:right="320" w:firstLine="31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8"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9080" w:type="dxa"/>
            <w:vAlign w:val="bottom"/>
            <w:gridSpan w:val="2"/>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194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w w:val="98"/>
              </w:rPr>
              <w:t>Shares Outstanding as of</w:t>
            </w:r>
          </w:p>
        </w:tc>
        <w:tc>
          <w:tcPr>
            <w:tcW w:w="0" w:type="dxa"/>
            <w:vAlign w:val="bottom"/>
          </w:tcPr>
          <w:p>
            <w:pPr>
              <w:spacing w:after="0"/>
              <w:rPr>
                <w:sz w:val="1"/>
                <w:szCs w:val="1"/>
                <w:color w:val="auto"/>
              </w:rPr>
            </w:pPr>
          </w:p>
        </w:tc>
      </w:tr>
      <w:tr>
        <w:trPr>
          <w:trHeight w:val="190"/>
        </w:trPr>
        <w:tc>
          <w:tcPr>
            <w:tcW w:w="9080" w:type="dxa"/>
            <w:vAlign w:val="bottom"/>
            <w:gridSpan w:val="2"/>
            <w:vMerge w:val="continue"/>
          </w:tcPr>
          <w:p>
            <w:pPr>
              <w:spacing w:after="0"/>
              <w:rPr>
                <w:sz w:val="16"/>
                <w:szCs w:val="16"/>
                <w:color w:val="auto"/>
              </w:rPr>
            </w:pPr>
          </w:p>
        </w:tc>
        <w:tc>
          <w:tcPr>
            <w:tcW w:w="194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w w:val="98"/>
              </w:rPr>
              <w:t>February 17, 2023</w:t>
            </w:r>
          </w:p>
        </w:tc>
        <w:tc>
          <w:tcPr>
            <w:tcW w:w="0" w:type="dxa"/>
            <w:vAlign w:val="bottom"/>
          </w:tcPr>
          <w:p>
            <w:pPr>
              <w:spacing w:after="0"/>
              <w:rPr>
                <w:sz w:val="1"/>
                <w:szCs w:val="1"/>
                <w:color w:val="auto"/>
              </w:rPr>
            </w:pPr>
          </w:p>
        </w:tc>
      </w:tr>
      <w:tr>
        <w:trPr>
          <w:trHeight w:val="209"/>
        </w:trPr>
        <w:tc>
          <w:tcPr>
            <w:tcW w:w="8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ind w:left="65"/>
              <w:spacing w:after="0"/>
              <w:rPr>
                <w:sz w:val="20"/>
                <w:szCs w:val="20"/>
                <w:color w:val="auto"/>
              </w:rPr>
            </w:pPr>
            <w:r>
              <w:rPr>
                <w:rFonts w:ascii="Times New Roman" w:cs="Times New Roman" w:eastAsia="Times New Roman" w:hAnsi="Times New Roman"/>
                <w:sz w:val="16"/>
                <w:szCs w:val="16"/>
                <w:color w:val="auto"/>
                <w:w w:val="99"/>
              </w:rPr>
              <w:t>97,877,807</w:t>
            </w:r>
          </w:p>
        </w:tc>
        <w:tc>
          <w:tcPr>
            <w:tcW w:w="0" w:type="dxa"/>
            <w:vAlign w:val="bottom"/>
          </w:tcPr>
          <w:p>
            <w:pPr>
              <w:spacing w:after="0"/>
              <w:rPr>
                <w:sz w:val="1"/>
                <w:szCs w:val="1"/>
                <w:color w:val="auto"/>
              </w:rPr>
            </w:pPr>
          </w:p>
        </w:tc>
      </w:tr>
      <w:tr>
        <w:trPr>
          <w:trHeight w:val="20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1940" w:type="dxa"/>
            <w:vAlign w:val="bottom"/>
          </w:tcPr>
          <w:p>
            <w:pPr>
              <w:jc w:val="center"/>
              <w:ind w:left="65"/>
              <w:spacing w:after="0"/>
              <w:rPr>
                <w:sz w:val="20"/>
                <w:szCs w:val="20"/>
                <w:color w:val="auto"/>
              </w:rPr>
            </w:pPr>
            <w:r>
              <w:rPr>
                <w:rFonts w:ascii="Times New Roman" w:cs="Times New Roman" w:eastAsia="Times New Roman" w:hAnsi="Times New Roman"/>
                <w:sz w:val="16"/>
                <w:szCs w:val="16"/>
                <w:color w:val="auto"/>
                <w:w w:val="99"/>
              </w:rPr>
              <w:t>8,856,531</w:t>
            </w:r>
          </w:p>
        </w:tc>
        <w:tc>
          <w:tcPr>
            <w:tcW w:w="0" w:type="dxa"/>
            <w:vAlign w:val="bottom"/>
          </w:tcPr>
          <w:p>
            <w:pPr>
              <w:spacing w:after="0"/>
              <w:rPr>
                <w:sz w:val="1"/>
                <w:szCs w:val="1"/>
                <w:color w:val="auto"/>
              </w:rPr>
            </w:pPr>
          </w:p>
        </w:tc>
      </w:tr>
      <w:tr>
        <w:trPr>
          <w:trHeight w:val="211"/>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194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6"/>
                <w:szCs w:val="16"/>
                <w:color w:val="auto"/>
                <w:w w:val="99"/>
              </w:rPr>
              <w:t>60,091,740</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right="160" w:firstLine="314"/>
        <w:spacing w:after="0" w:line="292" w:lineRule="auto"/>
        <w:rPr>
          <w:sz w:val="20"/>
          <w:szCs w:val="20"/>
          <w:color w:val="auto"/>
        </w:rPr>
      </w:pPr>
      <w:r>
        <w:rPr>
          <w:rFonts w:ascii="Times New Roman" w:cs="Times New Roman" w:eastAsia="Times New Roman" w:hAnsi="Times New Roman"/>
          <w:sz w:val="16"/>
          <w:szCs w:val="16"/>
          <w:color w:val="auto"/>
        </w:rPr>
        <w:t xml:space="preserve">The aggregate market value of voting and non-voting common stock held by non-affiliates of the registrant as of June 30,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16"/>
          <w:szCs w:val="16"/>
          <w:color w:val="auto"/>
        </w:rPr>
        <w:t xml:space="preserve"> was approximately $4,051 million, based on the closing price of $23.41 per share as reported by Nasdaq on such date.</w:t>
      </w:r>
    </w:p>
    <w:p>
      <w:pPr>
        <w:spacing w:after="0" w:line="1" w:lineRule="exact"/>
        <w:rPr>
          <w:sz w:val="24"/>
          <w:szCs w:val="24"/>
          <w:color w:val="auto"/>
        </w:rPr>
      </w:pPr>
    </w:p>
    <w:p>
      <w:pPr>
        <w:ind w:right="540" w:firstLine="354"/>
        <w:spacing w:after="0" w:line="267" w:lineRule="auto"/>
        <w:rPr>
          <w:sz w:val="20"/>
          <w:szCs w:val="20"/>
          <w:color w:val="auto"/>
        </w:rPr>
      </w:pPr>
      <w:r>
        <w:rPr>
          <w:rFonts w:ascii="Times New Roman" w:cs="Times New Roman" w:eastAsia="Times New Roman" w:hAnsi="Times New Roman"/>
          <w:sz w:val="16"/>
          <w:szCs w:val="16"/>
          <w:color w:val="auto"/>
        </w:rPr>
        <w:t>Portions of Part III of this Form 10-K are incorporated by reference from the Registrant’s definitive proxy statement (the “2023 Proxy Statement”) for its 2023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wp:posOffset>
            </wp:positionH>
            <wp:positionV relativeFrom="paragraph">
              <wp:posOffset>48260</wp:posOffset>
            </wp:positionV>
            <wp:extent cx="689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73025</wp:posOffset>
            </wp:positionV>
            <wp:extent cx="689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8640" cy="8255"/>
                    </a:xfrm>
                    <a:prstGeom prst="rect">
                      <a:avLst/>
                    </a:prstGeom>
                    <a:noFill/>
                  </pic:spPr>
                </pic:pic>
              </a:graphicData>
            </a:graphic>
          </wp:anchor>
        </w:drawing>
      </w:r>
    </w:p>
    <w:p>
      <w:pPr>
        <w:sectPr>
          <w:pgSz w:w="11900" w:h="16838" w:orient="portrait"/>
          <w:cols w:equalWidth="0" w:num="1">
            <w:col w:w="11340"/>
          </w:cols>
          <w:pgMar w:left="320" w:top="1042" w:right="239" w:bottom="1075" w:gutter="0" w:footer="0" w:header="0"/>
        </w:sectPr>
      </w:pPr>
    </w:p>
    <w:p>
      <w:pPr>
        <w:spacing w:after="0" w:line="3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42" w:right="239" w:bottom="10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17"/>
          </w:tcPr>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tc>
      </w:tr>
      <w:tr>
        <w:trPr>
          <w:trHeight w:val="210"/>
        </w:trPr>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gridSpan w:val="12"/>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INDEX TO FORM 10-K</w:t>
            </w: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gridSpan w:val="17"/>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2022</w:t>
            </w:r>
          </w:p>
        </w:tc>
      </w:tr>
      <w:tr>
        <w:trPr>
          <w:trHeight w:val="852"/>
        </w:trPr>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9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700" w:type="dxa"/>
            <w:vAlign w:val="bottom"/>
            <w:gridSpan w:val="3"/>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BUSINESS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1A.</w:t>
            </w:r>
          </w:p>
        </w:tc>
        <w:tc>
          <w:tcPr>
            <w:tcW w:w="540" w:type="dxa"/>
            <w:vAlign w:val="bottom"/>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1"/>
              </w:rPr>
              <w:t>ITEM 1B.</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PROPERTIES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700" w:type="dxa"/>
            <w:vAlign w:val="bottom"/>
            <w:gridSpan w:val="3"/>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LEGAL PROCEEDINGS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700" w:type="dxa"/>
            <w:vAlign w:val="bottom"/>
            <w:gridSpan w:val="3"/>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8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5.</w:t>
            </w: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SHAREHOLDER MATTERS AND ISSUER</w:t>
            </w:r>
          </w:p>
        </w:tc>
      </w:tr>
      <w:tr>
        <w:trPr>
          <w:trHeight w:val="150"/>
        </w:trPr>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24"/>
          </w:tcPr>
          <w:p>
            <w:pPr>
              <w:spacing w:after="0" w:line="150" w:lineRule="exact"/>
              <w:rPr>
                <w:sz w:val="20"/>
                <w:szCs w:val="20"/>
                <w:color w:val="auto"/>
              </w:rPr>
            </w:pPr>
            <w:r>
              <w:rPr>
                <w:rFonts w:ascii="Times New Roman" w:cs="Times New Roman" w:eastAsia="Times New Roman" w:hAnsi="Times New Roman"/>
                <w:sz w:val="17"/>
                <w:szCs w:val="17"/>
                <w:color w:val="0000FF"/>
              </w:rPr>
              <w:t>PURCHASES OF EQUITY SECURITIES</w:t>
            </w:r>
          </w:p>
        </w:tc>
        <w:tc>
          <w:tcPr>
            <w:tcW w:w="20" w:type="dxa"/>
            <w:vAlign w:val="bottom"/>
          </w:tcPr>
          <w:p>
            <w:pPr>
              <w:spacing w:after="0"/>
              <w:rPr>
                <w:sz w:val="13"/>
                <w:szCs w:val="13"/>
                <w:color w:val="auto"/>
              </w:rPr>
            </w:pPr>
          </w:p>
        </w:tc>
      </w:tr>
      <w:tr>
        <w:trPr>
          <w:trHeight w:val="216"/>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700" w:type="dxa"/>
            <w:vAlign w:val="bottom"/>
            <w:gridSpan w:val="3"/>
          </w:tcPr>
          <w:p>
            <w:pPr>
              <w:spacing w:after="0"/>
              <w:rPr>
                <w:sz w:val="18"/>
                <w:szCs w:val="18"/>
                <w:color w:val="auto"/>
              </w:rPr>
            </w:pPr>
          </w:p>
        </w:tc>
        <w:tc>
          <w:tcPr>
            <w:tcW w:w="30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RESERVED</w:t>
            </w:r>
          </w:p>
        </w:tc>
        <w:tc>
          <w:tcPr>
            <w:tcW w:w="5020" w:type="dxa"/>
            <w:vAlign w:val="bottom"/>
            <w:gridSpan w:val="12"/>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700" w:type="dxa"/>
            <w:vAlign w:val="bottom"/>
            <w:gridSpan w:val="3"/>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w:t>
            </w:r>
          </w:p>
        </w:tc>
      </w:tr>
      <w:tr>
        <w:trPr>
          <w:trHeight w:val="150"/>
        </w:trPr>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color w:val="0000FF"/>
                <w:w w:val="98"/>
              </w:rPr>
              <w:t>OPERATIONS</w:t>
            </w:r>
          </w:p>
        </w:tc>
        <w:tc>
          <w:tcPr>
            <w:tcW w:w="6440" w:type="dxa"/>
            <w:vAlign w:val="bottom"/>
            <w:tcBorders>
              <w:top w:val="single" w:sz="8" w:color="0000FF"/>
            </w:tcBorders>
            <w:gridSpan w:val="17"/>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16"/>
        </w:trPr>
        <w:tc>
          <w:tcPr>
            <w:tcW w:w="1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7A.</w:t>
            </w:r>
          </w:p>
        </w:tc>
        <w:tc>
          <w:tcPr>
            <w:tcW w:w="540" w:type="dxa"/>
            <w:vAlign w:val="bottom"/>
          </w:tcPr>
          <w:p>
            <w:pPr>
              <w:spacing w:after="0"/>
              <w:rPr>
                <w:sz w:val="18"/>
                <w:szCs w:val="18"/>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1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700" w:type="dxa"/>
            <w:vAlign w:val="bottom"/>
            <w:gridSpan w:val="3"/>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w:t>
            </w:r>
          </w:p>
        </w:tc>
      </w:tr>
      <w:tr>
        <w:trPr>
          <w:trHeight w:val="150"/>
        </w:trPr>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color w:val="0000FF"/>
                <w:w w:val="99"/>
              </w:rPr>
              <w:t>DISCLOSURE</w:t>
            </w:r>
          </w:p>
        </w:tc>
        <w:tc>
          <w:tcPr>
            <w:tcW w:w="6620" w:type="dxa"/>
            <w:vAlign w:val="bottom"/>
            <w:tcBorders>
              <w:top w:val="single" w:sz="8" w:color="0000FF"/>
            </w:tcBorders>
            <w:gridSpan w:val="18"/>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16"/>
        </w:trPr>
        <w:tc>
          <w:tcPr>
            <w:tcW w:w="1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9A.</w:t>
            </w:r>
          </w:p>
        </w:tc>
        <w:tc>
          <w:tcPr>
            <w:tcW w:w="540" w:type="dxa"/>
            <w:vAlign w:val="bottom"/>
          </w:tcPr>
          <w:p>
            <w:pPr>
              <w:spacing w:after="0"/>
              <w:rPr>
                <w:sz w:val="18"/>
                <w:szCs w:val="18"/>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CONTROLS AND PROCEDURES</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1"/>
              </w:rPr>
              <w:t>ITEM 9B.</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OTHER INFORMATION</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1"/>
              </w:rPr>
              <w:t>ITEM 9C.</w:t>
            </w: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5"/>
              </w:rPr>
              <w:t>PART III</w:t>
            </w:r>
          </w:p>
        </w:tc>
        <w:tc>
          <w:tcPr>
            <w:tcW w:w="7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ITEM 10.</w:t>
            </w: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EXECUTIVE COMPENSATION</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12.</w:t>
            </w: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w:t>
            </w:r>
          </w:p>
        </w:tc>
      </w:tr>
      <w:tr>
        <w:trPr>
          <w:trHeight w:val="150"/>
        </w:trPr>
        <w:tc>
          <w:tcPr>
            <w:tcW w:w="1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100" w:type="dxa"/>
            <w:vAlign w:val="bottom"/>
            <w:tcBorders>
              <w:top w:val="single" w:sz="8" w:color="0000FF"/>
              <w:bottom w:val="single" w:sz="8" w:color="0000FF"/>
            </w:tcBorders>
            <w:gridSpan w:val="8"/>
          </w:tcPr>
          <w:p>
            <w:pPr>
              <w:spacing w:after="0" w:line="150" w:lineRule="exact"/>
              <w:rPr>
                <w:sz w:val="20"/>
                <w:szCs w:val="20"/>
                <w:color w:val="auto"/>
              </w:rPr>
            </w:pPr>
            <w:r>
              <w:rPr>
                <w:rFonts w:ascii="Times New Roman" w:cs="Times New Roman" w:eastAsia="Times New Roman" w:hAnsi="Times New Roman"/>
                <w:sz w:val="17"/>
                <w:szCs w:val="17"/>
                <w:color w:val="0000FF"/>
                <w:w w:val="99"/>
              </w:rPr>
              <w:t>STOCKHOLDER MATTERS</w:t>
            </w:r>
          </w:p>
        </w:tc>
        <w:tc>
          <w:tcPr>
            <w:tcW w:w="5660" w:type="dxa"/>
            <w:vAlign w:val="bottom"/>
            <w:tcBorders>
              <w:top w:val="single" w:sz="8" w:color="0000FF"/>
            </w:tcBorders>
            <w:gridSpan w:val="15"/>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16"/>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ITEM 13.</w:t>
            </w:r>
          </w:p>
        </w:tc>
        <w:tc>
          <w:tcPr>
            <w:tcW w:w="620" w:type="dxa"/>
            <w:vAlign w:val="bottom"/>
            <w:gridSpan w:val="2"/>
          </w:tcPr>
          <w:p>
            <w:pPr>
              <w:spacing w:after="0"/>
              <w:rPr>
                <w:sz w:val="18"/>
                <w:szCs w:val="18"/>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ITEM 14.</w:t>
            </w: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1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PART IV</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300" w:type="dxa"/>
            <w:vAlign w:val="bottom"/>
            <w:gridSpan w:val="16"/>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ITEM 15.</w:t>
            </w:r>
          </w:p>
        </w:tc>
        <w:tc>
          <w:tcPr>
            <w:tcW w:w="620" w:type="dxa"/>
            <w:vAlign w:val="bottom"/>
            <w:gridSpan w:val="2"/>
          </w:tcPr>
          <w:p>
            <w:pPr>
              <w:spacing w:after="0"/>
              <w:rPr>
                <w:sz w:val="17"/>
                <w:szCs w:val="17"/>
                <w:color w:val="auto"/>
              </w:rPr>
            </w:pPr>
          </w:p>
        </w:tc>
        <w:tc>
          <w:tcPr>
            <w:tcW w:w="80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15"/>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940" w:type="dxa"/>
            <w:vAlign w:val="bottom"/>
            <w:gridSpan w:val="21"/>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PAGE</w:t>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16510</wp:posOffset>
            </wp:positionV>
            <wp:extent cx="740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48</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49</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74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76</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135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135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137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138</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140</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144</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145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150</w:t>
      </w:r>
    </w:p>
    <w:p>
      <w:pPr>
        <w:sectPr>
          <w:pgSz w:w="11900" w:h="16838" w:orient="portrait"/>
          <w:cols w:equalWidth="0" w:num="2">
            <w:col w:w="9500" w:space="720"/>
            <w:col w:w="960"/>
          </w:cols>
          <w:pgMar w:left="360" w:top="866" w:right="359" w:bottom="1440" w:gutter="0" w:footer="0" w:header="0"/>
        </w:sectPr>
      </w:pPr>
    </w:p>
    <w:bookmarkStart w:id="2" w:name="page3"/>
    <w:bookmarkEnd w:id="2"/>
    <w:p>
      <w:pPr>
        <w:ind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868"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 LOOKING STATEMENTS</w:t>
      </w:r>
    </w:p>
    <w:p>
      <w:pPr>
        <w:spacing w:after="0" w:line="121"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308" w:lineRule="exact"/>
        <w:rPr>
          <w:sz w:val="20"/>
          <w:szCs w:val="20"/>
          <w:color w:val="auto"/>
        </w:rPr>
      </w:pPr>
    </w:p>
    <w:p>
      <w:pPr>
        <w:ind w:left="940" w:right="260" w:hanging="149"/>
        <w:spacing w:after="0" w:line="270"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18" w:lineRule="exact"/>
        <w:rPr>
          <w:rFonts w:ascii="Times New Roman" w:cs="Times New Roman" w:eastAsia="Times New Roman" w:hAnsi="Times New Roman"/>
          <w:sz w:val="17"/>
          <w:szCs w:val="17"/>
          <w:color w:val="auto"/>
        </w:rPr>
      </w:pPr>
    </w:p>
    <w:p>
      <w:pPr>
        <w:ind w:left="940" w:right="160" w:hanging="149"/>
        <w:spacing w:after="0" w:line="270"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SEC rule proposals focused on equity markets may, if adopted, materially change U.S. equity market structure, including reducing overall trading volumes, reducing off-exchange trading and market making opportunities, requiring additional tools, platforms and services to register as an alternative trading system ("ATS") or exchange, and generally increasing the implicit and explicit cost as well as the complexity of the U.S. equities eco-system for all participants, all of which could have an adverse effect on our business;</w:t>
      </w:r>
    </w:p>
    <w:p>
      <w:pPr>
        <w:spacing w:after="0" w:line="63" w:lineRule="exact"/>
        <w:rPr>
          <w:rFonts w:ascii="Times New Roman" w:cs="Times New Roman" w:eastAsia="Times New Roman" w:hAnsi="Times New Roman"/>
          <w:sz w:val="17"/>
          <w:szCs w:val="17"/>
          <w:color w:val="auto"/>
        </w:rPr>
      </w:pPr>
    </w:p>
    <w:p>
      <w:pPr>
        <w:ind w:left="940" w:right="40" w:hanging="149"/>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not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118" w:lineRule="exact"/>
        <w:rPr>
          <w:rFonts w:ascii="Times New Roman" w:cs="Times New Roman" w:eastAsia="Times New Roman" w:hAnsi="Times New Roman"/>
          <w:sz w:val="17"/>
          <w:szCs w:val="17"/>
          <w:color w:val="auto"/>
        </w:rPr>
      </w:pPr>
    </w:p>
    <w:p>
      <w:pPr>
        <w:jc w:val="both"/>
        <w:ind w:left="940" w:right="400" w:hanging="149"/>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80" w:hanging="149"/>
        <w:spacing w:after="0" w:line="296"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right="60" w:hanging="149"/>
        <w:spacing w:after="0" w:line="270"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increased inflation, monetary conditions and foreign currency and continued or exasperated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jc w:val="both"/>
        <w:ind w:left="940" w:right="40" w:hanging="149"/>
        <w:spacing w:after="0" w:line="276"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355"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We undertake no obligation to publicly update or revise any forward-looking statements to reflect events or circumstances that may arise after the date of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Exchange Traded Funds ("ETFs"), options, foreign exchange, futures, fixed income, cryptocurrencies,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1" w:lineRule="exact"/>
        <w:rPr>
          <w:sz w:val="20"/>
          <w:szCs w:val="20"/>
          <w:color w:val="auto"/>
        </w:rPr>
      </w:pPr>
    </w:p>
    <w:p>
      <w:pPr>
        <w:ind w:firstLine="629"/>
        <w:spacing w:after="0" w:line="213" w:lineRule="exact"/>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third-party licensing or processing fees.</w:t>
      </w:r>
    </w:p>
    <w:p>
      <w:pPr>
        <w:spacing w:after="0" w:line="221"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We believe that technology-enabled market makers like Virtu serve an important role in maintaining and improving the overall health and efficiency of the global capital markets by providing market participants with an efficient means to</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 w:name="page6"/>
    <w:bookmarkEnd w:id="5"/>
    <w:p>
      <w:pPr>
        <w:ind w:right="540"/>
        <w:spacing w:after="0" w:line="296" w:lineRule="auto"/>
        <w:rPr>
          <w:sz w:val="20"/>
          <w:szCs w:val="20"/>
          <w:color w:val="auto"/>
        </w:rPr>
      </w:pPr>
      <w:r>
        <w:rPr>
          <w:rFonts w:ascii="Times New Roman" w:cs="Times New Roman" w:eastAsia="Times New Roman" w:hAnsi="Times New Roman"/>
          <w:sz w:val="17"/>
          <w:szCs w:val="17"/>
          <w:color w:val="auto"/>
        </w:rPr>
        <w:t>transfer risk and analyze the quality of execution. We believe that market participants benefit from the increased liquidity, lower overall trading costs and execution transparency that Virtu provides.</w:t>
      </w:r>
    </w:p>
    <w:p>
      <w:pPr>
        <w:spacing w:after="0" w:line="173"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33" w:lineRule="exact"/>
        <w:rPr>
          <w:sz w:val="20"/>
          <w:szCs w:val="20"/>
          <w:color w:val="auto"/>
        </w:rPr>
      </w:pPr>
    </w:p>
    <w:p>
      <w:pPr>
        <w:ind w:right="20" w:firstLine="629"/>
        <w:spacing w:after="0" w:line="202" w:lineRule="exact"/>
        <w:rPr>
          <w:sz w:val="20"/>
          <w:szCs w:val="20"/>
          <w:color w:val="auto"/>
        </w:rPr>
      </w:pPr>
      <w:r>
        <w:rPr>
          <w:rFonts w:ascii="Times New Roman" w:cs="Times New Roman" w:eastAsia="Times New Roman" w:hAnsi="Times New Roman"/>
          <w:sz w:val="17"/>
          <w:szCs w:val="17"/>
          <w:color w:val="auto"/>
        </w:rPr>
        <w:t>We primarily conduct our Americas equities business through our SEC registered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Virtu Americas, LLC ("VAL"). We are registered with the Central Bank of Ireland ("CBI") and the Financial Conduct Authority ("FCA") in the UK for our European trading, the Investment Industry Regulatory Organization of Canada (“IIROC”) and the Ontario Securities Commission for our Canadian trading, and the Monetary Authority of Singapore ("MAS"), Securities and Futures Commission of Hong Kong ("SFC"), and Australian Securities and Investments Commission ("ASIC")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other matters that may affect our business and the operation of the financial markets and advocate for increased transparency. In the U.S., we conduct our business from our headquarters in New York, New York and our offices in Boston, Massachusetts, Austin, Texas, Chicago, Illinois, Short Hills, New Jersey, and Palm Beach Gardens, Florida. Abroad, we conduct our business through trading centers located in London, England, Dublin, Ireland, Paris, France, Singapore, Hong Kong, Toronto, Canada, and Sydney, Australia.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Making</w:t>
      </w:r>
    </w:p>
    <w:p>
      <w:pPr>
        <w:spacing w:after="0" w:line="252" w:lineRule="exact"/>
        <w:rPr>
          <w:sz w:val="20"/>
          <w:szCs w:val="20"/>
          <w:color w:val="auto"/>
        </w:rPr>
      </w:pPr>
    </w:p>
    <w:p>
      <w:pPr>
        <w:ind w:right="80" w:firstLine="629"/>
        <w:spacing w:after="0" w:line="212" w:lineRule="exact"/>
        <w:rPr>
          <w:sz w:val="20"/>
          <w:szCs w:val="20"/>
          <w:color w:val="auto"/>
        </w:rPr>
      </w:pPr>
      <w:r>
        <w:rPr>
          <w:rFonts w:ascii="Times New Roman" w:cs="Times New Roman" w:eastAsia="Times New Roman" w:hAnsi="Times New Roman"/>
          <w:sz w:val="17"/>
          <w:szCs w:val="17"/>
          <w:color w:val="auto"/>
        </w:rPr>
        <w:t>Our Market Making segment principally consists of market making in the cash, futures, and options markets across global equities, fixed income, currencies, cryptocurrencies, and commodities. As a leading,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spacing w:after="0" w:line="223"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ATSs and other market centers. As a complement to electronic market making, our cash trading business handles specialized orders and transacts on the OTC Link ATS operated by OTC Markets Group Inc.</w:t>
      </w:r>
    </w:p>
    <w:p>
      <w:pPr>
        <w:spacing w:after="0" w:line="194"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We make markets in a number of different asset classes, which are discussed in more detail below. We register as market makers and liquidity providers where available and support affirmative market making obligations.</w:t>
      </w:r>
    </w:p>
    <w:p>
      <w:pPr>
        <w:spacing w:after="0" w:line="173" w:lineRule="exact"/>
        <w:rPr>
          <w:sz w:val="20"/>
          <w:szCs w:val="20"/>
          <w:color w:val="auto"/>
        </w:rPr>
      </w:pPr>
    </w:p>
    <w:p>
      <w:pPr>
        <w:ind w:right="280" w:firstLine="629"/>
        <w:spacing w:after="0" w:line="276" w:lineRule="auto"/>
        <w:rPr>
          <w:sz w:val="20"/>
          <w:szCs w:val="20"/>
          <w:color w:val="auto"/>
        </w:rPr>
      </w:pPr>
      <w:r>
        <w:rPr>
          <w:rFonts w:ascii="Times New Roman" w:cs="Times New Roman" w:eastAsia="Times New Roman" w:hAnsi="Times New Roman"/>
          <w:sz w:val="17"/>
          <w:szCs w:val="17"/>
          <w:color w:val="auto"/>
        </w:rPr>
        <w:t>We provide competitive and deep liquidity that helps to create more efficient markets around the world. We stand ready, at any time, to buy or sell a broad range of securities and other financial instruments, and we generate revenue by buying and selling large volumes of securities and other financial instruments while earning small bid/ask spreads.</w:t>
      </w:r>
    </w:p>
    <w:p>
      <w:pPr>
        <w:spacing w:after="0" w:line="190"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as well as the attractiveness of the order flow we interact with and the level of retail participation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spacing w:after="0" w:line="190"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 w:name="page7"/>
    <w:bookmarkEnd w:id="6"/>
    <w:p>
      <w:pPr>
        <w:ind w:right="280" w:firstLine="629"/>
        <w:spacing w:after="0" w:line="270" w:lineRule="auto"/>
        <w:rPr>
          <w:sz w:val="20"/>
          <w:szCs w:val="20"/>
          <w:color w:val="auto"/>
        </w:rPr>
      </w:pPr>
      <w:r>
        <w:rPr>
          <w:rFonts w:ascii="Times New Roman" w:cs="Times New Roman" w:eastAsia="Times New Roman" w:hAnsi="Times New Roman"/>
          <w:sz w:val="17"/>
          <w:szCs w:val="17"/>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194"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194"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94" w:lineRule="exact"/>
        <w:rPr>
          <w:sz w:val="20"/>
          <w:szCs w:val="20"/>
          <w:color w:val="auto"/>
        </w:rPr>
      </w:pPr>
    </w:p>
    <w:p>
      <w:pPr>
        <w:jc w:val="both"/>
        <w:ind w:right="40" w:firstLine="629"/>
        <w:spacing w:after="0" w:line="296" w:lineRule="auto"/>
        <w:rPr>
          <w:sz w:val="20"/>
          <w:szCs w:val="20"/>
          <w:color w:val="auto"/>
        </w:rPr>
      </w:pPr>
      <w:r>
        <w:rPr>
          <w:rFonts w:ascii="Times New Roman" w:cs="Times New Roman" w:eastAsia="Times New Roman" w:hAnsi="Times New Roman"/>
          <w:sz w:val="17"/>
          <w:szCs w:val="17"/>
          <w:color w:val="auto"/>
        </w:rPr>
        <w:t>Our core operations team across our offices in North America, APAC and Europe monitors our systems 24 hours a day, five days a week. This function provides coverage for our full technology platform, including our market data, order routing, transaction processing, and risk management technology modules.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Clients and Products</w:t>
      </w:r>
    </w:p>
    <w:p>
      <w:pPr>
        <w:spacing w:after="0" w:line="254"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19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generally compete based on execution quality, market coverage,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w:t>
      </w:r>
    </w:p>
    <w:p>
      <w:pPr>
        <w:spacing w:after="0" w:line="194"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We continually work to provide clients with high quality, low-cost trade executions that enable them to satisfy their fiduciary obligation to seek the best execution on behalf of their customer. We continually refine our automated order routing models so that we may remain competitive.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Equities</w:t>
      </w:r>
    </w:p>
    <w:p>
      <w:pPr>
        <w:spacing w:after="0" w:line="254"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We trade over 25,000 listed and over-the-counter ("OTC") securities including, among others, equity related futures and exchange traded products ("ETPs"), on sixteen U.S. Securities and Exchange Commission (“SEC”) registered exchanges and other market centers around the world, including the New York Stock Exchange (“NYSE”), the Nasdaq, NYSE Arca, Cboe BATS, Chicago Stock Exchange, the Member's Exchange ("MEMX"), the TSX in Canada, Bovespa in Brazil and BMV in Mexico, as well as other ATSs and more than 20 private liquidity pools.</w:t>
      </w:r>
    </w:p>
    <w:p>
      <w:pPr>
        <w:spacing w:after="0" w:line="194" w:lineRule="exact"/>
        <w:rPr>
          <w:sz w:val="20"/>
          <w:szCs w:val="20"/>
          <w:color w:val="auto"/>
        </w:rPr>
      </w:pPr>
    </w:p>
    <w:p>
      <w:pPr>
        <w:ind w:right="160" w:firstLine="175"/>
        <w:spacing w:after="0" w:line="276" w:lineRule="auto"/>
        <w:rPr>
          <w:sz w:val="20"/>
          <w:szCs w:val="20"/>
          <w:color w:val="auto"/>
        </w:rPr>
      </w:pPr>
      <w:r>
        <w:rPr>
          <w:rFonts w:ascii="Times New Roman" w:cs="Times New Roman" w:eastAsia="Times New Roman" w:hAnsi="Times New Roman"/>
          <w:sz w:val="17"/>
          <w:szCs w:val="17"/>
          <w:color w:val="auto"/>
        </w:rPr>
        <w:t>Our strategy globally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spacing w:after="0" w:line="190"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As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Fixed Income, Currencies and Commodities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FICC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Options, and Other</w:t>
      </w:r>
    </w:p>
    <w:p>
      <w:pPr>
        <w:spacing w:after="0" w:line="254" w:lineRule="exact"/>
        <w:rPr>
          <w:sz w:val="20"/>
          <w:szCs w:val="20"/>
          <w:color w:val="auto"/>
        </w:rPr>
      </w:pPr>
    </w:p>
    <w:p>
      <w:pPr>
        <w:ind w:right="360" w:firstLine="629"/>
        <w:spacing w:after="0" w:line="276" w:lineRule="auto"/>
        <w:rPr>
          <w:sz w:val="20"/>
          <w:szCs w:val="20"/>
          <w:color w:val="auto"/>
        </w:rPr>
      </w:pPr>
      <w:r>
        <w:rPr>
          <w:rFonts w:ascii="Times New Roman" w:cs="Times New Roman" w:eastAsia="Times New Roman" w:hAnsi="Times New Roman"/>
          <w:sz w:val="17"/>
          <w:szCs w:val="17"/>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Bloomberg, Tradeweb, MarketAxess, and BGC’s Fenics UTS.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 w:name="page8"/>
    <w:bookmarkEnd w:id="7"/>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Our Currencies market making, including spot, futures and forwards, comprises our activity in over 80 currencies, including deliverable, non-deliverable, fiat, and digital currencies, across dozens of venues and direct to counterparties. We are a leading participant in the major foreign exchange venues, including LSEG, Currenex, Cboe FX and CME.</w:t>
      </w:r>
    </w:p>
    <w:p>
      <w:pPr>
        <w:spacing w:after="0" w:line="190" w:lineRule="exact"/>
        <w:rPr>
          <w:sz w:val="20"/>
          <w:szCs w:val="20"/>
          <w:color w:val="auto"/>
        </w:rPr>
      </w:pPr>
    </w:p>
    <w:p>
      <w:pPr>
        <w:ind w:right="220" w:firstLine="629"/>
        <w:spacing w:after="0" w:line="276" w:lineRule="auto"/>
        <w:rPr>
          <w:sz w:val="20"/>
          <w:szCs w:val="20"/>
          <w:color w:val="auto"/>
        </w:rPr>
      </w:pPr>
      <w:r>
        <w:rPr>
          <w:rFonts w:ascii="Times New Roman" w:cs="Times New Roman" w:eastAsia="Times New Roman" w:hAnsi="Times New Roman"/>
          <w:sz w:val="17"/>
          <w:szCs w:val="17"/>
          <w:color w:val="auto"/>
        </w:rPr>
        <w:t>Our Commodities market making takes place on the CME, ICE, and Nasdaq Futures in crude oil, natural gas, heating oil, and gasoline futures. We trade approximately 100 energy products and futures on the ICE, CME, and TOCOM. We also actively trade precious metals, including gold, silver, platinum and palladium, as well as base metals such as aluminum and copper.</w:t>
      </w:r>
    </w:p>
    <w:p>
      <w:pPr>
        <w:spacing w:after="0" w:line="190"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color w:val="auto"/>
        </w:rPr>
        <w:t>Our Options and Other market making includes our activity on all of the U.S. options exchanges of which we are a member (i.e., Cboe, ISE and NYSE Arca) and on the U.S. futures exchanges, as well as our activity in cryptocurrencies. Our cryptocurrency market making includes spot, perpetuals, futures, and ETFs and takes place across 55 venues and exchanges.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Execution Services</w:t>
      </w:r>
    </w:p>
    <w:p>
      <w:pPr>
        <w:spacing w:after="0" w:line="252" w:lineRule="exact"/>
        <w:rPr>
          <w:sz w:val="20"/>
          <w:szCs w:val="20"/>
          <w:color w:val="auto"/>
        </w:rPr>
      </w:pPr>
    </w:p>
    <w:p>
      <w:pPr>
        <w:ind w:right="5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We offer agency execution services and trading venues that provide transparent trading in global equities, ETFs, fixed income, currencies, and commodities </w:t>
      </w:r>
      <w:r>
        <w:rPr>
          <w:rFonts w:ascii="Times New Roman" w:cs="Times New Roman" w:eastAsia="Times New Roman" w:hAnsi="Times New Roman"/>
          <w:sz w:val="17"/>
          <w:szCs w:val="17"/>
          <w:color w:val="222222"/>
        </w:rPr>
        <w:t>to institutions, banks and broker dealers. We generally earn commissions</w:t>
      </w:r>
      <w:r>
        <w:rPr>
          <w:rFonts w:ascii="Times New Roman" w:cs="Times New Roman" w:eastAsia="Times New Roman" w:hAnsi="Times New Roman"/>
          <w:sz w:val="17"/>
          <w:szCs w:val="17"/>
          <w:color w:val="auto"/>
        </w:rPr>
        <w:t xml:space="preserve"> when transacting as an agent for our clients. </w:t>
      </w:r>
      <w:r>
        <w:rPr>
          <w:rFonts w:ascii="Times New Roman" w:cs="Times New Roman" w:eastAsia="Times New Roman" w:hAnsi="Times New Roman"/>
          <w:sz w:val="17"/>
          <w:szCs w:val="17"/>
          <w:color w:val="222222"/>
        </w:rPr>
        <w:t>Within the Execution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Services segment, we offer the following categories of products and services:</w:t>
      </w:r>
    </w:p>
    <w:p>
      <w:pPr>
        <w:spacing w:after="0" w:line="190" w:lineRule="exact"/>
        <w:rPr>
          <w:sz w:val="20"/>
          <w:szCs w:val="20"/>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Agency-based, execution-only trading, done through a variety of access points including:</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algorithmic trading and order routing;</w:t>
      </w:r>
    </w:p>
    <w:p>
      <w:pPr>
        <w:spacing w:after="0" w:line="14" w:lineRule="exact"/>
        <w:rPr>
          <w:rFonts w:ascii="Times New Roman" w:cs="Times New Roman" w:eastAsia="Times New Roman" w:hAnsi="Times New Roman"/>
          <w:sz w:val="17"/>
          <w:szCs w:val="17"/>
          <w:color w:val="auto"/>
        </w:rPr>
      </w:pPr>
    </w:p>
    <w:p>
      <w:pPr>
        <w:ind w:left="1260" w:right="460" w:hanging="312"/>
        <w:spacing w:after="0" w:line="257" w:lineRule="auto"/>
        <w:tabs>
          <w:tab w:leader="none" w:pos="125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sales traders who offer portfolio trading and single stock sales trading providing execution expertise for program, block and riskless principal trades in global equities and ETFs; and</w:t>
      </w: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matching of client conditional orders via POSIT Alert and in our ATSs, including Virtu MatchIt and POSIT.</w:t>
      </w:r>
    </w:p>
    <w:p>
      <w:pPr>
        <w:spacing w:after="0" w:line="231" w:lineRule="exact"/>
        <w:rPr>
          <w:rFonts w:ascii="Times New Roman" w:cs="Times New Roman" w:eastAsia="Times New Roman" w:hAnsi="Times New Roman"/>
          <w:sz w:val="17"/>
          <w:szCs w:val="17"/>
          <w:color w:val="auto"/>
        </w:rPr>
      </w:pPr>
    </w:p>
    <w:p>
      <w:pPr>
        <w:ind w:left="640" w:right="160" w:hanging="321"/>
        <w:spacing w:after="0" w:line="296"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Workflow Technology, and our integrated, broker-neutral trading tools delivered across the globe including order and execution management systems and order management software applications and network connectivity; and</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Analytics, including</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tools enabling portfolio managers and traders to improve pre-trade and real-time execution performance and post-trade analysis;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portfolio construction and optimization decisions; and</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valuation.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22222"/>
        </w:rPr>
        <w:t>Clients and Products</w:t>
      </w:r>
    </w:p>
    <w:p>
      <w:pPr>
        <w:spacing w:after="0" w:line="25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2022, our Execution Services segment did not have any client that accounted for more than 10% of our total commissions earned.</w:t>
      </w:r>
    </w:p>
    <w:p>
      <w:pPr>
        <w:spacing w:after="0" w:line="190" w:lineRule="exact"/>
        <w:rPr>
          <w:sz w:val="20"/>
          <w:szCs w:val="20"/>
          <w:color w:val="auto"/>
        </w:rPr>
      </w:pPr>
    </w:p>
    <w:p>
      <w:pPr>
        <w:ind w:right="220" w:firstLine="629"/>
        <w:spacing w:after="0" w:line="265" w:lineRule="auto"/>
        <w:rPr>
          <w:sz w:val="20"/>
          <w:szCs w:val="20"/>
          <w:color w:val="auto"/>
        </w:rPr>
      </w:pPr>
      <w:r>
        <w:rPr>
          <w:rFonts w:ascii="Times New Roman" w:cs="Times New Roman" w:eastAsia="Times New Roman" w:hAnsi="Times New Roman"/>
          <w:sz w:val="17"/>
          <w:szCs w:val="17"/>
          <w:color w:val="222222"/>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important sources of non-displayed liquidity. We also offer clients voice access to global markets including sales and trading for equities, ETFs and options. Certain broker-dealer affiliates </w:t>
      </w:r>
      <w:r>
        <w:rPr>
          <w:rFonts w:ascii="Times New Roman" w:cs="Times New Roman" w:eastAsia="Times New Roman" w:hAnsi="Times New Roman"/>
          <w:sz w:val="17"/>
          <w:szCs w:val="17"/>
          <w:color w:val="000000"/>
        </w:rPr>
        <w:t>also engage in foreign exchange trading to facilitate equity trades by clients in different currencies as well as other client foreign</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 xml:space="preserve">exchange trades unrelated to equity trades. </w:t>
      </w:r>
      <w:r>
        <w:rPr>
          <w:rFonts w:ascii="Times New Roman" w:cs="Times New Roman" w:eastAsia="Times New Roman" w:hAnsi="Times New Roman"/>
          <w:sz w:val="17"/>
          <w:szCs w:val="17"/>
          <w:color w:val="222222"/>
        </w:rPr>
        <w:t>We handle large complex trades, accessing liquidity from our order flow and other sources. We provide soft dollar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22222"/>
        </w:rPr>
        <w:t>and commission recapture programs.</w:t>
      </w:r>
    </w:p>
    <w:p>
      <w:pPr>
        <w:spacing w:after="0" w:line="19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222222"/>
        </w:rPr>
        <w:t xml:space="preserve">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 </w:t>
      </w:r>
      <w:r>
        <w:rPr>
          <w:rFonts w:ascii="Times New Roman" w:cs="Times New Roman" w:eastAsia="Times New Roman" w:hAnsi="Times New Roman"/>
          <w:sz w:val="17"/>
          <w:szCs w:val="17"/>
          <w:color w:val="000000"/>
        </w:rPr>
        <w:t>The segment also includes the results</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of our capital markets business, in which we act as an agent for issuers in connection with at-the-market offerings and buyback programs.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222222"/>
        </w:rPr>
        <w:t>Agency-based, Execution-only Trading</w:t>
      </w:r>
    </w:p>
    <w:p>
      <w:pPr>
        <w:spacing w:after="0" w:line="228" w:lineRule="exact"/>
        <w:rPr>
          <w:sz w:val="20"/>
          <w:szCs w:val="20"/>
          <w:color w:val="auto"/>
        </w:rPr>
      </w:pPr>
    </w:p>
    <w:p>
      <w:pPr>
        <w:ind w:right="120" w:firstLine="629"/>
        <w:spacing w:after="0" w:line="213" w:lineRule="exact"/>
        <w:rPr>
          <w:sz w:val="20"/>
          <w:szCs w:val="20"/>
          <w:color w:val="auto"/>
        </w:rPr>
      </w:pPr>
      <w:r>
        <w:rPr>
          <w:rFonts w:ascii="Times New Roman" w:cs="Times New Roman" w:eastAsia="Times New Roman" w:hAnsi="Times New Roman"/>
          <w:sz w:val="17"/>
          <w:szCs w:val="17"/>
          <w:color w:val="222222"/>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Times New Roman" w:cs="Times New Roman" w:eastAsia="Times New Roman" w:hAnsi="Times New Roman"/>
          <w:sz w:val="17"/>
          <w:szCs w:val="17"/>
          <w:color w:val="000000"/>
        </w:rPr>
        <w:t>Our algorithms and order routers help portfolio managers and traders to</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trade orders quickly, comprehensively and cost</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efficiently from our EMS or our Order Management System (“OMS”) and most third</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party trading platforms. Our institutional sales traders offer portfolio trading and single stock sales trading which provides execution expertise for program, block and riskless principal trades in global equities and ETFs.</w:t>
      </w:r>
    </w:p>
    <w:p>
      <w:pPr>
        <w:spacing w:after="0" w:line="221" w:lineRule="exact"/>
        <w:rPr>
          <w:sz w:val="20"/>
          <w:szCs w:val="20"/>
          <w:color w:val="auto"/>
        </w:rPr>
      </w:pPr>
    </w:p>
    <w:p>
      <w:pPr>
        <w:ind w:right="60" w:firstLine="629"/>
        <w:spacing w:after="0" w:line="212" w:lineRule="exact"/>
        <w:rPr>
          <w:sz w:val="20"/>
          <w:szCs w:val="20"/>
          <w:color w:val="auto"/>
        </w:rPr>
      </w:pPr>
      <w:r>
        <w:rPr>
          <w:rFonts w:ascii="Times New Roman" w:cs="Times New Roman" w:eastAsia="Times New Roman" w:hAnsi="Times New Roman"/>
          <w:sz w:val="17"/>
          <w:szCs w:val="17"/>
          <w:color w:val="auto"/>
        </w:rPr>
        <w:t>We provide matching of client orders in our ATSs, including Virtu MatchIt, POSIT ATS, and POSIT MTF.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displayed (or dark) equity orders and price improvement opportunities within the published best bid and offer price. POSIT Alert is a block crossing mechanism within POSIT.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22222"/>
        </w:rPr>
        <w:t>Workflow Technology</w:t>
      </w:r>
    </w:p>
    <w:p>
      <w:pPr>
        <w:spacing w:after="0" w:line="254" w:lineRule="exact"/>
        <w:rPr>
          <w:sz w:val="20"/>
          <w:szCs w:val="20"/>
          <w:color w:val="auto"/>
        </w:rPr>
      </w:pPr>
    </w:p>
    <w:p>
      <w:pPr>
        <w:ind w:firstLine="629"/>
        <w:spacing w:after="0" w:line="215" w:lineRule="exact"/>
        <w:rPr>
          <w:sz w:val="20"/>
          <w:szCs w:val="20"/>
          <w:color w:val="auto"/>
        </w:rPr>
      </w:pPr>
      <w:r>
        <w:rPr>
          <w:rFonts w:ascii="Times New Roman" w:cs="Times New Roman" w:eastAsia="Times New Roman" w:hAnsi="Times New Roman"/>
          <w:sz w:val="17"/>
          <w:szCs w:val="17"/>
          <w:color w:val="auto"/>
        </w:rPr>
        <w:t>Our workflow technology tools are designed to meet the needs of a broad range of trading styles. As an example, Triton Valor, the most recent release of our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and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neutral Triton EMS, helps to bring integrated execution and analytical tools to the user’s desktop, including the Algo Wheel, an algorithmic way for a portfolio manager to intelligently allocate volume between different providers. Triton supports global list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and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stock trading, as well as futures and options capabilities and includes ITG Net, a fully integrated and supported financial services communications network. Triton also provides traders with access to scalable,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latency,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trade utilities, as well as support for multiple, flexible settlement communication methods and a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process monitor.</w:t>
      </w:r>
    </w:p>
    <w:p>
      <w:pPr>
        <w:spacing w:after="0" w:line="172" w:lineRule="exact"/>
        <w:rPr>
          <w:sz w:val="20"/>
          <w:szCs w:val="20"/>
          <w:color w:val="auto"/>
        </w:rPr>
      </w:pPr>
    </w:p>
    <w:p>
      <w:pPr>
        <w:ind w:right="180" w:firstLine="629"/>
        <w:spacing w:after="0" w:line="220" w:lineRule="exact"/>
        <w:rPr>
          <w:sz w:val="20"/>
          <w:szCs w:val="20"/>
          <w:color w:val="auto"/>
        </w:rPr>
      </w:pPr>
      <w:r>
        <w:rPr>
          <w:rFonts w:ascii="Times New Roman" w:cs="Times New Roman" w:eastAsia="Times New Roman" w:hAnsi="Times New Roman"/>
          <w:sz w:val="17"/>
          <w:szCs w:val="17"/>
          <w:color w:val="auto"/>
        </w:rPr>
        <w:t>ITG Net is our global financial communications network that provides reliable and fully-supported connectivity between buy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and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firms for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order routing and indication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interest messages with Virtu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trading platforms. ITG Net supports approximately 9,000 global billable connections to more than 600 unique execution destinations worldwide. ITG Net also integrates the trading products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brokers and ATSs into our OMS and EMS platforms.</w:t>
      </w:r>
    </w:p>
    <w:p>
      <w:pPr>
        <w:spacing w:after="0" w:line="194" w:lineRule="exact"/>
        <w:rPr>
          <w:sz w:val="20"/>
          <w:szCs w:val="20"/>
          <w:color w:val="auto"/>
        </w:rPr>
      </w:pPr>
    </w:p>
    <w:p>
      <w:pPr>
        <w:ind w:left="640"/>
        <w:spacing w:after="0" w:line="196" w:lineRule="exact"/>
        <w:rPr>
          <w:sz w:val="20"/>
          <w:szCs w:val="20"/>
          <w:color w:val="auto"/>
        </w:rPr>
      </w:pPr>
      <w:r>
        <w:rPr>
          <w:rFonts w:ascii="Times New Roman" w:cs="Times New Roman" w:eastAsia="Times New Roman" w:hAnsi="Times New Roman"/>
          <w:sz w:val="17"/>
          <w:szCs w:val="17"/>
          <w:color w:val="auto"/>
        </w:rPr>
        <w:t>RFQ</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hub, a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platform for global listed and over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counter (“OTC”) financial instruments, connects buy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trading desks and portfolio</w:t>
      </w:r>
    </w:p>
    <w:p>
      <w:pPr>
        <w:spacing w:after="0" w:line="6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managers with a large network of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market makers in Europe, North America and the APAC region, allowing these trading desks to place</w:t>
      </w:r>
    </w:p>
    <w:p>
      <w:pPr>
        <w:spacing w:after="0" w:line="1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requests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quotes (“RFQ”) in negotiated equities, futures, options, swaps, convertible bonds, structured products and commodities. RFQ</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hub is available as a</w:t>
      </w:r>
    </w:p>
    <w:p>
      <w:pPr>
        <w:spacing w:after="0" w:line="1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stand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alone platform and is also integrated with Triton. In May 2022, we formed a consortium of strategic partners and investors to own and support the growth</w:t>
      </w:r>
    </w:p>
    <w:p>
      <w:pPr>
        <w:spacing w:after="0" w:line="33"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color w:val="auto"/>
        </w:rPr>
        <w:t>of the RFQ-hub business. Through a series of related transactions, we sold a substantial minority interest in the business to multiple strategic partners and have maintained a majority ownership interest.</w:t>
      </w:r>
    </w:p>
    <w:p>
      <w:pPr>
        <w:spacing w:after="0" w:line="173" w:lineRule="exact"/>
        <w:rPr>
          <w:sz w:val="20"/>
          <w:szCs w:val="20"/>
          <w:color w:val="auto"/>
        </w:rPr>
      </w:pPr>
    </w:p>
    <w:p>
      <w:pPr>
        <w:ind w:right="100" w:firstLine="629"/>
        <w:spacing w:after="0" w:line="214" w:lineRule="exact"/>
        <w:rPr>
          <w:sz w:val="20"/>
          <w:szCs w:val="20"/>
          <w:color w:val="auto"/>
        </w:rPr>
      </w:pPr>
      <w:r>
        <w:rPr>
          <w:rFonts w:ascii="Times New Roman" w:cs="Times New Roman" w:eastAsia="Times New Roman" w:hAnsi="Times New Roman"/>
          <w:sz w:val="17"/>
          <w:szCs w:val="17"/>
          <w:color w:val="auto"/>
        </w:rPr>
        <w:t>We offer administration and consolidation of client commission arrangements across a wide range of our clients’ preferred brokerage and research providers through Commission Manager, a robust,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web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222222"/>
        </w:rPr>
        <w:t>Analytics</w:t>
      </w:r>
    </w:p>
    <w:p>
      <w:pPr>
        <w:spacing w:after="0" w:line="201" w:lineRule="exact"/>
        <w:rPr>
          <w:sz w:val="20"/>
          <w:szCs w:val="20"/>
          <w:color w:val="auto"/>
        </w:rPr>
      </w:pPr>
    </w:p>
    <w:p>
      <w:pPr>
        <w:ind w:right="200" w:firstLine="629"/>
        <w:spacing w:after="0" w:line="216" w:lineRule="exact"/>
        <w:rPr>
          <w:sz w:val="20"/>
          <w:szCs w:val="20"/>
          <w:color w:val="auto"/>
        </w:rPr>
      </w:pPr>
      <w:r>
        <w:rPr>
          <w:rFonts w:ascii="Times New Roman" w:cs="Times New Roman" w:eastAsia="Times New Roman" w:hAnsi="Times New Roman"/>
          <w:sz w:val="17"/>
          <w:szCs w:val="17"/>
          <w:color w:val="auto"/>
        </w:rPr>
        <w:t>Our trading analytics suite helps enable portfolio managers and traders to analyze execution performance before the trade happens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trade) and during trading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w:t>
      </w:r>
    </w:p>
    <w:p>
      <w:pPr>
        <w:spacing w:after="0" w:line="252"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operating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252"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have senior risk personnel who report independently into the Board Risk Committee. We also have a Risk Advisory Committee, which includes key personnel from each of our regions globally and is comprised of our senior risk personnel, members of our senior management team, senior technologists and traders, and certain other senior officers. Our Risk Advisory Committee provides advice to our senior management team in connection with our key risk management policies, procedures and risk limits. Our Board of Directors, through the Board Risk Committee, is periodically apprised of risk events, risk profiles, trends and the activities of our Risk Advisory Committee, including our risk management policies, procedures and controls.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approach to managing risk includes the following practices:</w:t>
      </w:r>
    </w:p>
    <w:p>
      <w:pPr>
        <w:spacing w:after="0" w:line="248" w:lineRule="exact"/>
        <w:rPr>
          <w:sz w:val="20"/>
          <w:szCs w:val="20"/>
          <w:color w:val="auto"/>
        </w:rPr>
      </w:pPr>
    </w:p>
    <w:p>
      <w:pPr>
        <w:ind w:left="640" w:right="100" w:hanging="321"/>
        <w:spacing w:after="0" w:line="278"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Pre-Trade Risk Controls</w:t>
      </w:r>
      <w:r>
        <w:rPr>
          <w:rFonts w:ascii="Times New Roman" w:cs="Times New Roman" w:eastAsia="Times New Roman" w:hAnsi="Times New Roman"/>
          <w:sz w:val="17"/>
          <w:szCs w:val="17"/>
          <w:color w:val="auto"/>
        </w:rPr>
        <w:t>. Messages that leave our trading environment must first pass through a series of preset risk controls, which are intended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minimize the likelihood of unintended activities by our algorithms. Certain risk controls, when triggered, result in a strategy lockdown, which requires a manual reset in order to restart the strategy.</w:t>
      </w:r>
    </w:p>
    <w:p>
      <w:pPr>
        <w:spacing w:after="0" w:line="185" w:lineRule="exact"/>
        <w:rPr>
          <w:rFonts w:ascii="Times New Roman" w:cs="Times New Roman" w:eastAsia="Times New Roman" w:hAnsi="Times New Roman"/>
          <w:sz w:val="17"/>
          <w:szCs w:val="17"/>
          <w:color w:val="auto"/>
        </w:rPr>
      </w:pPr>
    </w:p>
    <w:p>
      <w:pPr>
        <w:ind w:left="640" w:right="400" w:hanging="321"/>
        <w:spacing w:after="0" w:line="278"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Model Restrictions</w:t>
      </w:r>
      <w:r>
        <w:rPr>
          <w:rFonts w:ascii="Times New Roman" w:cs="Times New Roman" w:eastAsia="Times New Roman" w:hAnsi="Times New Roman"/>
          <w:sz w:val="17"/>
          <w:szCs w:val="17"/>
          <w:color w:val="auto"/>
        </w:rPr>
        <w:t>. Trading models have limits in place which restrict individual position sizes, sector exposures and imbalanced portfolios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directional risks. Trading strategies are designed to automatically reduce exposures when limits are reached. The models are monitored continuously by the trading team and the risk managers.</w:t>
      </w:r>
    </w:p>
    <w:p>
      <w:pPr>
        <w:spacing w:after="0" w:line="160" w:lineRule="exact"/>
        <w:rPr>
          <w:rFonts w:ascii="Times New Roman" w:cs="Times New Roman" w:eastAsia="Times New Roman" w:hAnsi="Times New Roman"/>
          <w:sz w:val="17"/>
          <w:szCs w:val="17"/>
          <w:color w:val="auto"/>
        </w:rPr>
      </w:pPr>
    </w:p>
    <w:p>
      <w:pPr>
        <w:ind w:left="640" w:right="120" w:hanging="321"/>
        <w:spacing w:after="0" w:line="232" w:lineRule="exact"/>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Aggregate Exposure Monitoring. </w:t>
      </w:r>
      <w:r>
        <w:rPr>
          <w:rFonts w:ascii="Times New Roman" w:cs="Times New Roman" w:eastAsia="Times New Roman" w:hAnsi="Times New Roman"/>
          <w:sz w:val="17"/>
          <w:szCs w:val="17"/>
          <w:color w:val="auto"/>
        </w:rPr>
        <w:t>Pursuant to our risk management policies, our automated management information systems monitor in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 reports on daily and periodic bases. Exposures monitored include:</w:t>
      </w:r>
    </w:p>
    <w:p>
      <w:pPr>
        <w:spacing w:after="0" w:line="218"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Profiles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Statistical Risk Measures including Value at Risk (“VaR”), and Equity Betas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Stress and Scenario analysis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Concentration measures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Profit and Loss analysis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performance reports</w:t>
      </w:r>
    </w:p>
    <w:p>
      <w:pPr>
        <w:spacing w:after="0" w:line="205" w:lineRule="exact"/>
        <w:rPr>
          <w:rFonts w:ascii="Times New Roman" w:cs="Times New Roman" w:eastAsia="Times New Roman" w:hAnsi="Times New Roman"/>
          <w:sz w:val="17"/>
          <w:szCs w:val="17"/>
          <w:color w:val="auto"/>
        </w:rPr>
      </w:pPr>
    </w:p>
    <w:p>
      <w:pPr>
        <w:ind w:left="640" w:right="400" w:hanging="321"/>
        <w:spacing w:after="0" w:line="242" w:lineRule="exact"/>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trading assets and liabilities are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daily for financial reporting purposes by reference to official exchange prices, and they are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valued continuously throughout the trading day for risk management and asset/liability management purposes.</w:t>
      </w:r>
    </w:p>
    <w:p>
      <w:pPr>
        <w:spacing w:after="0" w:line="197"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Operational Controls. </w:t>
      </w:r>
      <w:r>
        <w:rPr>
          <w:rFonts w:ascii="Times New Roman" w:cs="Times New Roman" w:eastAsia="Times New Roman" w:hAnsi="Times New Roman"/>
          <w:sz w:val="17"/>
          <w:szCs w:val="17"/>
          <w:color w:val="auto"/>
        </w:rPr>
        <w:t>We have a series of automated controls over our business. Key automated controls include: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 w:name="page11"/>
    <w:bookmarkEnd w:id="10"/>
    <w:p>
      <w:pPr>
        <w:ind w:left="1260" w:right="460" w:hanging="312"/>
        <w:spacing w:after="0" w:line="268" w:lineRule="auto"/>
        <w:tabs>
          <w:tab w:leader="none" w:pos="12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technical operations system continuously monitors our network and the proper functioning of each of our trading centers around the world;</w:t>
      </w:r>
    </w:p>
    <w:p>
      <w:pPr>
        <w:ind w:left="1260" w:hanging="312"/>
        <w:spacing w:after="0" w:line="210" w:lineRule="exact"/>
        <w:tabs>
          <w:tab w:leader="none" w:pos="12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making system continuously evaluates the listed securities and other financial products in which we provide bid and offer quotes and changes its bids and offers to reflect changes in market conditions. The latency of communicating with exchanges and market centers is reduced through continuous software and network engineering innovation, allowing us to achieve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controls over market exposure. We connect to exchanges and other electronic venues through a network of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location facilities around the world that are monitored 24 hours a day, five days a week, by our staff of experienced network professionals;</w:t>
      </w:r>
    </w:p>
    <w:p>
      <w:pPr>
        <w:spacing w:after="0" w:line="1" w:lineRule="exact"/>
        <w:rPr>
          <w:rFonts w:ascii="Times New Roman" w:cs="Times New Roman" w:eastAsia="Times New Roman" w:hAnsi="Times New Roman"/>
          <w:sz w:val="17"/>
          <w:szCs w:val="17"/>
          <w:color w:val="auto"/>
        </w:rPr>
      </w:pPr>
    </w:p>
    <w:p>
      <w:pPr>
        <w:ind w:left="1260" w:right="160" w:hanging="312"/>
        <w:spacing w:after="0" w:line="257" w:lineRule="auto"/>
        <w:tabs>
          <w:tab w:leader="none" w:pos="12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clearing system captures trades in real-time and performs automated reconciliations of trades and positions, corporate action processing, options exercises, securities lending and inventory management, allowing us to effectively manage operational risk; and</w:t>
      </w:r>
    </w:p>
    <w:p>
      <w:pPr>
        <w:ind w:left="1260" w:hanging="312"/>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developed to support our market making systems performs daily profit and loss and position reconciliations.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Additionally, we conduct after event reviews where operational issues are evaluated and risk mitigations are identified and subsequently implemented.</w:t>
      </w:r>
    </w:p>
    <w:p>
      <w:pPr>
        <w:spacing w:after="0" w:line="248" w:lineRule="exact"/>
        <w:rPr>
          <w:sz w:val="20"/>
          <w:szCs w:val="20"/>
          <w:color w:val="auto"/>
        </w:rPr>
      </w:pPr>
    </w:p>
    <w:p>
      <w:pPr>
        <w:ind w:left="640" w:right="80" w:hanging="321"/>
        <w:spacing w:after="0" w:line="299"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Credit Controls</w:t>
      </w:r>
      <w:r>
        <w:rPr>
          <w:rFonts w:ascii="Times New Roman" w:cs="Times New Roman" w:eastAsia="Times New Roman" w:hAnsi="Times New Roman"/>
          <w:sz w:val="17"/>
          <w:szCs w:val="17"/>
          <w:color w:val="auto"/>
        </w:rPr>
        <w:t>. Trading notional limits are applied to customers and counterparts. These are monitored throughout the day by trading support and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professionals.</w:t>
      </w:r>
    </w:p>
    <w:p>
      <w:pPr>
        <w:spacing w:after="0" w:line="167" w:lineRule="exact"/>
        <w:rPr>
          <w:rFonts w:ascii="Times New Roman" w:cs="Times New Roman" w:eastAsia="Times New Roman" w:hAnsi="Times New Roman"/>
          <w:sz w:val="17"/>
          <w:szCs w:val="17"/>
          <w:color w:val="auto"/>
        </w:rPr>
      </w:pPr>
    </w:p>
    <w:p>
      <w:pPr>
        <w:ind w:left="640" w:right="260" w:hanging="321"/>
        <w:spacing w:after="0" w:line="299"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Liquidity Controls</w:t>
      </w:r>
      <w:r>
        <w:rPr>
          <w:rFonts w:ascii="Times New Roman" w:cs="Times New Roman" w:eastAsia="Times New Roman" w:hAnsi="Times New Roman"/>
          <w:sz w:val="17"/>
          <w:szCs w:val="17"/>
          <w:color w:val="auto"/>
        </w:rPr>
        <w:t>. We seek to minimize liquidity risk by focusing in highly active and liquid instruments. Less liquid instruments are identified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are in place as to the size of positions we hold in such instruments.</w:t>
      </w:r>
    </w:p>
    <w:p>
      <w:pPr>
        <w:spacing w:after="0" w:line="170"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Our approach to risk mitigation can in some cases limit our overall opportunities, including by adding a degree of latency to our trading infrastructure which can, for example, prevent us from earning outsized returns in times of extreme market volatility. We believe that these trade-offs are necessary to properly limit risk.</w:t>
      </w:r>
    </w:p>
    <w:p>
      <w:pPr>
        <w:spacing w:after="0" w:line="190"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We rely on technology and automation to perform many functions within Virtu. Cyber threats are a risk that we are exposed to as a result of our heavy reliance on technology. These threats could include the introduction of malicious code or unauthorized access, and could result in data loss or destruction, business interruption, financial loss, and the unavailability of service and other risks. We have taken steps to mitigate the various cyber threats, and we devote resources to maintain and regularly upgrade our systems and networks and review the ever-changing threat landscape. Cybersecurity risk is managed as part of our overall information technology risk framework under the direction of our Chief Information Security Officer. We periodically review policies and procedures to seek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52"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spacing w:after="0" w:line="190" w:lineRule="exact"/>
        <w:rPr>
          <w:sz w:val="20"/>
          <w:szCs w:val="20"/>
          <w:color w:val="auto"/>
        </w:rPr>
      </w:pPr>
    </w:p>
    <w:p>
      <w:pPr>
        <w:ind w:right="20" w:firstLine="629"/>
        <w:spacing w:after="0" w:line="214" w:lineRule="exact"/>
        <w:rPr>
          <w:sz w:val="20"/>
          <w:szCs w:val="20"/>
          <w:color w:val="auto"/>
        </w:rPr>
      </w:pPr>
      <w:r>
        <w:rPr>
          <w:rFonts w:ascii="Times New Roman" w:cs="Times New Roman" w:eastAsia="Times New Roman" w:hAnsi="Times New Roman"/>
          <w:sz w:val="17"/>
          <w:szCs w:val="17"/>
          <w:color w:val="auto"/>
        </w:rPr>
        <w:t>Within the market making segment, our competition has been registered market making firms ranging from sole proprietors with very limited resources to large, integrated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w:t>
      </w:r>
    </w:p>
    <w:p>
      <w:pPr>
        <w:spacing w:after="0" w:line="194" w:lineRule="exact"/>
        <w:rPr>
          <w:sz w:val="20"/>
          <w:szCs w:val="20"/>
          <w:color w:val="auto"/>
        </w:rPr>
      </w:pPr>
    </w:p>
    <w:p>
      <w:pPr>
        <w:ind w:right="480" w:firstLine="629"/>
        <w:spacing w:after="0" w:line="223" w:lineRule="exact"/>
        <w:rPr>
          <w:sz w:val="20"/>
          <w:szCs w:val="20"/>
          <w:color w:val="auto"/>
        </w:rPr>
      </w:pPr>
      <w:r>
        <w:rPr>
          <w:rFonts w:ascii="Times New Roman" w:cs="Times New Roman" w:eastAsia="Times New Roman" w:hAnsi="Times New Roman"/>
          <w:sz w:val="17"/>
          <w:szCs w:val="17"/>
          <w:color w:val="auto"/>
        </w:rPr>
        <w:t>In the execution services segment, our algorithmic and smart routing products, as well as our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touch agency execution and portfolio trading internalizers services, compete with agency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only and other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firms. Our trading and portfolio analytics compete with offerings from several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affiliated and independent companies. POSIT and MatchIt compete with various national and regional securities exchanges, ATSs, Electronic Communication Networks, MTFs and systematic internalizers for trade execution services. Our EMS, OMS, connectivity and RFQ services compete with offerings from independent vendors, agency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only firms and other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firms.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 w:name="page12"/>
    <w:bookmarkEnd w:id="11"/>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Some of our competitors in market making and execution services are larger than we are and have more captive order flow in certain assets. Technology and software innovation is a primary focus for us, rather than relying solely on the speed of our network. We believe that our scalable technology allows us to access new markets and increase volumes with limited incremental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and Other Proprietary Rights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rely on federal, state and international laws that govern trade secrets, trademarks, domain names, patents, copyright and contract law to protect our</w:t>
      </w:r>
    </w:p>
    <w:p>
      <w:pPr>
        <w:spacing w:after="0" w:line="3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intellectual property and proprietary technology. We enter into confidentiality, intellectual property invention assignment and/or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competition and</w:t>
      </w:r>
    </w:p>
    <w:p>
      <w:pPr>
        <w:spacing w:after="0" w:line="1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solicitation agreements or restrictions with our employees, independent contractors and business partners, and we control access to, and distribution of,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intellectual property.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25" w:lineRule="exact"/>
        <w:rPr>
          <w:sz w:val="20"/>
          <w:szCs w:val="20"/>
          <w:color w:val="auto"/>
        </w:rPr>
      </w:pPr>
    </w:p>
    <w:p>
      <w:pPr>
        <w:jc w:val="both"/>
        <w:ind w:right="160" w:firstLine="629"/>
        <w:spacing w:after="0" w:line="224" w:lineRule="exact"/>
        <w:rPr>
          <w:sz w:val="20"/>
          <w:szCs w:val="20"/>
          <w:color w:val="auto"/>
        </w:rPr>
      </w:pPr>
      <w:r>
        <w:rPr>
          <w:rFonts w:ascii="Times New Roman" w:cs="Times New Roman" w:eastAsia="Times New Roman" w:hAnsi="Times New Roman"/>
          <w:sz w:val="17"/>
          <w:szCs w:val="17"/>
          <w:color w:val="auto"/>
        </w:rPr>
        <w:t>As of February 3, 2023, we had approximately 993 employees, located in nine countries around the world, all of whom were employed on a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basis and in good standing. The approximate regional representation of our workforce is as follows: 71% Americas, 19% EMEA and 10% APAC. None of our employees are covered by collective bargaining agreements. We believe that our employee relations are good.</w:t>
      </w:r>
    </w:p>
    <w:p>
      <w:pPr>
        <w:spacing w:after="0" w:line="219"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In shaping our culture, we aim to combine a high standard of excellence, technological innovation and agility and operational and financial discipline. We believe that our flat and transparent structure and our collaborative and collegial approach enable our employees to grow, develop and maximize their impact on our organization. To attract and retain top talent in our highly competitive industry, we have designed our compensation and benefits programs to promote the retention and growth of our employees along with their health, well-being and financial security. Our short- and long-term incentive programs are aligned with key business objectives and are intended to motivate strong performance. Our employees are eligible for medical, dental and vision insurance, a savings/retirement plan, life and disability insurance, and various wellness programs and we review the competitiveness of our compensation and benefits periodically. As an equal opportunity employer, all qualified applicants receive consideration without regard to race, national origin, gender, gender identity, sexual orientation, protected veteran status, disability, age or any other legally protected status.</w:t>
      </w:r>
    </w:p>
    <w:p>
      <w:pPr>
        <w:spacing w:after="0" w:line="205"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seek to create an inclusive, equitable, culturally competent, and supportive environment where our management and employees model behavior that enriches our workplace. In 2020, we formed a Diversity and Inclusion Committee (now known as the Diversity, Equity and Inclusion Committee, the "DE&amp;I Committee") to help further these goals and objectives. The DE&amp;I Committee has focused on broadening recruitment efforts, increasing awareness of diversity and inclusiveness related issues through internal trainings and communications, and internal and external mentorship, including mentorships with New York City high school students. Additionally, we have hosted an annual Women's Winternship program since 2019, which provides a week-long internship program aimed at introducing sophomore-level female college students to a career path in financial services and features instructors across the firm from various business lines and disciplines.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25" w:lineRule="exact"/>
        <w:rPr>
          <w:sz w:val="20"/>
          <w:szCs w:val="20"/>
          <w:color w:val="auto"/>
        </w:rPr>
      </w:pPr>
    </w:p>
    <w:p>
      <w:pPr>
        <w:ind w:right="200" w:firstLine="629"/>
        <w:spacing w:after="0" w:line="224" w:lineRule="exact"/>
        <w:rPr>
          <w:sz w:val="20"/>
          <w:szCs w:val="20"/>
          <w:color w:val="auto"/>
        </w:rPr>
      </w:pPr>
      <w:r>
        <w:rPr>
          <w:rFonts w:ascii="Times New Roman" w:cs="Times New Roman" w:eastAsia="Times New Roman" w:hAnsi="Times New Roman"/>
          <w:sz w:val="17"/>
          <w:szCs w:val="17"/>
          <w:color w:val="auto"/>
        </w:rPr>
        <w:t>We conduct our U.S. equities and options market making and provide execution services through VAL, our SEC</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registered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VAL is regulated by the SEC and its designated examining authority is the Financial Industry Regulatory Authority, Inc. (“FINRA”). VAL is also registered as a floor trader firm with the Commodity Futures Trading Commission (“CFTC”).</w:t>
      </w:r>
    </w:p>
    <w:p>
      <w:pPr>
        <w:spacing w:after="0" w:line="219" w:lineRule="exact"/>
        <w:rPr>
          <w:sz w:val="20"/>
          <w:szCs w:val="20"/>
          <w:color w:val="auto"/>
        </w:rPr>
      </w:pPr>
    </w:p>
    <w:p>
      <w:pPr>
        <w:ind w:right="60" w:firstLine="629"/>
        <w:spacing w:after="0" w:line="213" w:lineRule="exact"/>
        <w:rPr>
          <w:sz w:val="20"/>
          <w:szCs w:val="20"/>
          <w:color w:val="auto"/>
        </w:rPr>
      </w:pPr>
      <w:r>
        <w:rPr>
          <w:rFonts w:ascii="Times New Roman" w:cs="Times New Roman" w:eastAsia="Times New Roman" w:hAnsi="Times New Roman"/>
          <w:sz w:val="17"/>
          <w:szCs w:val="17"/>
          <w:color w:val="auto"/>
        </w:rPr>
        <w:t>We are a full clearing member of the National Securities Clearing Corporation (“NSCC”) and the Depository Trust &amp; Clearing Corporation (“DTCC”). Our activities in U.S. equities are both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cleared and rely on fully-disclosed clearing arrangements with third-party clearing firms. We use the services of prime brokers, primarily in other asset classes, who provide us direct market access to markets and often cross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margining and margin financing in return for execution and clearing fees. We continually monitor the credit quality of our prime brokers and rely on large multinational banks for most of our execution and clearing needs globally.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energy, commodities and currency market making and trading activities are primarily conducted through Virtu Financial Global Markets LLC.</w:t>
      </w:r>
    </w:p>
    <w:p>
      <w:pPr>
        <w:spacing w:after="0" w:line="250"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European, Middle Eastern and African (“EMEA”) market making activities from Dublin and through our subsidiary Virtu Financial Ireland Limited ("VFIL"), which is authorized as an “Investment Firm” with the CBI. VFIL</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 w:name="page13"/>
    <w:bookmarkEnd w:id="12"/>
    <w:p>
      <w:pPr>
        <w:ind w:right="200"/>
        <w:spacing w:after="0" w:line="265" w:lineRule="auto"/>
        <w:rPr>
          <w:sz w:val="20"/>
          <w:szCs w:val="20"/>
          <w:color w:val="auto"/>
        </w:rPr>
      </w:pPr>
      <w:r>
        <w:rPr>
          <w:rFonts w:ascii="Times New Roman" w:cs="Times New Roman" w:eastAsia="Times New Roman" w:hAnsi="Times New Roman"/>
          <w:sz w:val="17"/>
          <w:szCs w:val="17"/>
          <w:color w:val="auto"/>
        </w:rPr>
        <w:t>maintains a branch office in London. We conduct our EMEA execution services trading activity from Dublin, London, and Paris through our subsidiary Virtu ITG Europe Limited ("VIEL"). VIEL is authorized and regulated by the CBI as an “Investment Firm” and maintains branch offices in London and Paris. The London branch offices of VFIL and VIEL currently utilize the U.K. FCA's Temporary Permissions Regime and are therefore deemed to be authorized and regulated by the FCA. VIEL's Paris branch is registered with the Banque de France. VIEL also operates a multi-lateral trading facility (“MTF”) in Ireland and Virtu ITG UK Limited ("VIUK"), a U.K. investment firm, operates a MTF in the U.K. VIUK is an investment firm which is authorized and regulated by the FCA.</w:t>
      </w:r>
    </w:p>
    <w:p>
      <w:pPr>
        <w:spacing w:after="0" w:line="198" w:lineRule="exact"/>
        <w:rPr>
          <w:sz w:val="20"/>
          <w:szCs w:val="20"/>
          <w:color w:val="auto"/>
        </w:rPr>
      </w:pPr>
    </w:p>
    <w:p>
      <w:pPr>
        <w:ind w:right="180" w:firstLine="629"/>
        <w:spacing w:after="0" w:line="262" w:lineRule="auto"/>
        <w:rPr>
          <w:sz w:val="20"/>
          <w:szCs w:val="20"/>
          <w:color w:val="auto"/>
        </w:rPr>
      </w:pPr>
      <w:r>
        <w:rPr>
          <w:rFonts w:ascii="Times New Roman" w:cs="Times New Roman" w:eastAsia="Times New Roman" w:hAnsi="Times New Roman"/>
          <w:sz w:val="17"/>
          <w:szCs w:val="17"/>
          <w:color w:val="auto"/>
        </w:rPr>
        <w:t>We conduct our APAC market making, including most of our cryptocurrency market making activity from Singapore and through our Singapore subsidiary, Virtu Financial Singapore Pte. Ltd. Virtu Financial Singapore Pte. Ltd. is registered with the MAS for an investment incentive arrangement. We conduct our APAC execution services trading activity from Singapore, Hong Kong, and Australia through our subsidiaries Virtu ITG Singapore Pte. Limited, Virtu ITG Hong Kong Limited, and Virtu ITG Australia Limited. Virtu ITG Singapore Pte. Limited is a holder of a Capital Markets Services License from the MAS, which is its principal regulator. Virtu ITG Hong Kong Limited is a participating organization of the Hong Kong Stock Exchange and a holder of a securities dealer’s license issued by the SFC, which is its principal regulator. Virtu ITG Australia Limited is a market participant of the Australian Securities Exchange (“ASX”) and Chi-X Australia Limited, and is also a holder of an Australian Financial Services License issued by the ASIC. Virtu ITG Australia Limited’s principal regulators are the ASX and ASIC.</w:t>
      </w:r>
    </w:p>
    <w:p>
      <w:pPr>
        <w:spacing w:after="0" w:line="205" w:lineRule="exact"/>
        <w:rPr>
          <w:sz w:val="20"/>
          <w:szCs w:val="20"/>
          <w:color w:val="auto"/>
        </w:rPr>
      </w:pPr>
    </w:p>
    <w:p>
      <w:pPr>
        <w:ind w:right="40" w:firstLine="629"/>
        <w:spacing w:after="0" w:line="213" w:lineRule="exact"/>
        <w:rPr>
          <w:sz w:val="20"/>
          <w:szCs w:val="20"/>
          <w:color w:val="auto"/>
        </w:rPr>
      </w:pPr>
      <w:r>
        <w:rPr>
          <w:rFonts w:ascii="Times New Roman" w:cs="Times New Roman" w:eastAsia="Times New Roman" w:hAnsi="Times New Roman"/>
          <w:sz w:val="17"/>
          <w:szCs w:val="17"/>
          <w:color w:val="auto"/>
        </w:rPr>
        <w:t>Our Canadian market making activities and our Canadian execution services trading activities are conducted through our subsidiary Virtu Canada Corp (f/k/a Virtu ITG Canada Corp.). Virtu Canada Corp. is a Canadian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registered as an investment dealer with IIROC,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Canada Corp. is also registered as a Futures Commission Merchant in Ontario and Manitoba and Derivatives Dealer in Quebec.</w:t>
      </w:r>
    </w:p>
    <w:p>
      <w:pPr>
        <w:spacing w:after="0" w:line="221" w:lineRule="exact"/>
        <w:rPr>
          <w:sz w:val="20"/>
          <w:szCs w:val="20"/>
          <w:color w:val="auto"/>
        </w:rPr>
      </w:pPr>
    </w:p>
    <w:p>
      <w:pPr>
        <w:ind w:firstLine="629"/>
        <w:spacing w:after="0" w:line="211" w:lineRule="exact"/>
        <w:rPr>
          <w:sz w:val="20"/>
          <w:szCs w:val="20"/>
          <w:color w:val="auto"/>
        </w:rPr>
      </w:pPr>
      <w:r>
        <w:rPr>
          <w:rFonts w:ascii="Times New Roman" w:cs="Times New Roman" w:eastAsia="Times New Roman" w:hAnsi="Times New Roman"/>
          <w:sz w:val="17"/>
          <w:szCs w:val="17"/>
          <w:color w:val="auto"/>
        </w:rPr>
        <w:t>Most aspects of our business are subject to regulation under federal, state and foreign laws and regulations, as well as the rules of the various self-regulatory organization (“SROs”) of which our broker-dealer subsidiaries are members. The SEC, FINRA, CFTC, NFA, U.S. state securities regulators, the European Securities and Markets Authority (“ESMA”) in the European Union, the CBI in Ireland, FCA in the U.K., Banque de France in France, MAS in Singapore, SFC in Hong Kong, ASX and ASIC in Australia, IIROC and OSC in Canada,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including, but not limited to, trading practices, order handling, best execution practices,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money laundering and financial crimes, handling of material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public information, safeguarding data, compliance with exchange and clearinghouse rules, capital adequacy, customer protection, reporting, record retention, market access and the conduct of officers, employees and other associated persons.</w:t>
      </w:r>
    </w:p>
    <w:p>
      <w:pPr>
        <w:spacing w:after="0" w:line="223" w:lineRule="exact"/>
        <w:rPr>
          <w:sz w:val="20"/>
          <w:szCs w:val="20"/>
          <w:color w:val="auto"/>
        </w:rPr>
      </w:pPr>
    </w:p>
    <w:p>
      <w:pPr>
        <w:ind w:right="180" w:firstLine="629"/>
        <w:spacing w:after="0" w:line="213" w:lineRule="exact"/>
        <w:rPr>
          <w:sz w:val="20"/>
          <w:szCs w:val="20"/>
          <w:color w:val="auto"/>
        </w:rPr>
      </w:pPr>
      <w:r>
        <w:rPr>
          <w:rFonts w:ascii="Times New Roman" w:cs="Times New Roman" w:eastAsia="Times New Roman" w:hAnsi="Times New Roman"/>
          <w:sz w:val="17"/>
          <w:szCs w:val="17"/>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including our regulated subsidiaries. These increased obligations require the implementation and maintenance of internal practices, procedures and controls, and the need for additional employee resources, and have increased our costs, and may subject us to government and regulatory inquiries, claims or penalties. Changes in market structure can also necessitate restructuring our operations for compliance in certain jurisdictions which has cost implications.</w:t>
      </w:r>
    </w:p>
    <w:p>
      <w:pPr>
        <w:spacing w:after="0" w:line="221" w:lineRule="exact"/>
        <w:rPr>
          <w:sz w:val="20"/>
          <w:szCs w:val="20"/>
          <w:color w:val="auto"/>
        </w:rPr>
      </w:pPr>
    </w:p>
    <w:p>
      <w:pPr>
        <w:ind w:right="300" w:firstLine="629"/>
        <w:spacing w:after="0" w:line="212" w:lineRule="exact"/>
        <w:rPr>
          <w:sz w:val="20"/>
          <w:szCs w:val="20"/>
          <w:color w:val="auto"/>
        </w:rPr>
      </w:pPr>
      <w:r>
        <w:rPr>
          <w:rFonts w:ascii="Times New Roman" w:cs="Times New Roman" w:eastAsia="Times New Roman" w:hAnsi="Times New Roman"/>
          <w:sz w:val="17"/>
          <w:szCs w:val="17"/>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and/or business activities, the issuance of cease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desist orders or injunctions or the suspension or disqualification of the entity and/or its officers, employees or other associated persons. From time to time, we are the subject of requests for information and documents from the SEC, FINRA and other regulators which could lead to administrative or court proceedings. It is our practice to cooperate and comply with the requests for information and documents. Regulatory inquiries can require substantial expenditures of time and money and can have an adverse impact on our reputation, customer relationship and profitability.</w:t>
      </w:r>
    </w:p>
    <w:p>
      <w:pPr>
        <w:spacing w:after="0" w:line="223" w:lineRule="exact"/>
        <w:rPr>
          <w:sz w:val="20"/>
          <w:szCs w:val="20"/>
          <w:color w:val="auto"/>
        </w:rPr>
      </w:pPr>
    </w:p>
    <w:p>
      <w:pPr>
        <w:ind w:right="280" w:firstLine="629"/>
        <w:spacing w:after="0" w:line="276" w:lineRule="auto"/>
        <w:rPr>
          <w:sz w:val="20"/>
          <w:szCs w:val="20"/>
          <w:color w:val="auto"/>
        </w:rPr>
      </w:pPr>
      <w:r>
        <w:rPr>
          <w:rFonts w:ascii="Times New Roman" w:cs="Times New Roman" w:eastAsia="Times New Roman" w:hAnsi="Times New Roman"/>
          <w:sz w:val="17"/>
          <w:szCs w:val="17"/>
          <w:color w:val="auto"/>
        </w:rPr>
        <w:t>The regulatory environment in which we operate is subject to constant change. Our business, financial condition and operating results may also be adversely affected as a result of new or revised legislation or regulations imposed by the U.S. Congress, foreign legislative bodies, state securities regulators, U.S. and foreign governmental regulatory bodies and SROs.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 w:name="page14"/>
    <w:bookmarkEnd w:id="13"/>
    <w:p>
      <w:pPr>
        <w:ind w:right="40"/>
        <w:spacing w:after="0" w:line="212" w:lineRule="exact"/>
        <w:rPr>
          <w:sz w:val="20"/>
          <w:szCs w:val="20"/>
          <w:color w:val="auto"/>
        </w:rPr>
      </w:pPr>
      <w:r>
        <w:rPr>
          <w:rFonts w:ascii="Times New Roman" w:cs="Times New Roman" w:eastAsia="Times New Roman" w:hAnsi="Times New Roman"/>
          <w:sz w:val="17"/>
          <w:szCs w:val="17"/>
          <w:color w:val="auto"/>
        </w:rPr>
        <w:t>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 such regulations. Regulators may propose market structure changes particularly considering the continued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spacing w:after="0" w:line="205" w:lineRule="exact"/>
        <w:rPr>
          <w:sz w:val="20"/>
          <w:szCs w:val="20"/>
          <w:color w:val="auto"/>
        </w:rPr>
      </w:pPr>
    </w:p>
    <w:p>
      <w:pPr>
        <w:ind w:right="20" w:firstLine="629"/>
        <w:spacing w:after="0" w:line="242" w:lineRule="auto"/>
        <w:rPr>
          <w:sz w:val="20"/>
          <w:szCs w:val="20"/>
          <w:color w:val="auto"/>
        </w:rPr>
      </w:pPr>
      <w:r>
        <w:rPr>
          <w:rFonts w:ascii="Times New Roman" w:cs="Times New Roman" w:eastAsia="Times New Roman" w:hAnsi="Times New Roman"/>
          <w:sz w:val="17"/>
          <w:szCs w:val="17"/>
          <w:color w:val="auto"/>
        </w:rPr>
        <w:t>The SEC and other SROs have enacted and are actively considering rules that may affect our operations and profitability. Specifically, in 2022 the SEC has proposed several rule changes focused on equity market structure reform. These proposals include, but are not limited to, (i) Proposed Rule 615 of Regulation NMS, which proposes to dramatically change the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If adopted, these or other potential rule changes may alter the market structure for NMS securities in ways that would disfavor the current competing market center model and lessen the amount of volume executed off-exchange in favor of a central limit order book model or other centralized model for order interaction. Proposed revisions to SEC Rule 3b-16, Regulation ATS, and Regulation SCI would increase the number of technology platforms that meet the definition of an exchange and would then be required to register as an exchange or alternatively operate as an ATS, and/or operate under the more complex and costly Regulation SCI regime. Proposed changes to Regulation ATS would revise the format of Form ATS required to be filed and would impose additional disclosures and costs to rewrite and refile those forms. These changes and others may impose additional technological, operational and compliance costs on us and creates uncertainty with regard to their effects.</w:t>
      </w:r>
    </w:p>
    <w:p>
      <w:pPr>
        <w:spacing w:after="0" w:line="200" w:lineRule="exact"/>
        <w:rPr>
          <w:sz w:val="20"/>
          <w:szCs w:val="20"/>
          <w:color w:val="auto"/>
        </w:rPr>
      </w:pPr>
    </w:p>
    <w:p>
      <w:pPr>
        <w:ind w:right="120" w:firstLine="629"/>
        <w:spacing w:after="0" w:line="219" w:lineRule="exact"/>
        <w:rPr>
          <w:sz w:val="20"/>
          <w:szCs w:val="20"/>
          <w:color w:val="auto"/>
        </w:rPr>
      </w:pPr>
      <w:r>
        <w:rPr>
          <w:rFonts w:ascii="Times New Roman" w:cs="Times New Roman" w:eastAsia="Times New Roman" w:hAnsi="Times New Roman"/>
          <w:sz w:val="17"/>
          <w:szCs w:val="17"/>
          <w:color w:val="auto"/>
        </w:rPr>
        <w:t>On July 21, 2010, the Dodd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Frank Act was enacted in the U.S. Implementation of the Dodd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Frank Act has been accomplished through extensive rulemaking by the SEC, the CFTC and other governmental agencies. The Dodd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Frank Act includes the “Volcker Rule,” which significantly limits the ability of banks and their affiliates to engage in proprietary trading, and Title VII, which provides a framework for the regulation of the swap markets.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206" w:lineRule="exact"/>
        <w:rPr>
          <w:sz w:val="20"/>
          <w:szCs w:val="20"/>
          <w:color w:val="auto"/>
        </w:rPr>
      </w:pPr>
    </w:p>
    <w:p>
      <w:pPr>
        <w:ind w:firstLine="629"/>
        <w:spacing w:after="0" w:line="241" w:lineRule="auto"/>
        <w:rPr>
          <w:sz w:val="20"/>
          <w:szCs w:val="20"/>
          <w:color w:val="auto"/>
        </w:rPr>
      </w:pPr>
      <w:r>
        <w:rPr>
          <w:rFonts w:ascii="Times New Roman" w:cs="Times New Roman" w:eastAsia="Times New Roman" w:hAnsi="Times New Roman"/>
          <w:sz w:val="17"/>
          <w:szCs w:val="17"/>
          <w:color w:val="auto"/>
        </w:rPr>
        <w:t>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II represented significant change in the operation of European capital markets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contains detailed rules as to the types of platform upon which European equities trading can be conducted, including Regulated Markets, MTFs, Organized Trading Facilities, Systematic Internalisers or equivalent third country venues. MiFID II also requires market makers, such as VFIL, to post firm quotes at competitive prices and contains supplemental requirements with regards to investment firms’ pre-trade risk controls relating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is currently under review, with European Union authorities proposing to make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on December 18, 2020 an ESMA Consultation Paper entitled "MiFID II/MiFIR Review Report on Algorithmic Trading" and on January 28, 2022 an ESMA Consultation Paper “on ESMA”s Opinion on the trading venue perimeter.”. In its communication on “The European economic and financial system: fostering openness, strength and resilience” of January 19, 2021, the European Commission confirmed its intention to propose to make changes with a view to improving simplifying and further harmonizing capital markets’ transparency as part of the review of the MiFID II and MiFIR framework. On December 21, 2022, the Council of the European Union published the texts of its general approach on the proposed regulation to amend MiFIR “as regards enhancing market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 w:name="page15"/>
    <w:bookmarkEnd w:id="14"/>
    <w:p>
      <w:pPr>
        <w:spacing w:after="0" w:line="243" w:lineRule="auto"/>
        <w:rPr>
          <w:sz w:val="20"/>
          <w:szCs w:val="20"/>
          <w:color w:val="auto"/>
        </w:rPr>
      </w:pPr>
      <w:r>
        <w:rPr>
          <w:rFonts w:ascii="Times New Roman" w:cs="Times New Roman" w:eastAsia="Times New Roman" w:hAnsi="Times New Roman"/>
          <w:sz w:val="17"/>
          <w:szCs w:val="17"/>
          <w:color w:val="auto"/>
        </w:rPr>
        <w:t>data transparency, removing obstacles to the emergence of a consolidated tape, optimizing the trading obligations and amending Regulation (EU) No 575/2013 on prudential requirements for credit institutions and amending Regulation (EU) No 648/2012” and on the proposed directive “amending Directive 2014/65/EU on markets in financial instruments and amending Directive 2013/36/EU on access of the activity of credit institutions and the prudential supervision of credit institutions and investment firms, amending Directive 2002/87/EC and repealing Directives 2006/48/EC and 2006/49/EC”, each dated December 16, 2022; as well as publishing an “I” item note, also dated December 16, 2022, inviting the Council’s Permanent Representatives Committee to agree the text of the mandate for negotiations with European Parliament on the basis of the published general approaches, with a view to reaching agreement at first reading. Further, in light of the U.K.'s withdrawal of its membership from the E.U., which is commonly referred to as "Brexit", the passporting regime under MiFID II, which enables firms to provide services to countries across the E.U., no longer encompasses the U.K. VFIL and VIEL continue to service U.K. clients by means of their London branches, however, in light of Brexit, these branches operate in the U.K. not on the basis of MiFID II passporting rights, but on the basis of the U.K. FCA's Temporary Permissions Regime, pursuant to which the London branches of VFIL and VIEL are deemed to be authorized and regulated by the FCA. The U.K. FCA’s Temporary Permissions Regime is due to come to an end at the end of 2023. VIEL and VFIL have submitted applications for full third country branch authorization to ensure the long-term operational footprint of Virtu’s branches in the U.K. These authorization processes are ongoing.</w:t>
      </w:r>
    </w:p>
    <w:p>
      <w:pPr>
        <w:spacing w:after="0" w:line="218" w:lineRule="exact"/>
        <w:rPr>
          <w:sz w:val="20"/>
          <w:szCs w:val="20"/>
          <w:color w:val="auto"/>
        </w:rPr>
      </w:pPr>
    </w:p>
    <w:p>
      <w:pPr>
        <w:jc w:val="both"/>
        <w:ind w:right="300" w:firstLine="629"/>
        <w:spacing w:after="0" w:line="276" w:lineRule="auto"/>
        <w:rPr>
          <w:sz w:val="20"/>
          <w:szCs w:val="20"/>
          <w:color w:val="auto"/>
        </w:rPr>
      </w:pPr>
      <w:r>
        <w:rPr>
          <w:rFonts w:ascii="Times New Roman" w:cs="Times New Roman" w:eastAsia="Times New Roman" w:hAnsi="Times New Roman"/>
          <w:sz w:val="17"/>
          <w:szCs w:val="17"/>
          <w:color w:val="auto"/>
        </w:rPr>
        <w:t>Each of these legislative and regulatory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177" w:lineRule="exact"/>
        <w:rPr>
          <w:sz w:val="20"/>
          <w:szCs w:val="20"/>
          <w:color w:val="auto"/>
        </w:rPr>
      </w:pPr>
    </w:p>
    <w:p>
      <w:pPr>
        <w:ind w:right="40" w:firstLine="629"/>
        <w:spacing w:after="0" w:line="202" w:lineRule="exact"/>
        <w:rPr>
          <w:sz w:val="20"/>
          <w:szCs w:val="20"/>
          <w:color w:val="auto"/>
        </w:rPr>
      </w:pPr>
      <w:r>
        <w:rPr>
          <w:rFonts w:ascii="Times New Roman" w:cs="Times New Roman" w:eastAsia="Times New Roman" w:hAnsi="Times New Roman"/>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Non-compliance with applicable laws or regulatory requirements could subject us to sanctions and could negatively impact our reputation, prospects, revenues and earnings.”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52"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We and our predecessors have been in the electronic trading and market making business for more than 20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spacing w:after="0" w:line="190"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70"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As a result of the completion of the IPO, the Reorganization Transactions, the July 2017 Private Placement (as defined below), and certain other secondary offerings and permitted exchanges by current and former employees of Virtu Financial Units for shares of the Company’s Class A Common Stock, the Company holds an approximately 59.7% interest in Virtu Financial at December 31, 2022. The remaining issued and outstanding Virtu Financial Units are held by an affiliate of Mr. Vincent Viola (the “Founder Post-IPO Member”), two entities whose equity holders include certain members of the management of Virtu Financial, and certain other current and former members of management of Virtu Financial (collectively, the “Virtu Post-IPO Members”). The Founder Post-IPO Member controls approximately 85.2% of the combined voting power of our outstanding common stock as of December 31, 2022.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201"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We have completed two significant acquisitions that have expanded and complemented Virtu Financial's original electronic trading and market making business. On July 20, 2017 (the "KCG Closing Date"), the Company completed the all-cash acquisition (the "Acquisition of KCG") of KCG Holdings, Inc. ("KCG").</w:t>
      </w:r>
    </w:p>
    <w:p>
      <w:pPr>
        <w:spacing w:after="0" w:line="190" w:lineRule="exact"/>
        <w:rPr>
          <w:sz w:val="20"/>
          <w:szCs w:val="20"/>
          <w:color w:val="auto"/>
        </w:rPr>
      </w:pPr>
    </w:p>
    <w:p>
      <w:pPr>
        <w:ind w:right="220" w:firstLine="629"/>
        <w:spacing w:after="0" w:line="267" w:lineRule="auto"/>
        <w:rPr>
          <w:sz w:val="20"/>
          <w:szCs w:val="20"/>
          <w:color w:val="auto"/>
        </w:rPr>
      </w:pPr>
      <w:r>
        <w:rPr>
          <w:rFonts w:ascii="Times New Roman" w:cs="Times New Roman" w:eastAsia="Times New Roman" w:hAnsi="Times New Roman"/>
          <w:sz w:val="17"/>
          <w:szCs w:val="17"/>
          <w:color w:val="auto"/>
        </w:rPr>
        <w:t>On March 1, 2019 (the “ITG Closing Date”), we completed our acquisition of Investment Technology Group, Inc. (“ITG”) in an all-cash transaction (the “ITG Acquisition”). As described in “Acquisition of Investment Technology Group, Inc.” below,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 decisions via liquidity, execution, analytics and workflow technology solutions.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5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 Section 13(a) or 15(d) of the Securities Exchange Act of 1934, as amended (the “Exchange Act”) are available free of charge on our website as soon as possible after we electronically file them with, or furnish them to, the SEC.</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7"/>
          <w:szCs w:val="17"/>
          <w:color w:val="auto"/>
        </w:rPr>
        <w:t xml:space="preserve">Our Investor Relations Department can be contacted at Virtu Financial, Inc., </w:t>
      </w:r>
      <w:r>
        <w:rPr>
          <w:rFonts w:ascii="Times New Roman" w:cs="Times New Roman" w:eastAsia="Times New Roman" w:hAnsi="Times New Roman"/>
          <w:sz w:val="17"/>
          <w:szCs w:val="17"/>
          <w:color w:val="242424"/>
        </w:rPr>
        <w:t>163</w:t>
      </w:r>
      <w:r>
        <w:rPr>
          <w:rFonts w:ascii="Times New Roman" w:cs="Times New Roman" w:eastAsia="Times New Roman" w:hAnsi="Times New Roman"/>
          <w:sz w:val="17"/>
          <w:szCs w:val="17"/>
          <w:color w:val="auto"/>
        </w:rPr>
        <w:t>3 Broadway, New York, NY, 10019, Attn: Investor Relations, e-mail: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investor_relations@virtu.com.</w:t>
      </w:r>
    </w:p>
    <w:p>
      <w:pPr>
        <w:spacing w:after="0" w:line="232"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From time to time, we use our website, public conference calls, and social media channels, including our Twitter account (twitter.com/virtufinancial), our LinkedIn account (linkedin.com/company/virtu-financial), and our Instagram account (instagram.com/virtu.financial),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52" w:lineRule="exact"/>
        <w:rPr>
          <w:sz w:val="20"/>
          <w:szCs w:val="20"/>
          <w:color w:val="auto"/>
        </w:rPr>
      </w:pPr>
    </w:p>
    <w:p>
      <w:pPr>
        <w:ind w:right="540" w:firstLine="629"/>
        <w:spacing w:after="0" w:line="276" w:lineRule="auto"/>
        <w:rPr>
          <w:sz w:val="20"/>
          <w:szCs w:val="20"/>
          <w:color w:val="auto"/>
        </w:rPr>
      </w:pPr>
      <w:r>
        <w:rPr>
          <w:rFonts w:ascii="Times New Roman" w:cs="Times New Roman" w:eastAsia="Times New Roman" w:hAnsi="Times New Roman"/>
          <w:sz w:val="17"/>
          <w:szCs w:val="17"/>
          <w:color w:val="auto"/>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Operations</w:t>
      </w:r>
    </w:p>
    <w:p>
      <w:pPr>
        <w:spacing w:after="0" w:line="254" w:lineRule="exact"/>
        <w:rPr>
          <w:sz w:val="20"/>
          <w:szCs w:val="20"/>
          <w:color w:val="auto"/>
        </w:rPr>
      </w:pPr>
    </w:p>
    <w:p>
      <w:pPr>
        <w:ind w:left="640" w:right="20" w:hanging="321"/>
        <w:spacing w:after="0" w:line="289"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revenues and profitability depend on trading volume, volatility, retail participation and other characteristics in the markets in which we operate and the order flow with which we interact and therefore are subject to factors beyond our control, are prone to significant fluctuations and are difficult to predict.</w:t>
      </w:r>
    </w:p>
    <w:p>
      <w:pPr>
        <w:spacing w:after="0" w:line="175"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upon our trading counterparties and clearing houses to perform their obligations to us.</w:t>
      </w:r>
    </w:p>
    <w:p>
      <w:pPr>
        <w:spacing w:after="0" w:line="14" w:lineRule="exact"/>
        <w:rPr>
          <w:rFonts w:ascii="Times New Roman" w:cs="Times New Roman" w:eastAsia="Times New Roman" w:hAnsi="Times New Roman"/>
          <w:sz w:val="17"/>
          <w:szCs w:val="17"/>
          <w:color w:val="auto"/>
        </w:rPr>
      </w:pPr>
    </w:p>
    <w:p>
      <w:pPr>
        <w:ind w:left="640" w:right="22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losses in our market making activities and our execution services businesses due to failures of our customized trading platform, due to market risk or from a lack of perfect information.</w:t>
      </w:r>
    </w:p>
    <w:p>
      <w:pPr>
        <w:ind w:left="64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of the securities we hold at any particular time may result in large and occasionally anomalous swings in the value of our positions and in our earnings in any period.</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and other competitive dynamics which could harm our financial performance.</w:t>
      </w:r>
    </w:p>
    <w:p>
      <w:pPr>
        <w:spacing w:after="0" w:line="14" w:lineRule="exact"/>
        <w:rPr>
          <w:rFonts w:ascii="Times New Roman" w:cs="Times New Roman" w:eastAsia="Times New Roman" w:hAnsi="Times New Roman"/>
          <w:sz w:val="17"/>
          <w:szCs w:val="17"/>
          <w:color w:val="auto"/>
        </w:rPr>
      </w:pPr>
    </w:p>
    <w:p>
      <w:pPr>
        <w:ind w:left="640" w:right="14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making business is concentrated in U.S. equities; accordingly, our operating results may be negatively impacted by changes that affect the U.S. equity markets.</w:t>
      </w:r>
    </w:p>
    <w:p>
      <w:pPr>
        <w:ind w:left="640" w:right="26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lose significant sources of revenues if we lose any of our larger clients or sources of order flow or lose access to an important exchange or other trading venue or if we fail to adapt to proposed new regulations, should they become final rules.</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liquidity risk in our operations.</w:t>
      </w:r>
    </w:p>
    <w:p>
      <w:pPr>
        <w:spacing w:after="0" w:line="14" w:lineRule="exact"/>
        <w:rPr>
          <w:rFonts w:ascii="Times New Roman" w:cs="Times New Roman" w:eastAsia="Times New Roman" w:hAnsi="Times New Roman"/>
          <w:sz w:val="17"/>
          <w:szCs w:val="17"/>
          <w:color w:val="auto"/>
        </w:rPr>
      </w:pPr>
    </w:p>
    <w:p>
      <w:pPr>
        <w:ind w:left="620" w:hanging="301"/>
        <w:spacing w:after="0" w:line="196" w:lineRule="exact"/>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clearing and other elements of our trade processing expose us to operational, financial and liquidity risks.</w:t>
      </w:r>
    </w:p>
    <w:p>
      <w:pPr>
        <w:spacing w:after="0" w:line="16" w:lineRule="exact"/>
        <w:rPr>
          <w:rFonts w:ascii="Times New Roman" w:cs="Times New Roman" w:eastAsia="Times New Roman" w:hAnsi="Times New Roman"/>
          <w:sz w:val="17"/>
          <w:szCs w:val="17"/>
          <w:color w:val="auto"/>
        </w:rPr>
      </w:pPr>
    </w:p>
    <w:p>
      <w:pPr>
        <w:ind w:left="640" w:right="360" w:hanging="321"/>
        <w:spacing w:after="0" w:line="25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substantial amount of indebtedness, which could negatively impact our business and financial condition, and may limit our flexibility in operating our business.</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technology and our results may be negatively impacted if we cannot remain competitive.</w:t>
      </w:r>
    </w:p>
    <w:p>
      <w:pPr>
        <w:spacing w:after="0" w:line="14" w:lineRule="exact"/>
        <w:rPr>
          <w:rFonts w:ascii="Times New Roman" w:cs="Times New Roman" w:eastAsia="Times New Roman" w:hAnsi="Times New Roman"/>
          <w:sz w:val="17"/>
          <w:szCs w:val="17"/>
          <w:color w:val="auto"/>
        </w:rPr>
      </w:pPr>
    </w:p>
    <w:p>
      <w:pPr>
        <w:ind w:left="640" w:right="42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computer systems and software could expose us to material financial and reputational harm if any of our computer systems or software were subject to any material disruption or corruption.</w:t>
      </w:r>
    </w:p>
    <w:p>
      <w:pPr>
        <w:ind w:left="640" w:right="10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harmed by computer and communication systems malfunctions, human error, failures and delays.</w:t>
      </w:r>
    </w:p>
    <w:p>
      <w:pPr>
        <w:spacing w:after="0" w:line="14" w:lineRule="exact"/>
        <w:rPr>
          <w:rFonts w:ascii="Times New Roman" w:cs="Times New Roman" w:eastAsia="Times New Roman" w:hAnsi="Times New Roman"/>
          <w:sz w:val="17"/>
          <w:szCs w:val="17"/>
          <w:color w:val="auto"/>
        </w:rPr>
      </w:pPr>
    </w:p>
    <w:p>
      <w:pPr>
        <w:ind w:left="620" w:hanging="301"/>
        <w:spacing w:after="0" w:line="196" w:lineRule="exact"/>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poor performance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software, infrastructure or systems could adversely affect our business.</w:t>
      </w:r>
    </w:p>
    <w:p>
      <w:pPr>
        <w:spacing w:after="0" w:line="1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open source software may expose us to additional risks.</w:t>
      </w:r>
    </w:p>
    <w:p>
      <w:pPr>
        <w:spacing w:after="0" w:line="1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protect our intellectual property rights or may be prevented from using intellectual property necessary for our business.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could negatively impact our earnings.</w:t>
      </w:r>
    </w:p>
    <w:p>
      <w:pPr>
        <w:spacing w:after="0" w:line="14" w:lineRule="exact"/>
        <w:rPr>
          <w:rFonts w:ascii="Times New Roman" w:cs="Times New Roman" w:eastAsia="Times New Roman" w:hAnsi="Times New Roman"/>
          <w:sz w:val="17"/>
          <w:szCs w:val="17"/>
          <w:color w:val="auto"/>
        </w:rPr>
      </w:pPr>
    </w:p>
    <w:p>
      <w:pPr>
        <w:ind w:left="640" w:right="62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material losses on foreign exchange transactions entered into on behalf of clients and be exposed to material liquidity risk due to counterparty defaults or errors.</w:t>
      </w:r>
    </w:p>
    <w:p>
      <w:pPr>
        <w:ind w:left="640" w:right="70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risks associated with future growth or expansion of our operations or acquisitions, strategic investments or dispositions of businesses, and we may never realize the anticipated benefits of such activities.</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efforts to sell shares of our common stock or raise additional capital may be inhibited by regulations.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ind w:left="640" w:right="20" w:hanging="321"/>
        <w:spacing w:after="0" w:line="268"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could adversely affect our business, results of operations and financial condition.</w:t>
      </w:r>
    </w:p>
    <w:p>
      <w:pPr>
        <w:spacing w:after="0" w:line="14" w:lineRule="exact"/>
        <w:rPr>
          <w:rFonts w:ascii="Times New Roman" w:cs="Times New Roman" w:eastAsia="Times New Roman" w:hAnsi="Times New Roman"/>
          <w:sz w:val="17"/>
          <w:szCs w:val="17"/>
          <w:color w:val="auto"/>
        </w:rPr>
      </w:pPr>
    </w:p>
    <w:p>
      <w:pPr>
        <w:ind w:left="640" w:right="380" w:hanging="321"/>
        <w:spacing w:after="0" w:line="250"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losses as a result of unforeseen or catastrophic events, including the emergence of another pandemic, social unrest, terrorist attacks, extreme weather events or other natural disasters.</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increased risks or business disruption, incur losses or suffer reputational harm in relation to or as a result of climate change.</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Cryptocurrency is an emerging asset class that carries unique risk, including the risk of financial loss.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w:t>
      </w:r>
    </w:p>
    <w:p>
      <w:pPr>
        <w:spacing w:after="0" w:line="254" w:lineRule="exact"/>
        <w:rPr>
          <w:sz w:val="20"/>
          <w:szCs w:val="20"/>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legal uncertainties could harm our business.</w:t>
      </w:r>
    </w:p>
    <w:p>
      <w:pPr>
        <w:spacing w:after="0" w:line="3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Pending, proposed and other potential changes in laws and rules may adversely impact our business.</w:t>
      </w:r>
    </w:p>
    <w:p>
      <w:pPr>
        <w:spacing w:after="0" w:line="2" w:lineRule="exact"/>
        <w:rPr>
          <w:rFonts w:ascii="Arial" w:cs="Arial" w:eastAsia="Arial" w:hAnsi="Arial"/>
          <w:sz w:val="21"/>
          <w:szCs w:val="21"/>
          <w:color w:val="auto"/>
        </w:rPr>
      </w:pPr>
    </w:p>
    <w:p>
      <w:pPr>
        <w:ind w:left="640" w:right="140" w:hanging="321"/>
        <w:spacing w:after="0" w:line="209" w:lineRule="exact"/>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compliance with applicable laws or regulatory requirements could subject us to sanctions and could negatively impact our reputation, prospects, revenues and earnings.</w:t>
      </w: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relating to litigation and potential securities law liability.</w:t>
      </w:r>
    </w:p>
    <w:p>
      <w:pPr>
        <w:spacing w:after="0" w:line="14" w:lineRule="exact"/>
        <w:rPr>
          <w:rFonts w:ascii="Times New Roman" w:cs="Times New Roman" w:eastAsia="Times New Roman" w:hAnsi="Times New Roman"/>
          <w:sz w:val="17"/>
          <w:szCs w:val="17"/>
          <w:color w:val="auto"/>
        </w:rPr>
      </w:pPr>
    </w:p>
    <w:p>
      <w:pPr>
        <w:ind w:left="640" w:right="340" w:hanging="321"/>
        <w:spacing w:after="0" w:line="25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legislation in the European Union, the U.S. and other jurisdictions that would impose taxes on certain financial transactions could have a material adverse effect on our business and financial results.</w:t>
      </w:r>
    </w:p>
    <w:p>
      <w:pPr>
        <w:ind w:left="640" w:right="100" w:hanging="321"/>
        <w:spacing w:after="0" w:line="25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exposed to risks associated with our international operations and expansion and failure to comply with laws and regulations applicable to such operations may increase costs, reduce profits, limit growth or subject us to liability.</w:t>
      </w: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Brexit continues to pose a risk of negatively impacting the global economy, financial markets and our business.</w:t>
      </w:r>
    </w:p>
    <w:p>
      <w:pPr>
        <w:spacing w:after="0" w:line="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our historical acquisitions, the Company is subject to potential liabilities that could materially and adversely affect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 and Structure</w:t>
      </w:r>
    </w:p>
    <w:p>
      <w:pPr>
        <w:spacing w:after="0" w:line="241" w:lineRule="exact"/>
        <w:rPr>
          <w:sz w:val="20"/>
          <w:szCs w:val="20"/>
          <w:color w:val="auto"/>
        </w:rPr>
      </w:pPr>
    </w:p>
    <w:p>
      <w:pPr>
        <w:ind w:left="640" w:right="780" w:hanging="321"/>
        <w:spacing w:after="0" w:line="268"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holding company and our principal asset is our 59.7% of equity interest in Virtu Financial, and we are accordingly dependent upon distributions from Virtu Financial to pay dividends, if any, taxes and other expenses.</w:t>
      </w:r>
    </w:p>
    <w:p>
      <w:pPr>
        <w:ind w:left="640" w:right="420" w:hanging="321"/>
        <w:spacing w:after="0" w:line="210" w:lineRule="exact"/>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controlled by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whose interests in our business may be different than yours, and certain statutory provisions afforded to stockholders are not applicable to us.</w:t>
      </w:r>
    </w:p>
    <w:p>
      <w:pPr>
        <w:ind w:left="640" w:right="140" w:hanging="321"/>
        <w:spacing w:after="0" w:line="257"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remain in compliance with the covenants contained in our Credit Agreement and our obligation to comply with these covenants may adversely affect our ability to operate our business.</w:t>
      </w:r>
    </w:p>
    <w:p>
      <w:pPr>
        <w:ind w:left="640" w:right="60" w:hanging="321"/>
        <w:spacing w:after="0" w:line="257"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ind w:left="640" w:hanging="321"/>
        <w:spacing w:after="0" w:line="210" w:lineRule="exact"/>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pay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for certain tax benefits we may claim, and the amounts we may pay could be significant.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254" w:lineRule="exact"/>
        <w:rPr>
          <w:sz w:val="20"/>
          <w:szCs w:val="20"/>
          <w:color w:val="auto"/>
        </w:rPr>
      </w:pPr>
    </w:p>
    <w:p>
      <w:pPr>
        <w:ind w:left="620" w:hanging="30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future sales of shares of our Class A common stock in the public market could cause our stock price to fall.</w:t>
      </w:r>
    </w:p>
    <w:p>
      <w:pPr>
        <w:spacing w:after="0" w:line="32" w:lineRule="exact"/>
        <w:rPr>
          <w:rFonts w:ascii="Times New Roman" w:cs="Times New Roman" w:eastAsia="Times New Roman" w:hAnsi="Times New Roman"/>
          <w:sz w:val="17"/>
          <w:szCs w:val="17"/>
          <w:color w:val="auto"/>
        </w:rPr>
      </w:pPr>
    </w:p>
    <w:p>
      <w:pPr>
        <w:ind w:left="640" w:right="460" w:hanging="321"/>
        <w:spacing w:after="0" w:line="257"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establish and maintain effective internal control over financial reporting could have a material adverse effect on our business, financial condition, results of operations and cash flows, and stock price.</w:t>
      </w:r>
    </w:p>
    <w:p>
      <w:pPr>
        <w:ind w:left="640" w:right="700" w:hanging="321"/>
        <w:spacing w:after="0" w:line="257"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pay regular dividends to our stockholders, but our ability to do so may be limited by our holding company structure, contractual restrictions and regulatory requirements.</w:t>
      </w:r>
    </w:p>
    <w:p>
      <w:pPr>
        <w:ind w:left="620" w:hanging="30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charter documents and certain rules imposed by regulatory authorities may delay or prevent our acquisition by a third party.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left="620" w:hanging="301"/>
        <w:spacing w:after="0"/>
        <w:tabs>
          <w:tab w:leader="none" w:pos="620"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Our stock price may be volatile.</w:t>
      </w:r>
    </w:p>
    <w:p>
      <w:pPr>
        <w:spacing w:after="0" w:line="32" w:lineRule="exact"/>
        <w:rPr>
          <w:rFonts w:ascii="Times New Roman" w:cs="Times New Roman" w:eastAsia="Times New Roman" w:hAnsi="Times New Roman"/>
          <w:sz w:val="17"/>
          <w:szCs w:val="17"/>
          <w:b w:val="1"/>
          <w:bCs w:val="1"/>
          <w:i w:val="1"/>
          <w:iCs w:val="1"/>
          <w:color w:val="auto"/>
        </w:rPr>
      </w:pPr>
    </w:p>
    <w:p>
      <w:pPr>
        <w:ind w:left="620" w:hanging="301"/>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incur increased costs as a result of being a public company.</w:t>
      </w:r>
    </w:p>
    <w:p>
      <w:pPr>
        <w:spacing w:after="0" w:line="14" w:lineRule="exact"/>
        <w:rPr>
          <w:rFonts w:ascii="Times New Roman" w:cs="Times New Roman" w:eastAsia="Times New Roman" w:hAnsi="Times New Roman"/>
          <w:sz w:val="17"/>
          <w:szCs w:val="17"/>
          <w:color w:val="auto"/>
        </w:rPr>
      </w:pPr>
    </w:p>
    <w:p>
      <w:pPr>
        <w:ind w:left="640" w:right="200" w:hanging="321"/>
        <w:spacing w:after="0" w:line="257"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and trading volume could decline as a result of inaccurate or unfavorable research, or the cessation of research coverage, about us or our business published by securities or industry analysts.</w:t>
      </w:r>
    </w:p>
    <w:p>
      <w:pPr>
        <w:ind w:left="620" w:hanging="301"/>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reported financial results depend on management’s selection of accounting methods and certain assumptions and estimates.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4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revenues and profitability depend on trading volume, volatility, retail participation and other characteristics of the markets in which we operate and the order flow with which we interact, and therefore are subject to factors beyond our control, are prone to significant fluctuations and are difficult to predict.</w:t>
      </w:r>
    </w:p>
    <w:p>
      <w:pPr>
        <w:spacing w:after="0" w:line="155" w:lineRule="exact"/>
        <w:rPr>
          <w:sz w:val="20"/>
          <w:szCs w:val="20"/>
          <w:color w:val="auto"/>
        </w:rPr>
      </w:pPr>
    </w:p>
    <w:p>
      <w:pPr>
        <w:ind w:right="100" w:firstLine="629"/>
        <w:spacing w:after="0" w:line="242" w:lineRule="auto"/>
        <w:rPr>
          <w:sz w:val="20"/>
          <w:szCs w:val="20"/>
          <w:color w:val="auto"/>
        </w:rPr>
      </w:pPr>
      <w:r>
        <w:rPr>
          <w:rFonts w:ascii="Times New Roman" w:cs="Times New Roman" w:eastAsia="Times New Roman" w:hAnsi="Times New Roman"/>
          <w:sz w:val="17"/>
          <w:szCs w:val="17"/>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regulatory changes,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decreases in retail participation levels and other changes in market and/or order flow characteristics can further diminish the opportunities across markets we serve and order flow with which we interact, resulting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our trading counterparties and clearing houses to perform their obligations to us.</w:t>
      </w:r>
    </w:p>
    <w:p>
      <w:pPr>
        <w:spacing w:after="0" w:line="214" w:lineRule="exact"/>
        <w:rPr>
          <w:sz w:val="20"/>
          <w:szCs w:val="20"/>
          <w:color w:val="auto"/>
        </w:rPr>
      </w:pPr>
    </w:p>
    <w:p>
      <w:pPr>
        <w:ind w:firstLine="629"/>
        <w:spacing w:after="0" w:line="200" w:lineRule="exact"/>
        <w:rPr>
          <w:sz w:val="20"/>
          <w:szCs w:val="20"/>
          <w:color w:val="auto"/>
        </w:rPr>
      </w:pPr>
      <w:r>
        <w:rPr>
          <w:rFonts w:ascii="Times New Roman" w:cs="Times New Roman" w:eastAsia="Times New Roman" w:hAnsi="Times New Roman"/>
          <w:sz w:val="17"/>
          <w:szCs w:val="17"/>
          <w:color w:val="auto"/>
        </w:rPr>
        <w:t>Our business consists of providing consistent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Further, one or more counterparties may suffer liquidity or solvency challenges as a result of internal or other idiosyncratic events, and this may prevent these counterparties, and potentially their counterparties, from meeting their obligations to us. Following the implementation of certain mandates under the Dodd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Frank Act in the U.S. and similar legislation worldwide, many trades in the securities and futures markets, though not all, and an increasing number of trades in the over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2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incur losses in our market making activities and our execution services businesses due to failures of our customized trading platform, due to market risk or from a lack of perfect information.</w:t>
      </w:r>
    </w:p>
    <w:p>
      <w:pPr>
        <w:spacing w:after="0" w:line="169"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9" w:name="page20"/>
    <w:bookmarkEnd w:id="19"/>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200" w:lineRule="exact"/>
        <w:rPr>
          <w:sz w:val="20"/>
          <w:szCs w:val="20"/>
          <w:color w:val="auto"/>
        </w:rPr>
      </w:pPr>
    </w:p>
    <w:p>
      <w:pPr>
        <w:spacing w:after="0" w:line="213" w:lineRule="exact"/>
        <w:rPr>
          <w:sz w:val="20"/>
          <w:szCs w:val="20"/>
          <w:color w:val="auto"/>
        </w:rPr>
      </w:pPr>
    </w:p>
    <w:p>
      <w:pPr>
        <w:ind w:right="320" w:firstLine="629"/>
        <w:spacing w:after="0" w:line="276" w:lineRule="auto"/>
        <w:rPr>
          <w:sz w:val="20"/>
          <w:szCs w:val="20"/>
          <w:color w:val="auto"/>
        </w:rPr>
      </w:pPr>
      <w:r>
        <w:rPr>
          <w:rFonts w:ascii="Times New Roman" w:cs="Times New Roman" w:eastAsia="Times New Roman" w:hAnsi="Times New Roman"/>
          <w:sz w:val="17"/>
          <w:szCs w:val="17"/>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9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may at times trade with others who have information that may be more accurate or complete than the information we have, and as a result we may accumulate unfavorable positions preceding large price movements in a given instrument.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72" w:lineRule="exact"/>
        <w:rPr>
          <w:sz w:val="20"/>
          <w:szCs w:val="20"/>
          <w:color w:val="auto"/>
        </w:rPr>
      </w:pPr>
    </w:p>
    <w:p>
      <w:pPr>
        <w:ind w:right="40" w:firstLine="629"/>
        <w:spacing w:after="0" w:line="216" w:lineRule="exact"/>
        <w:rPr>
          <w:sz w:val="20"/>
          <w:szCs w:val="20"/>
          <w:color w:val="auto"/>
        </w:rPr>
      </w:pPr>
      <w:r>
        <w:rPr>
          <w:rFonts w:ascii="Times New Roman" w:cs="Times New Roman" w:eastAsia="Times New Roman" w:hAnsi="Times New Roman"/>
          <w:sz w:val="17"/>
          <w:szCs w:val="17"/>
          <w:color w:val="auto"/>
        </w:rPr>
        <w:t>Our risk management activities related to our on exchange market making strategies utilize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214"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69"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and other competitive dynamics which could harm our financial performance.</w:t>
      </w:r>
    </w:p>
    <w:p>
      <w:pPr>
        <w:spacing w:after="0" w:line="254"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w:t>
      </w:r>
    </w:p>
    <w:p>
      <w:pPr>
        <w:spacing w:after="0" w:line="172" w:lineRule="exact"/>
        <w:rPr>
          <w:sz w:val="20"/>
          <w:szCs w:val="20"/>
          <w:color w:val="auto"/>
        </w:rPr>
      </w:pPr>
    </w:p>
    <w:p>
      <w:pPr>
        <w:jc w:val="both"/>
        <w:ind w:right="200" w:firstLine="629"/>
        <w:spacing w:after="0" w:line="225" w:lineRule="exact"/>
        <w:rPr>
          <w:sz w:val="20"/>
          <w:szCs w:val="20"/>
          <w:color w:val="auto"/>
        </w:rPr>
      </w:pPr>
      <w:r>
        <w:rPr>
          <w:rFonts w:ascii="Times New Roman" w:cs="Times New Roman" w:eastAsia="Times New Roman" w:hAnsi="Times New Roman"/>
          <w:sz w:val="17"/>
          <w:szCs w:val="17"/>
          <w:color w:val="auto"/>
        </w:rPr>
        <w:t>Our competitors include other registered market makers, as well as unregulated or lesser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capitalized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and proprietary trading firms or other market makers that have substantially greater financial and other resources than we do.</w:t>
      </w:r>
    </w:p>
    <w:p>
      <w:pPr>
        <w:spacing w:after="0" w:line="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These larger and better capitalized competitors may be better able to respond to changes in the market making industry, to compete for skilled professionals, to finance acquisitions, to fund internal growth, to manage costs and expenses and to compete for market share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0" w:name="page21"/>
    <w:bookmarkEnd w:id="20"/>
    <w:p>
      <w:pPr>
        <w:ind w:right="40"/>
        <w:spacing w:after="0" w:line="214" w:lineRule="exact"/>
        <w:rPr>
          <w:sz w:val="20"/>
          <w:szCs w:val="20"/>
          <w:color w:val="auto"/>
        </w:rPr>
      </w:pPr>
      <w:r>
        <w:rPr>
          <w:rFonts w:ascii="Times New Roman" w:cs="Times New Roman" w:eastAsia="Times New Roman" w:hAnsi="Times New Roman"/>
          <w:sz w:val="17"/>
          <w:szCs w:val="17"/>
          <w:color w:val="auto"/>
        </w:rPr>
        <w:t>generally. Trading firms that are not registered as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or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market making business is concentrated in U.S. equities; accordingly, our operating results may be negatively impacted by changes that affect the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markets.</w:t>
      </w:r>
    </w:p>
    <w:p>
      <w:pPr>
        <w:spacing w:after="0" w:line="232"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color w:val="auto"/>
        </w:rPr>
        <w:t>The majority of our market making revenue for 2022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200" w:lineRule="exact"/>
        <w:rPr>
          <w:sz w:val="20"/>
          <w:szCs w:val="20"/>
          <w:color w:val="auto"/>
        </w:rPr>
      </w:pPr>
    </w:p>
    <w:p>
      <w:pPr>
        <w:spacing w:after="0" w:line="206"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could lose significant sources of revenues if we lose any of our larger clients or sources of order flow or lose access to an important exchange or other trading venue or if we fail to adapt to proposed new regulations, should they become final rules.</w:t>
      </w:r>
    </w:p>
    <w:p>
      <w:pPr>
        <w:spacing w:after="0" w:line="169"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At times, a limited number of clients could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Further, changes in applicable laws, regulations or rules could adversely impact our relationship with any such client or opportunities to interact with order flows from such clients. The loss, or a significant reduction, of demand for our services from any of these clients could have a material adverse effect on our business, financial condition, results of operations and cash flows.</w:t>
      </w:r>
    </w:p>
    <w:p>
      <w:pPr>
        <w:spacing w:after="0" w:line="190"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color w:val="auto"/>
        </w:rPr>
        <w:t>Similarly, changes in applicable laws, regulations or rules promulgated by exchanges could conceivably prevent us from providing liquidity directly to clients or counterparties or other trading venue where we provide liquidity today. Following recent regulatory attention on U.S. equities market structure, including the practice of wholesale market making and other forms of off exchange trading, the SEC has proposed the adoption of new Rule 615, which would dramatically change U.S. equities market structure, the routing, handling and potentially the amount, character and cost of retail order flow, and therefore may substantially diminish the volume of our transactions with retail client orders. This and other potential legal and regulatory changes are discussed in further detail in “Item 1A. Risk Factors—Legal and Regulatory Risks. Though our revenues are diversified across exchanges and other trading venues, asset classes and geographies, the loss of access to or reduction in opportunities to transact with one or more significant clients or counterparties, exchanges or other trading venues for any reason could have a material adverse effect on our business, financial condition, results of operations and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liquidity risk in our operations.</w:t>
      </w:r>
    </w:p>
    <w:p>
      <w:pPr>
        <w:spacing w:after="0" w:line="254" w:lineRule="exact"/>
        <w:rPr>
          <w:sz w:val="20"/>
          <w:szCs w:val="20"/>
          <w:color w:val="auto"/>
        </w:rPr>
      </w:pPr>
    </w:p>
    <w:p>
      <w:pPr>
        <w:ind w:right="160" w:firstLine="629"/>
        <w:spacing w:after="0" w:line="216" w:lineRule="exact"/>
        <w:rPr>
          <w:sz w:val="20"/>
          <w:szCs w:val="20"/>
          <w:color w:val="auto"/>
        </w:rPr>
      </w:pPr>
      <w:r>
        <w:rPr>
          <w:rFonts w:ascii="Times New Roman" w:cs="Times New Roman" w:eastAsia="Times New Roman" w:hAnsi="Times New Roman"/>
          <w:sz w:val="17"/>
          <w:szCs w:val="17"/>
          <w:color w:val="auto"/>
        </w:rPr>
        <w:t>We require liquidity to fund various ongoing obligations, including operating expenses, margin requirements, capital expenditures, debt service and dividend payments. Our main sources of liquidity are cash flow from the operations of our subsidiaries, our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revolving credit facilities (described under “Item 7. Management’s Discussion and Analysis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1" w:name="page22"/>
    <w:bookmarkEnd w:id="21"/>
    <w:p>
      <w:pPr>
        <w:jc w:val="both"/>
        <w:ind w:right="200"/>
        <w:spacing w:after="0" w:line="267" w:lineRule="auto"/>
        <w:rPr>
          <w:sz w:val="20"/>
          <w:szCs w:val="20"/>
          <w:color w:val="auto"/>
        </w:rPr>
      </w:pPr>
      <w:r>
        <w:rPr>
          <w:rFonts w:ascii="Times New Roman" w:cs="Times New Roman" w:eastAsia="Times New Roman" w:hAnsi="Times New Roman"/>
          <w:sz w:val="17"/>
          <w:szCs w:val="17"/>
          <w:color w:val="auto"/>
        </w:rPr>
        <w:t>Financial Condition and Results of Operations - Liquidity and Capital Resources - Long-Term Borrowings”), margin financing provided by our prime brokers and cash on hand. Our liquidity could be materially impaired by a number of factors, including increased funding requirements for margin or settlement with central clearinghouses, prime brokers or counterparties,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1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Self</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clearing and other elements of our trade processing operations expose us to significant operational, financial and liquidity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-47625</wp:posOffset>
            </wp:positionV>
            <wp:extent cx="62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230" w:lineRule="exact"/>
        <w:rPr>
          <w:sz w:val="20"/>
          <w:szCs w:val="20"/>
          <w:color w:val="auto"/>
        </w:rPr>
      </w:pPr>
    </w:p>
    <w:p>
      <w:pPr>
        <w:ind w:right="20" w:firstLine="629"/>
        <w:spacing w:after="0" w:line="216" w:lineRule="exact"/>
        <w:rPr>
          <w:sz w:val="20"/>
          <w:szCs w:val="20"/>
          <w:color w:val="auto"/>
        </w:rPr>
      </w:pPr>
      <w:r>
        <w:rPr>
          <w:rFonts w:ascii="Times New Roman" w:cs="Times New Roman" w:eastAsia="Times New Roman" w:hAnsi="Times New Roman"/>
          <w:sz w:val="17"/>
          <w:szCs w:val="17"/>
          <w:color w:val="auto"/>
        </w:rPr>
        <w:t>We currently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clear a substantial portion of our domestic equity trades and may expand our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clearing operations internationally and across product offerings and asset classes in the future. Self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218" w:lineRule="exact"/>
        <w:rPr>
          <w:sz w:val="20"/>
          <w:szCs w:val="20"/>
          <w:color w:val="auto"/>
        </w:rPr>
      </w:pPr>
    </w:p>
    <w:p>
      <w:pPr>
        <w:ind w:right="280"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our operation of our client execution services business, we are required to finance certain of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spacing w:after="0" w:line="196"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Additionally, elevated levels of volume and volatility, which have and may continue to result in material increases in our trading activities both in our market making segment and in our execution services segment, have previously and may in the future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short-term funding requirements, which may require us to depend on additional sources of liquidity and upon the availability of third parties for services such as trade clearing, and have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201" w:lineRule="exact"/>
        <w:rPr>
          <w:sz w:val="20"/>
          <w:szCs w:val="20"/>
          <w:color w:val="auto"/>
        </w:rPr>
      </w:pPr>
    </w:p>
    <w:p>
      <w:pPr>
        <w:ind w:right="6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a substantial amount of indebtedness, which could negatively impact our business and financial condition, and may limit our flexibility in operating our business.</w:t>
      </w:r>
    </w:p>
    <w:p>
      <w:pPr>
        <w:spacing w:after="0" w:line="155"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As of December 31, 2022, we had an aggregate of $1,826.7 million outstanding indebtedness under our long-term borrowings, which includes to $1.8 billion of debt incurred in connection with a refinancing transaction entered into on January 13, 2022 which is discussed in further detail in Note 9 "Borrowings" of Part II Item 8 “Financial Statements and Supplementary Data” of this Annual Report on Form 10-K.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209" w:lineRule="exact"/>
        <w:rPr>
          <w:sz w:val="20"/>
          <w:szCs w:val="20"/>
          <w:color w:val="auto"/>
        </w:rPr>
      </w:pPr>
    </w:p>
    <w:p>
      <w:pPr>
        <w:ind w:right="260" w:firstLine="629"/>
        <w:spacing w:after="0" w:line="267" w:lineRule="auto"/>
        <w:rPr>
          <w:sz w:val="20"/>
          <w:szCs w:val="20"/>
          <w:color w:val="auto"/>
        </w:rPr>
      </w:pPr>
      <w:r>
        <w:rPr>
          <w:rFonts w:ascii="Times New Roman" w:cs="Times New Roman" w:eastAsia="Times New Roman" w:hAnsi="Times New Roman"/>
          <w:sz w:val="17"/>
          <w:szCs w:val="17"/>
          <w:color w:val="auto"/>
        </w:rPr>
        <w:t>Additionally, we are party to an uncommitted facility (the “Uncommitted Facility”), subject to a maximum borrowing limit of $400.0 million, under which we had no borrowings outstanding as of December 31, 2022. We are also a party to a $650.0 million broker-dealer revolving credit facility (the “Committed Facility”) under which we had no borrowings outstanding as of December 31, 2022. Also, certain of our non-guarantor subsidiaries are party to various short-term credit facilities with various prime brokers and other financial institutions in an aggregate amount of $591.0 million under which we had $212.9 million in borrowings outstanding at December 31, 2022.</w:t>
      </w:r>
    </w:p>
    <w:p>
      <w:pPr>
        <w:spacing w:after="0" w:line="183" w:lineRule="exact"/>
        <w:rPr>
          <w:sz w:val="20"/>
          <w:szCs w:val="20"/>
          <w:color w:val="auto"/>
        </w:rPr>
      </w:pPr>
    </w:p>
    <w:p>
      <w:pPr>
        <w:jc w:val="both"/>
        <w:ind w:right="140" w:firstLine="171"/>
        <w:spacing w:after="0" w:line="248" w:lineRule="auto"/>
        <w:rPr>
          <w:sz w:val="20"/>
          <w:szCs w:val="20"/>
          <w:color w:val="auto"/>
        </w:rPr>
      </w:pPr>
      <w:r>
        <w:rPr>
          <w:rFonts w:ascii="Times New Roman" w:cs="Times New Roman" w:eastAsia="Times New Roman" w:hAnsi="Times New Roman"/>
          <w:sz w:val="17"/>
          <w:szCs w:val="17"/>
          <w:color w:val="auto"/>
        </w:rPr>
        <w:t>The credit agreement entered into on March 1, 2019 by and among Virtu Financial, VFH Parent LLC, a Delaware limited liability company and a subsidiary of Virtu Financial (“VFH”), Impala Borrower LLC (the “Acquisition Borrower”), a subsidiary of the Company, the lenders party thereto and Jefferies Finance LLC, as administrative agent (as amended on October 9, 2019 and as further amended from time to time, the “Acquisition Credit Agreement”) contained, and the refinancing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2" w:name="page23"/>
    <w:bookmarkEnd w:id="22"/>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credit agreement entered into on January 13, 2022 by and among VFH, the lenders party thereto and JPMorgan Chase Bank, N.A., as administrative agent (the “Credit Agreement”),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203" w:lineRule="exact"/>
        <w:rPr>
          <w:sz w:val="20"/>
          <w:szCs w:val="20"/>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debt, guarantee indebtedness or issue certain preferred equity interests;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on or make distributions in respect of, or repurchase or redeem, our equity interests or make other restricted payments;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debt;</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or certain investments;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certain assets;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our assets;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merge or sell or otherwise dispose of all or substantially all of our assets;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our affiliates;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our subsidiaries as unrestricted subsidiaries.</w:t>
      </w:r>
    </w:p>
    <w:p>
      <w:pPr>
        <w:spacing w:after="0" w:line="232"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spacing w:after="0" w:line="194"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Credit Agreement, among other things:</w:t>
      </w:r>
    </w:p>
    <w:p>
      <w:pPr>
        <w:spacing w:after="0" w:line="194" w:lineRule="exact"/>
        <w:rPr>
          <w:sz w:val="20"/>
          <w:szCs w:val="20"/>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be required to lend any additional amounts to us; or</w:t>
      </w:r>
    </w:p>
    <w:p>
      <w:pPr>
        <w:spacing w:after="0" w:line="32" w:lineRule="exact"/>
        <w:rPr>
          <w:rFonts w:ascii="Times New Roman" w:cs="Times New Roman" w:eastAsia="Times New Roman" w:hAnsi="Times New Roman"/>
          <w:sz w:val="17"/>
          <w:szCs w:val="17"/>
          <w:color w:val="auto"/>
        </w:rPr>
      </w:pPr>
    </w:p>
    <w:p>
      <w:pPr>
        <w:ind w:left="940" w:right="440" w:hanging="306"/>
        <w:spacing w:after="0" w:line="274"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elect to declare all borrowings outstanding, together with accrued and unpaid interest and fees, to be immediately due and payable and terminate all commitments to extend further credit;</w:t>
      </w:r>
    </w:p>
    <w:p>
      <w:pPr>
        <w:spacing w:after="0" w:line="191"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any of which could result in cross defaults under our other indebtedness. If we default on our indebtedness, our business, financial condition and results of operation could suffer a material adverse effect.</w:t>
      </w:r>
    </w:p>
    <w:p>
      <w:pPr>
        <w:spacing w:after="0" w:line="17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96" w:lineRule="exact"/>
        <w:rPr>
          <w:sz w:val="20"/>
          <w:szCs w:val="20"/>
          <w:color w:val="auto"/>
        </w:rPr>
      </w:pPr>
    </w:p>
    <w:p>
      <w:pPr>
        <w:ind w:right="680" w:firstLine="629"/>
        <w:spacing w:after="0" w:line="296" w:lineRule="auto"/>
        <w:rPr>
          <w:sz w:val="20"/>
          <w:szCs w:val="20"/>
          <w:color w:val="auto"/>
        </w:rPr>
      </w:pPr>
      <w:r>
        <w:rPr>
          <w:rFonts w:ascii="Times New Roman" w:cs="Times New Roman" w:eastAsia="Times New Roman" w:hAnsi="Times New Roman"/>
          <w:sz w:val="17"/>
          <w:szCs w:val="17"/>
          <w:color w:val="auto"/>
        </w:rPr>
        <w:t>Despite our substantial indebtedness, we may still be able to incur significantly more debt, which could intensify the risks associated with our substantial indebtedness.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technology, and our future results may be negatively impacted if we cannot remain technologically competitive.</w:t>
      </w:r>
    </w:p>
    <w:p>
      <w:pPr>
        <w:spacing w:after="0" w:line="254" w:lineRule="exact"/>
        <w:rPr>
          <w:sz w:val="20"/>
          <w:szCs w:val="20"/>
          <w:color w:val="auto"/>
        </w:rPr>
      </w:pPr>
    </w:p>
    <w:p>
      <w:pPr>
        <w:ind w:firstLine="629"/>
        <w:spacing w:after="0" w:line="211" w:lineRule="exact"/>
        <w:rPr>
          <w:sz w:val="20"/>
          <w:szCs w:val="20"/>
          <w:color w:val="auto"/>
        </w:rPr>
      </w:pPr>
      <w:r>
        <w:rPr>
          <w:rFonts w:ascii="Times New Roman" w:cs="Times New Roman" w:eastAsia="Times New Roman" w:hAnsi="Times New Roman"/>
          <w:sz w:val="17"/>
          <w:szCs w:val="17"/>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efficient and competitive manner to technological advancements (including advancements related to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21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69"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194"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spacing w:after="0" w:line="155" w:lineRule="exact"/>
        <w:rPr>
          <w:sz w:val="20"/>
          <w:szCs w:val="20"/>
          <w:color w:val="auto"/>
        </w:rPr>
      </w:pPr>
    </w:p>
    <w:p>
      <w:pPr>
        <w:ind w:right="20" w:firstLine="629"/>
        <w:spacing w:after="0" w:line="198" w:lineRule="exact"/>
        <w:rPr>
          <w:sz w:val="20"/>
          <w:szCs w:val="20"/>
          <w:color w:val="auto"/>
        </w:rPr>
      </w:pPr>
      <w:r>
        <w:rPr>
          <w:rFonts w:ascii="Times New Roman" w:cs="Times New Roman" w:eastAsia="Times New Roman" w:hAnsi="Times New Roman"/>
          <w:sz w:val="17"/>
          <w:szCs w:val="17"/>
          <w:color w:val="auto"/>
        </w:rPr>
        <w:t>Our business relies on technology and automation to perform significant functions within our firm. Because of our reliance on technology, we may be susceptible to various forms of cyber-attacks by third parties or insiders. Like other financial services firms, we and our third-party service providers have been the target of cyber-attacks. Though we take steps to mitigate the various cyber threats and devote significant resources to maintain and update our systems and networks, we may be unable to anticipate attacks or to implement adequate preventative measures. We are not aware of any material losses we have incurred relating to cyber-attacks or other information security breaches. Our cybersecurity measures may not detect or prevent all attempts to compromise our systems, including denial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service attacks, viruses, malicious software, ransomware, break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ins, phishing attacks, social engineering, security breaches or other attacks and similar disruptions that may jeopardize the security of information stored in and transmitted by our systems or that we otherwise maintain or otherwise result in financial losses or damages to our firm. Furthermore, we may have little or no oversight with respect to security measures employed by third-party service providers, which may ultimately prove to be ineffective at countering threats and therefore could result in adverse impacts to our business, operations, or confidential information, depending upon our relationship with and exposure to a given services provider and the nature of the services provided.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ransomware, or other malware being placed in our systems and intellectual property; deletion or modification of client information; or a denial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service or other interruptions to our business operations.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harmed by computer and communication systems malfunctions, human error, failures and delays.</w:t>
      </w:r>
    </w:p>
    <w:p>
      <w:pPr>
        <w:spacing w:after="0" w:line="254"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24" w:name="page25"/>
    <w:bookmarkEnd w:id="24"/>
    <w:p>
      <w:pPr>
        <w:ind w:right="20"/>
        <w:spacing w:after="0" w:line="265" w:lineRule="auto"/>
        <w:rPr>
          <w:sz w:val="20"/>
          <w:szCs w:val="20"/>
          <w:color w:val="auto"/>
        </w:rPr>
      </w:pPr>
      <w:r>
        <w:rPr>
          <w:rFonts w:ascii="Times New Roman" w:cs="Times New Roman" w:eastAsia="Times New Roman" w:hAnsi="Times New Roman"/>
          <w:sz w:val="17"/>
          <w:szCs w:val="17"/>
          <w:color w:val="auto"/>
        </w:rPr>
        <w:t>weather events, power loss, utility or internet outages, computer viruses, intentional acts of vandalism, war,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198"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94"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Since the timing and impact of disasters and disruptions are unpredictable, we may not be able to respond to actual events as they occur. Business disruptions can vary in their scope and significance and can affect one or more of our facilities. 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war, terrorism and other similar events.</w:t>
      </w:r>
    </w:p>
    <w:p>
      <w:pPr>
        <w:spacing w:after="0" w:line="200" w:lineRule="exact"/>
        <w:rPr>
          <w:sz w:val="20"/>
          <w:szCs w:val="20"/>
          <w:color w:val="auto"/>
        </w:rPr>
      </w:pPr>
    </w:p>
    <w:p>
      <w:pPr>
        <w:spacing w:after="0" w:line="210" w:lineRule="exact"/>
        <w:rPr>
          <w:sz w:val="20"/>
          <w:szCs w:val="20"/>
          <w:color w:val="auto"/>
        </w:rPr>
      </w:pPr>
    </w:p>
    <w:p>
      <w:pPr>
        <w:ind w:right="160" w:firstLine="629"/>
        <w:spacing w:after="0" w:line="263" w:lineRule="auto"/>
        <w:rPr>
          <w:sz w:val="20"/>
          <w:szCs w:val="20"/>
          <w:color w:val="auto"/>
        </w:rPr>
      </w:pPr>
      <w:r>
        <w:rPr>
          <w:rFonts w:ascii="Times New Roman" w:cs="Times New Roman" w:eastAsia="Times New Roman" w:hAnsi="Times New Roman"/>
          <w:sz w:val="17"/>
          <w:szCs w:val="17"/>
          <w:color w:val="auto"/>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17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Failure or poor performance of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software, infrastructure or systems on which we rely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-47625</wp:posOffset>
            </wp:positionV>
            <wp:extent cx="62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256"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70" w:lineRule="exact"/>
        <w:rPr>
          <w:sz w:val="20"/>
          <w:szCs w:val="20"/>
          <w:color w:val="auto"/>
        </w:rPr>
      </w:pPr>
    </w:p>
    <w:p>
      <w:pPr>
        <w:jc w:val="both"/>
        <w:ind w:right="160" w:firstLine="629"/>
        <w:spacing w:after="0" w:line="217" w:lineRule="exact"/>
        <w:rPr>
          <w:sz w:val="20"/>
          <w:szCs w:val="20"/>
          <w:color w:val="auto"/>
        </w:rPr>
      </w:pPr>
      <w:r>
        <w:rPr>
          <w:rFonts w:ascii="Times New Roman" w:cs="Times New Roman" w:eastAsia="Times New Roman" w:hAnsi="Times New Roman"/>
          <w:sz w:val="17"/>
          <w:szCs w:val="17"/>
          <w:color w:val="auto"/>
        </w:rPr>
        <w:t>We also rely on certain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software,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computer systems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use of open source software may expose us to additional risks.</w:t>
      </w:r>
    </w:p>
    <w:p>
      <w:pPr>
        <w:spacing w:after="0" w:line="254" w:lineRule="exact"/>
        <w:rPr>
          <w:sz w:val="20"/>
          <w:szCs w:val="20"/>
          <w:color w:val="auto"/>
        </w:rPr>
      </w:pPr>
    </w:p>
    <w:p>
      <w:pPr>
        <w:ind w:right="80" w:firstLine="171"/>
        <w:spacing w:after="0" w:line="212" w:lineRule="exact"/>
        <w:rPr>
          <w:sz w:val="20"/>
          <w:szCs w:val="20"/>
          <w:color w:val="auto"/>
        </w:rPr>
      </w:pPr>
      <w:r>
        <w:rPr>
          <w:rFonts w:ascii="Times New Roman" w:cs="Times New Roman" w:eastAsia="Times New Roman" w:hAnsi="Times New Roman"/>
          <w:sz w:val="17"/>
          <w:szCs w:val="17"/>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spacing w:after="0" w:line="211" w:lineRule="exact"/>
        <w:rPr>
          <w:sz w:val="20"/>
          <w:szCs w:val="20"/>
          <w:color w:val="auto"/>
        </w:rPr>
      </w:pPr>
      <w:r>
        <w:rPr>
          <w:rFonts w:ascii="Times New Roman" w:cs="Times New Roman" w:eastAsia="Times New Roman" w:hAnsi="Times New Roman"/>
          <w:sz w:val="17"/>
          <w:szCs w:val="17"/>
          <w:color w:val="auto"/>
        </w:rPr>
        <w:t>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or may be prevented from using intellectual property necessary for our business.</w:t>
      </w:r>
    </w:p>
    <w:p>
      <w:pPr>
        <w:spacing w:after="0" w:line="254" w:lineRule="exact"/>
        <w:rPr>
          <w:sz w:val="20"/>
          <w:szCs w:val="20"/>
          <w:color w:val="auto"/>
        </w:rPr>
      </w:pPr>
    </w:p>
    <w:p>
      <w:pPr>
        <w:ind w:firstLine="629"/>
        <w:spacing w:after="0" w:line="211" w:lineRule="exact"/>
        <w:rPr>
          <w:sz w:val="20"/>
          <w:szCs w:val="20"/>
          <w:color w:val="auto"/>
        </w:rPr>
      </w:pPr>
      <w:r>
        <w:rPr>
          <w:rFonts w:ascii="Times New Roman" w:cs="Times New Roman" w:eastAsia="Times New Roman" w:hAnsi="Times New Roman"/>
          <w:sz w:val="17"/>
          <w:szCs w:val="17"/>
          <w:color w:val="auto"/>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competition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227"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currency exchange rates could negatively impact our earnings.</w:t>
      </w:r>
    </w:p>
    <w:p>
      <w:pPr>
        <w:spacing w:after="0" w:line="254" w:lineRule="exact"/>
        <w:rPr>
          <w:sz w:val="20"/>
          <w:szCs w:val="20"/>
          <w:color w:val="auto"/>
        </w:rPr>
      </w:pPr>
    </w:p>
    <w:p>
      <w:pPr>
        <w:ind w:right="40" w:firstLine="629"/>
        <w:spacing w:after="0" w:line="212" w:lineRule="exact"/>
        <w:rPr>
          <w:sz w:val="20"/>
          <w:szCs w:val="20"/>
          <w:color w:val="auto"/>
        </w:rPr>
      </w:pPr>
      <w:r>
        <w:rPr>
          <w:rFonts w:ascii="Times New Roman" w:cs="Times New Roman" w:eastAsia="Times New Roman" w:hAnsi="Times New Roman"/>
          <w:sz w:val="17"/>
          <w:szCs w:val="17"/>
          <w:color w:val="auto"/>
        </w:rPr>
        <w:t>A significant portion of our international business is conducted in currencies other than the U.S. dollar, and therefore changes in foreign exchange rates relative to the U.S. dollar have in the past and can in the future affect the value of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dollar net assets, revenues and expenses. Although we closely monitor potential exposures as a result of these fluctuations in currencies, and where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justified we adopt strategies that are designed to reduce the impact of these fluctuations on our financial performance, including the financing of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ind w:right="9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incur material losses on foreign exchange transactions entered into on behalf of clients and be exposed to material liquidity risk due to counterparty defaults or errors.</w:t>
      </w:r>
    </w:p>
    <w:p>
      <w:pPr>
        <w:spacing w:after="0" w:line="142" w:lineRule="exact"/>
        <w:rPr>
          <w:sz w:val="20"/>
          <w:szCs w:val="20"/>
          <w:color w:val="auto"/>
        </w:rPr>
      </w:pPr>
    </w:p>
    <w:p>
      <w:pPr>
        <w:ind w:right="160" w:firstLine="629"/>
        <w:spacing w:after="0" w:line="220" w:lineRule="exact"/>
        <w:rPr>
          <w:sz w:val="20"/>
          <w:szCs w:val="20"/>
          <w:color w:val="auto"/>
        </w:rPr>
      </w:pPr>
      <w:r>
        <w:rPr>
          <w:rFonts w:ascii="Times New Roman" w:cs="Times New Roman" w:eastAsia="Times New Roman" w:hAnsi="Times New Roman"/>
          <w:sz w:val="17"/>
          <w:szCs w:val="17"/>
          <w:color w:val="auto"/>
        </w:rPr>
        <w:t>We enable clients to settle cross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agent in these transactions. As a result, a default by one of our counterparties prior to the settlement of their obligation could materially impact our liquidity and have a material adverse effect on our financial condition and results of operations.</w:t>
      </w:r>
    </w:p>
    <w:p>
      <w:pPr>
        <w:spacing w:after="0" w:line="221"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spacing w:after="0" w:line="169"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69" w:lineRule="exact"/>
        <w:rPr>
          <w:sz w:val="20"/>
          <w:szCs w:val="20"/>
          <w:color w:val="auto"/>
        </w:rPr>
      </w:pPr>
    </w:p>
    <w:p>
      <w:pPr>
        <w:ind w:right="20" w:firstLine="629"/>
        <w:spacing w:after="0" w:line="212" w:lineRule="exact"/>
        <w:rPr>
          <w:sz w:val="20"/>
          <w:szCs w:val="20"/>
          <w:color w:val="auto"/>
        </w:rPr>
      </w:pPr>
      <w:r>
        <w:rPr>
          <w:rFonts w:ascii="Times New Roman" w:cs="Times New Roman" w:eastAsia="Times New Roman" w:hAnsi="Times New Roman"/>
          <w:sz w:val="17"/>
          <w:szCs w:val="17"/>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saving initiatives. We cannot guarantee that we will be able to successfully integrate any company or business that we might acquire in the future, and our failure to do so could harm our current business.</w:t>
      </w:r>
    </w:p>
    <w:p>
      <w:pPr>
        <w:spacing w:after="0" w:line="207"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 including losses on investment along with failures to realize anticipated strategic benefits associated with an investment.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efforts to sell shares of our common stock or raise additional capital may be inhibited by regulations.</w:t>
      </w:r>
    </w:p>
    <w:p>
      <w:pPr>
        <w:spacing w:after="0" w:line="254"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As certain of our subsidiaries are members of FINRA and other SROs, we are subject to certain regulations regarding changes in ownership or control and material changes in operations. For example, FINRA Rule 1017 generally provides that FINRA approval must be obtained in connection with certain change of ownership or control transactions, such as a transaction that results in a single entity or person owning 25% or more our equity. Similarly, VFIL, VIEL and VIUK, our regulated subsidiaries in Ireland and the U.K., are subject to change in control regulations promulgated by the CBI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200" w:lineRule="exact"/>
        <w:rPr>
          <w:sz w:val="20"/>
          <w:szCs w:val="20"/>
          <w:color w:val="auto"/>
        </w:rPr>
      </w:pPr>
    </w:p>
    <w:p>
      <w:pPr>
        <w:spacing w:after="0" w:line="209"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spacing w:after="0" w:line="155" w:lineRule="exact"/>
        <w:rPr>
          <w:sz w:val="20"/>
          <w:szCs w:val="20"/>
          <w:color w:val="auto"/>
        </w:rPr>
      </w:pPr>
    </w:p>
    <w:p>
      <w:pPr>
        <w:ind w:right="80" w:firstLine="629"/>
        <w:spacing w:after="0" w:line="249" w:lineRule="auto"/>
        <w:rPr>
          <w:sz w:val="20"/>
          <w:szCs w:val="20"/>
          <w:color w:val="auto"/>
        </w:rPr>
      </w:pPr>
      <w:r>
        <w:rPr>
          <w:rFonts w:ascii="Times New Roman" w:cs="Times New Roman" w:eastAsia="Times New Roman" w:hAnsi="Times New Roman"/>
          <w:sz w:val="17"/>
          <w:szCs w:val="17"/>
          <w:color w:val="auto"/>
        </w:rPr>
        <w:t>Our performance is substantially dependent on the performance of our senior management, including Douglas Cifu, our Chief Executive Officer, Joseph Molluso, our Co-President and Co-Chief Operating Officer, Brett Fairclough, our Co-President and Co-Chief Operating Officer, Sean Galvin, our Chief Financial Officer and Stephen Cavoli, our Executive Vice President, Markets.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27" w:name="page28"/>
    <w:bookmarkEnd w:id="27"/>
    <w:p>
      <w:pPr>
        <w:ind w:right="220"/>
        <w:spacing w:after="0" w:line="251" w:lineRule="auto"/>
        <w:rPr>
          <w:sz w:val="20"/>
          <w:szCs w:val="20"/>
          <w:color w:val="auto"/>
        </w:rPr>
      </w:pPr>
      <w:r>
        <w:rPr>
          <w:rFonts w:ascii="Times New Roman" w:cs="Times New Roman" w:eastAsia="Times New Roman" w:hAnsi="Times New Roman"/>
          <w:sz w:val="17"/>
          <w:szCs w:val="17"/>
          <w:color w:val="auto"/>
        </w:rPr>
        <w:t>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We cannot guarantee that these or other permitted outside activities will not impact his performance as Chief Executive Officer.</w:t>
      </w:r>
    </w:p>
    <w:p>
      <w:pPr>
        <w:spacing w:after="0" w:line="209"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COVID-19 pandemic could adversely affect our business, results of operations and financial condition.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ongoing coronavirus (COVID-19) pandemic has caused significant disruption in the international and United States economies and financial markets, and has caused, among other matters, illness, death, quarantines, cancellation of events and travel, business and school shutdowns, reduction in business activity, travel, and financial transactions, labor shortages, supply chain interruptions and product shortages and overall economic and financial market instability. The full impact this virus may have on the global financial markets and the overall economy is not currently known. Impacts to our business could be widespread and global, and material impacts may be possible, including the following:</w:t>
      </w:r>
    </w:p>
    <w:p>
      <w:pPr>
        <w:spacing w:after="0" w:line="196" w:lineRule="exact"/>
        <w:rPr>
          <w:sz w:val="20"/>
          <w:szCs w:val="20"/>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including our senior executives, contracting COVID-19;</w:t>
      </w:r>
    </w:p>
    <w:p>
      <w:pPr>
        <w:spacing w:after="0" w:line="32" w:lineRule="exact"/>
        <w:rPr>
          <w:rFonts w:ascii="Times New Roman" w:cs="Times New Roman" w:eastAsia="Times New Roman" w:hAnsi="Times New Roman"/>
          <w:sz w:val="17"/>
          <w:szCs w:val="17"/>
          <w:color w:val="auto"/>
        </w:rPr>
      </w:pPr>
    </w:p>
    <w:p>
      <w:pPr>
        <w:ind w:left="640" w:right="540" w:hanging="321"/>
        <w:spacing w:after="0" w:line="257"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our operating effectiveness or efficiency or increases in risk as a result of the implementation of our business continuity plan, and potential disruptions or adverse impacts relating to our return to office policy;</w:t>
      </w: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Unprecedented volatility in global financial markets, which may increase the risk or potential magnitude of operational errors;</w:t>
      </w:r>
    </w:p>
    <w:p>
      <w:pPr>
        <w:spacing w:after="0" w:line="14" w:lineRule="exact"/>
        <w:rPr>
          <w:rFonts w:ascii="Times New Roman" w:cs="Times New Roman" w:eastAsia="Times New Roman" w:hAnsi="Times New Roman"/>
          <w:sz w:val="17"/>
          <w:szCs w:val="17"/>
          <w:color w:val="auto"/>
        </w:rPr>
      </w:pPr>
    </w:p>
    <w:p>
      <w:pPr>
        <w:ind w:left="640" w:right="480" w:hanging="321"/>
        <w:spacing w:after="0" w:line="257"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liquidity needs, including but not limited to margin funding requirements with clearinghouses or prime brokers, for our business and challenges obtaining sufficient liquidity sources to meet such needs or requirements;</w:t>
      </w: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decreases in demand for our products and services, which would negatively impact our liquidity position and our results;</w:t>
      </w:r>
    </w:p>
    <w:p>
      <w:pPr>
        <w:spacing w:after="0" w:line="14" w:lineRule="exact"/>
        <w:rPr>
          <w:rFonts w:ascii="Times New Roman" w:cs="Times New Roman" w:eastAsia="Times New Roman" w:hAnsi="Times New Roman"/>
          <w:sz w:val="17"/>
          <w:szCs w:val="17"/>
          <w:color w:val="auto"/>
        </w:rPr>
      </w:pPr>
    </w:p>
    <w:p>
      <w:pPr>
        <w:ind w:left="640" w:right="20" w:hanging="321"/>
        <w:spacing w:after="0" w:line="257"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of our offices or the offices of our clients;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restrictions limiting our ability to collaborate internally and engage with current and potential clients and counterparties externally.</w:t>
      </w:r>
    </w:p>
    <w:p>
      <w:pPr>
        <w:spacing w:after="0" w:line="23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We continue to monitor COVID-19 and take designed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190"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further spread of the COVID-19 outbreak, including potential new variants, may materially disrupt financial activity generally and in the areas in which we operate. Any one or more of these developments could have a material adverse effect on our and our consolidated subsidiaries' business, operations, consolidated financial condition, and consolidated results of operations.</w:t>
      </w:r>
    </w:p>
    <w:p>
      <w:pPr>
        <w:spacing w:after="0" w:line="186"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incur losses as a result of unforeseen or catastrophic events, including the emergence of another pandemic, terrorist attacks, extreme weather events or other natural disasters.</w:t>
      </w:r>
    </w:p>
    <w:p>
      <w:pPr>
        <w:spacing w:after="0" w:line="169"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The occurrence of unforeseen or catastrophic events, including the emergence of a pandemic, such as the Ebola or Zika viruses, COVID-19, or other widespread health emergency (or concerns over the possibility of such an emergency), terrorist attacks, extreme terrestrial or solar weather events or other natural disasters, could create economic and financial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disruptions, and could lead to operational difficulties (including travel limitations) that could impair our ability to manage our businesses.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increased risks or business disruption, incur losses or suffer reputational harm in relation to or as a result of climate change.</w:t>
      </w:r>
    </w:p>
    <w:p>
      <w:pPr>
        <w:spacing w:after="0" w:line="25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Climate change could manifest as a financial risk to us either through changes in the physical climate or from the process of transitioning to a low-carbon economy, including changes in climate policy or in the regulation of financial institutions with respect to risks posed by climate change. Potential events or disruptions of this nature include significant rainfall, flooding, increased frequency or intensity of wildfires, prolonged drought, rising sea levels and rising heat index. Additionally, our reputation and client relationships may be damaged as a result of our involvement, or our clients’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Cryptocurrency is an emerging asset class that carries unique risk, including the risk of financial loss.</w:t>
      </w:r>
    </w:p>
    <w:p>
      <w:pPr>
        <w:spacing w:after="0" w:line="25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The value of cryptocurrencies is based in part on market adoption and future expectations, which may or may not be realized. As a result, the prices of cryptocurrencies are highly speculative. Due to this highly volatile nature, prices of cryptocurrencies have been subject to dramatic fluctuations which may impact our balance sheet. For example, if the price of the cryptocurrencies we hold in inventory drops below the price we paid to acquire this inventory, we could incur a loss. Moreover, if our systems fail at managing our inventory or customer orders, we could be left with excess inventory that increases our exposure to the volatility of the price of cryptocurrencies.</w:t>
      </w:r>
    </w:p>
    <w:p>
      <w:pPr>
        <w:spacing w:after="0" w:line="183" w:lineRule="exact"/>
        <w:rPr>
          <w:sz w:val="20"/>
          <w:szCs w:val="20"/>
          <w:color w:val="auto"/>
        </w:rPr>
      </w:pPr>
    </w:p>
    <w:p>
      <w:pPr>
        <w:ind w:right="60" w:firstLine="629"/>
        <w:spacing w:after="0" w:line="244" w:lineRule="auto"/>
        <w:rPr>
          <w:sz w:val="20"/>
          <w:szCs w:val="20"/>
          <w:color w:val="auto"/>
        </w:rPr>
      </w:pPr>
      <w:r>
        <w:rPr>
          <w:rFonts w:ascii="Times New Roman" w:cs="Times New Roman" w:eastAsia="Times New Roman" w:hAnsi="Times New Roman"/>
          <w:sz w:val="17"/>
          <w:szCs w:val="17"/>
          <w:color w:val="auto"/>
        </w:rPr>
        <w:t>Further, because cryptocurrency is a new and emerging asset class with unique electronic exposure, there is a high degree of fraud, theft, cyberattacks and other forms of risk in the cryptocurrency space, and legal, regulatory and market standards around market conduct, transparency, custody, segregation of client assets, clearing and settlement are all evolving or unsettled, which can increase risks for us and other market participants. While the Company employs a variety of controls to mitigate risk of loss and theft in the cryptocurrency positions we maintain, it is possible, for example, for electronic wallet keys to become lost or stolen, for blockchains to experience detrimental changes, such as forks, or for our cryptocurrency exchange and custodian partners to experience cybersecurity incidents. In the event of such events, we could experience financial loss, we could lose customers and clients as a result of reputational damage, and we may face regulatory or legal consequences. Although we maintain insurance, there can be no assurance that liabilities or losses we may incur will be covered under such policies or that the amount of insurance will be adequate.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Regulatory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legal uncertainties could harm our business.</w:t>
      </w:r>
    </w:p>
    <w:p>
      <w:pPr>
        <w:spacing w:after="0" w:line="254"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congressional, regulatory and news media attention to U.S. equities market structure, the regulatory and enforcement environment has created uncertainty with respect to various types of transactions that historically had been entered into by financial services firms and that were generally believed to be permissible and appropriate. The retail trading environment in the U.S., relationships between broker-dealers and market making firms, short selling and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9" w:name="page30"/>
    <w:bookmarkEnd w:id="29"/>
    <w:p>
      <w:pPr>
        <w:ind w:right="200"/>
        <w:spacing w:after="0" w:line="270" w:lineRule="auto"/>
        <w:rPr>
          <w:sz w:val="20"/>
          <w:szCs w:val="20"/>
          <w:color w:val="auto"/>
        </w:rPr>
      </w:pPr>
      <w:r>
        <w:rPr>
          <w:rFonts w:ascii="Times New Roman" w:cs="Times New Roman" w:eastAsia="Times New Roman" w:hAnsi="Times New Roman"/>
          <w:sz w:val="17"/>
          <w:szCs w:val="17"/>
          <w:color w:val="auto"/>
        </w:rPr>
        <w:t>characteristics that are also commonly associated with high frequency trading and we engage in direct-to-client market making services across multiple asset classes primarily to sell-side clients including global, national and regional broker-dealers and banks and in the context of our market making and trading activities, we are party to various remuneration and rebate arrangements, including payment for order flow, profit-sharing relationships, and exchange fee and rebate structures.</w:t>
      </w:r>
    </w:p>
    <w:p>
      <w:pPr>
        <w:spacing w:after="0" w:line="181" w:lineRule="exact"/>
        <w:rPr>
          <w:sz w:val="20"/>
          <w:szCs w:val="20"/>
          <w:color w:val="auto"/>
        </w:rPr>
      </w:pPr>
    </w:p>
    <w:p>
      <w:pPr>
        <w:ind w:right="120" w:firstLine="629"/>
        <w:spacing w:after="0" w:line="249" w:lineRule="auto"/>
        <w:rPr>
          <w:sz w:val="20"/>
          <w:szCs w:val="20"/>
          <w:color w:val="auto"/>
        </w:rPr>
      </w:pPr>
      <w:r>
        <w:rPr>
          <w:rFonts w:ascii="Times New Roman" w:cs="Times New Roman" w:eastAsia="Times New Roman" w:hAnsi="Times New Roman"/>
          <w:sz w:val="17"/>
          <w:szCs w:val="17"/>
          <w:color w:val="auto"/>
        </w:rPr>
        <w:t>Additionally, the regulatory and legal status and classification of various cryptocurrencies and other digital assets is subject to substantial uncertainty. For example, a given digital asset could be considered a security, a commodity or currency, or some combination thereof, and therefore may be subject to rules and regulations promulgated by federal regulators, including but not limited to the SEC, the CFTC, the Department of Treasury, in addition to state regulators. While our participation in this asset class has been limited thus far, changes in this regulatory environment, including changing interpretations and the implementation of new or varying regulatory requirements by the government, may significantly affect or change the manner in which we currently conduct some aspects of our business or may significantly impact or limit our ability to increase our participation.</w:t>
      </w:r>
    </w:p>
    <w:p>
      <w:pPr>
        <w:spacing w:after="0" w:line="198" w:lineRule="exact"/>
        <w:rPr>
          <w:sz w:val="20"/>
          <w:szCs w:val="20"/>
          <w:color w:val="auto"/>
        </w:rPr>
      </w:pPr>
    </w:p>
    <w:p>
      <w:pPr>
        <w:ind w:right="60" w:firstLine="629"/>
        <w:spacing w:after="0" w:line="198" w:lineRule="exact"/>
        <w:rPr>
          <w:sz w:val="20"/>
          <w:szCs w:val="20"/>
          <w:color w:val="auto"/>
        </w:rPr>
      </w:pPr>
      <w:r>
        <w:rPr>
          <w:rFonts w:ascii="Times New Roman" w:cs="Times New Roman" w:eastAsia="Times New Roman" w:hAnsi="Times New Roman"/>
          <w:sz w:val="17"/>
          <w:szCs w:val="17"/>
          <w:color w:val="auto"/>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MiFID II requires certain types of firms, including VFIL, to post firm quotes at competitive prices and supplements previous requirements with regard to investment firms’ risk controls related to the safe operation of electronic systems. MiFID II also imposes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and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trade risk management requirements. The MiFID II regime is currently under review, with European Union authorities proposing to make further changes to the regime. Various consultation papers have been published on different aspects of the MiFID II regime, on February 4, 2020, an ESMA Consultation Paper entitled “MiFID II/MiFIR Review Report on the Transparency Regime for Equity and Equity-like Instruments, the Double Volume Cap Mechanism and the Trading Obligations for Shares”, on December 18, 2020 an ESMA Consultation Paper entitled "MiFID II/MiFIR Review Report on Algorithmic Trading" and on January 28, 2022 an ESMA Consultation Paper “on ESMA”s Opinion on the trading venue perimeter”. In its communication on “The European economic and financial system: fostering openness, strength and resilience” of January 19, 2021, the European Commission confirmed its intention to propose to make changes with a view to</w:t>
      </w:r>
    </w:p>
    <w:p>
      <w:pPr>
        <w:spacing w:after="0" w:line="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improving simplifying and further harmonizing capital markets’ transparency as part of the review of the MiFID II and MiFIR framework. On December 21, 2022, the Council of the European Union published the texts of its general approach on the proposed regulation to amend MiFIR “as regards enhancing market data transparency, removing obstacles to the emergence of a consolidated tape, optimizing the trading obligations and amending Regulation (EU) No 575/2013 on prudential requirements for credit institutions and amending Regulation (EU) No 648/2012” and on the proposed directive “amending Directive 2014/65/EU on markets in financial instruments and amending Directive 2013/36/EU on access of the activity of credit institutions and the prudential supervision of credit institutions and investment firms, amending Directive 2002/87/EC and repealing Directives 2006/48/EC and 2006/49/EC”, each dated December 16, 2022; as well as publishing an “I” item note, also dated December 16, 2022, inviting the Council’s Permanent Representatives Committee to agree the text of the mandate for negotiations with European Parliament on the basis of the published general approaches, with a view to reaching agreement at first reading.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206" w:lineRule="exact"/>
        <w:rPr>
          <w:sz w:val="20"/>
          <w:szCs w:val="20"/>
          <w:color w:val="auto"/>
        </w:rPr>
      </w:pPr>
    </w:p>
    <w:p>
      <w:pPr>
        <w:ind w:right="100" w:firstLine="629"/>
        <w:spacing w:after="0" w:line="243" w:lineRule="auto"/>
        <w:rPr>
          <w:sz w:val="20"/>
          <w:szCs w:val="20"/>
          <w:color w:val="auto"/>
        </w:rPr>
      </w:pPr>
      <w:r>
        <w:rPr>
          <w:rFonts w:ascii="Times New Roman" w:cs="Times New Roman" w:eastAsia="Times New Roman" w:hAnsi="Times New Roman"/>
          <w:sz w:val="17"/>
          <w:szCs w:val="17"/>
          <w:color w:val="auto"/>
        </w:rPr>
        <w:t>In addition, we maintain borrowing facilities with banks, prime brokers and Futures Commission Merchants (“FCMs”), and we obtain uncommitted margin financing from our prime brokers and FCMs, which are in many cases affiliated with banks. In response to the 2008 financial crisis, the Basel Committee on Banking Supervision issued a new, more stringent capital and liquidity framework known as Basel III, which national banking regulators have been implementing in the various jurisdictions in which our lenders may be incorporated. In the E.U., on December 24, 2019, a Regulation on the prudential requirements for Investment Firms (“IFR”) and a Directive on the prudential supervision of Investments Firms (“IFD”) entered into force. The IFR and IFD introduce new prudential requirements for investment firms, classifying them into different categories depending on the firm’s balance-sheet size and types of activity. The main provisions of the IFR and IFD were applicable from the end of June 2021. Certain Level 2 texts are still outstanding which are required to provide clarity on certain provisions in the IFR/IFD. As these rules are implemented and in certain cases impose more stringent capital and liquidity 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Pending, proposed and other potential changes in laws and rules may adversely impact our business.</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Certain market participants, SROs, government officials and regulators have requested that the U.S. Congress, the SEC, and the CFTC propose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adopt additional laws and rules, including rules relating to payment for order flow, off-exchange trading, additional registration requirements, restrictions on</w:t>
      </w:r>
    </w:p>
    <w:p>
      <w:pPr>
        <w:spacing w:after="0" w:line="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location, order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execution ratios, minimum quote life for orders, incremental messaging fees to be imposed by exchanges for “excessive” order placements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and/or cancellations, further transaction taxes, tick sizes, changes to maker/taker rebates programs, and other market structure proposals. For example,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on Financial Services of the U.S. House of Representatives held hearings on the events surrounding the January 2021 market volatility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disruptions surrounding Gamestop and other “meme” stocks at which various members of Congress expressed their concerns about various market practices,</w:t>
      </w:r>
    </w:p>
    <w:p>
      <w:pPr>
        <w:spacing w:after="0" w:line="226" w:lineRule="auto"/>
        <w:rPr>
          <w:sz w:val="20"/>
          <w:szCs w:val="20"/>
          <w:color w:val="auto"/>
        </w:rPr>
      </w:pPr>
      <w:r>
        <w:rPr>
          <w:rFonts w:ascii="Times New Roman" w:cs="Times New Roman" w:eastAsia="Times New Roman" w:hAnsi="Times New Roman"/>
          <w:sz w:val="17"/>
          <w:szCs w:val="17"/>
          <w:color w:val="auto"/>
        </w:rPr>
        <w:t>including payment for order flow and short-selling. The SEC has recently proposed several rule changes focused on equity market structure reform. These</w:t>
      </w:r>
    </w:p>
    <w:p>
      <w:pPr>
        <w:spacing w:after="0"/>
        <w:rPr>
          <w:sz w:val="20"/>
          <w:szCs w:val="20"/>
          <w:color w:val="auto"/>
        </w:rPr>
      </w:pPr>
      <w:r>
        <w:rPr>
          <w:rFonts w:ascii="Times New Roman" w:cs="Times New Roman" w:eastAsia="Times New Roman" w:hAnsi="Times New Roman"/>
          <w:sz w:val="17"/>
          <w:szCs w:val="17"/>
          <w:color w:val="auto"/>
        </w:rPr>
        <w:t>proposals include, but are not limited to, (i) Proposed Rule 615 of Regulation NMS, which proposes to dramatically change U.S. equities market structure,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routing, handling and potentially the amount, character and cost of retail order flow, (ii) Regulation Best Execution, which would impose best execution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on broker-dealers which would be distinct from, but overlapping with, FINRA’s existing best execution rule (Rule 5310), (iii) proposed rule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amendments to minimum pricing increments under Rule 612 or Regulation NMS, access fee caps under Rule 610 of Regulation NMS, acceleration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implementation of certain Market Data Infrastructure Rules, and amendment to the odd-lot information definition adopted under the MDI rules (collectively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referred to as the “tick size, access fees and infostructure rule proposals”), and (iv) amendments to Rule 605 of Regulation NMS, along with a series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amendments to the definition of Exchange and Alternative Trading Systems (ATS), which would expand the scope of exchange and ATS registration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requirements. Regulators may propose other market structure changes, particularly considering the continued regulatory, congressional and media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scrutiny of U.S. equities market structure, the retail trading environment in the U.S., wholesale market making and the relationships between retail broker-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dealers and market making firms, including but not limited to payment for order flow arrangements, other remuneration arrangements such as profit-sharing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relationships and exchange fee and rebate structures, ATSs and off-exchange trading more generally, high frequency trading, short selling,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fragmentation, colocation, and access to market data feeds.</w:t>
      </w:r>
    </w:p>
    <w:p>
      <w:pPr>
        <w:spacing w:after="0" w:line="217" w:lineRule="exact"/>
        <w:rPr>
          <w:sz w:val="20"/>
          <w:szCs w:val="20"/>
          <w:color w:val="auto"/>
        </w:rPr>
      </w:pPr>
    </w:p>
    <w:p>
      <w:pPr>
        <w:ind w:right="40" w:firstLine="629"/>
        <w:spacing w:after="0" w:line="247" w:lineRule="auto"/>
        <w:rPr>
          <w:sz w:val="20"/>
          <w:szCs w:val="20"/>
          <w:color w:val="auto"/>
        </w:rPr>
      </w:pPr>
      <w:r>
        <w:rPr>
          <w:rFonts w:ascii="Times New Roman" w:cs="Times New Roman" w:eastAsia="Times New Roman" w:hAnsi="Times New Roman"/>
          <w:sz w:val="17"/>
          <w:szCs w:val="17"/>
          <w:color w:val="auto"/>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limit, restrict or otherwise adversely affect our ability to interact with certain order flow, impose additional costs and expenses on our business or otherwise have a material adverse effect on our business, financial condition, results of operations and cash flows.</w:t>
      </w:r>
    </w:p>
    <w:p>
      <w:pPr>
        <w:spacing w:after="0" w:line="387" w:lineRule="exact"/>
        <w:rPr>
          <w:sz w:val="20"/>
          <w:szCs w:val="20"/>
          <w:color w:val="auto"/>
        </w:rPr>
      </w:pPr>
    </w:p>
    <w:p>
      <w:pPr>
        <w:ind w:right="520"/>
        <w:spacing w:after="0" w:line="232" w:lineRule="exact"/>
        <w:rPr>
          <w:sz w:val="20"/>
          <w:szCs w:val="20"/>
          <w:color w:val="auto"/>
        </w:rPr>
      </w:pPr>
      <w:r>
        <w:rPr>
          <w:rFonts w:ascii="Times New Roman" w:cs="Times New Roman" w:eastAsia="Times New Roman" w:hAnsi="Times New Roman"/>
          <w:sz w:val="17"/>
          <w:szCs w:val="17"/>
          <w:b w:val="1"/>
          <w:bCs w:val="1"/>
          <w:i w:val="1"/>
          <w:iCs w:val="1"/>
          <w:color w:val="auto"/>
        </w:rPr>
        <w:t>Non</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compliance with applicable laws or regulatory requirements could subject us to sanctions and could negatively impact our reputation, prospects, revenues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-217170</wp:posOffset>
            </wp:positionV>
            <wp:extent cx="62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99"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Mercantile Exchange, the Intercontinental Exchange, the CFTC, the NFA Exchanges and the various state securities regulators; in the European Union, the European Securities and Markets Authority (“ESMA”); in Ireland, the CBI; in Switzerland, the Swiss Financial Market Supervisory Authority; in France, the Autorité des Marchés Financiers (“AMF”); in the United Kingdom, the FCA; in Hong Kong, the SFC; in Australia, the ASIC; in Canada, the IIROC and various Canadian provincial securities commissions; in Singapore, the MAS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205" w:lineRule="exact"/>
        <w:rPr>
          <w:sz w:val="20"/>
          <w:szCs w:val="20"/>
          <w:color w:val="auto"/>
        </w:rPr>
      </w:pPr>
    </w:p>
    <w:p>
      <w:pPr>
        <w:ind w:right="240" w:firstLine="629"/>
        <w:spacing w:after="0" w:line="213" w:lineRule="exact"/>
        <w:rPr>
          <w:sz w:val="20"/>
          <w:szCs w:val="20"/>
          <w:color w:val="auto"/>
        </w:rPr>
      </w:pPr>
      <w:r>
        <w:rPr>
          <w:rFonts w:ascii="Times New Roman" w:cs="Times New Roman" w:eastAsia="Times New Roman" w:hAnsi="Times New Roman"/>
          <w:sz w:val="17"/>
          <w:szCs w:val="17"/>
          <w:color w:val="auto"/>
        </w:rPr>
        <w:t>Domestic and foreign stock exchanges, other SROs and state and foreign securities commissions can censure, fine, impose undertakings, issue cease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desist orders and suspend or expel a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1" w:name="page32"/>
    <w:bookmarkEnd w:id="31"/>
    <w:p>
      <w:pPr>
        <w:spacing w:after="0" w:line="262" w:lineRule="auto"/>
        <w:rPr>
          <w:sz w:val="20"/>
          <w:szCs w:val="20"/>
          <w:color w:val="auto"/>
        </w:rPr>
      </w:pPr>
      <w:r>
        <w:rPr>
          <w:rFonts w:ascii="Times New Roman" w:cs="Times New Roman" w:eastAsia="Times New Roman" w:hAnsi="Times New Roman"/>
          <w:sz w:val="17"/>
          <w:szCs w:val="17"/>
          <w:color w:val="auto"/>
        </w:rPr>
        <w:t>subject of one or more regulatory or SRO enforcement actions, including but not limited to targeted and routine regulatory inquiries and investigations involving Best Execution,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05" w:lineRule="exact"/>
        <w:rPr>
          <w:sz w:val="20"/>
          <w:szCs w:val="20"/>
          <w:color w:val="auto"/>
        </w:rPr>
      </w:pPr>
    </w:p>
    <w:p>
      <w:pPr>
        <w:ind w:right="60" w:firstLine="629"/>
        <w:spacing w:after="0" w:line="216" w:lineRule="exact"/>
        <w:rPr>
          <w:sz w:val="20"/>
          <w:szCs w:val="20"/>
          <w:color w:val="auto"/>
        </w:rPr>
      </w:pPr>
      <w:r>
        <w:rPr>
          <w:rFonts w:ascii="Times New Roman" w:cs="Times New Roman" w:eastAsia="Times New Roman" w:hAnsi="Times New Roman"/>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allowable assets.</w:t>
      </w:r>
    </w:p>
    <w:p>
      <w:pPr>
        <w:spacing w:after="0" w:line="198"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198" w:lineRule="exact"/>
        <w:rPr>
          <w:sz w:val="20"/>
          <w:szCs w:val="20"/>
          <w:color w:val="auto"/>
        </w:rPr>
      </w:pPr>
    </w:p>
    <w:p>
      <w:pPr>
        <w:ind w:right="100" w:firstLine="629"/>
        <w:spacing w:after="0" w:line="213" w:lineRule="exact"/>
        <w:rPr>
          <w:sz w:val="20"/>
          <w:szCs w:val="20"/>
          <w:color w:val="auto"/>
        </w:rPr>
      </w:pPr>
      <w:r>
        <w:rPr>
          <w:rFonts w:ascii="Times New Roman" w:cs="Times New Roman" w:eastAsia="Times New Roman" w:hAnsi="Times New Roman"/>
          <w:sz w:val="17"/>
          <w:szCs w:val="17"/>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litigation and potential securities law liability.</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197" w:lineRule="exact"/>
        <w:rPr>
          <w:sz w:val="20"/>
          <w:szCs w:val="20"/>
          <w:color w:val="auto"/>
        </w:rPr>
      </w:pPr>
    </w:p>
    <w:p>
      <w:pPr>
        <w:ind w:right="6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69"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2" w:name="page33"/>
    <w:bookmarkEnd w:id="32"/>
    <w:p>
      <w:pPr>
        <w:ind w:right="20"/>
        <w:spacing w:after="0" w:line="267" w:lineRule="auto"/>
        <w:rPr>
          <w:sz w:val="20"/>
          <w:szCs w:val="20"/>
          <w:color w:val="auto"/>
        </w:rPr>
      </w:pPr>
      <w:r>
        <w:rPr>
          <w:rFonts w:ascii="Times New Roman" w:cs="Times New Roman" w:eastAsia="Times New Roman" w:hAnsi="Times New Roman"/>
          <w:sz w:val="17"/>
          <w:szCs w:val="17"/>
          <w:color w:val="auto"/>
        </w:rPr>
        <w:t>support for the proposal. As of December 31, 2021 such tax has not yet been implemented. On October 15, 2020, the Spanish Government published Law 5/2020 on the Spanish Financial Transaction Tax (“Spanish FTT”). The Spanish FTT constitutes a new tax to be applied to acquisitions of equity shares in Spanish companies having a market capitalization greater than EUR1bn (as of 1st December the previous year), that are admitted to trading on a Spanish market or a market based in another E.U. member state. The Spanish FTT was applied to transactions from trade date of January 14, 2020, although it does contain certain exemptions, including in relation to market making activity.</w:t>
      </w:r>
    </w:p>
    <w:p>
      <w:pPr>
        <w:spacing w:after="0" w:line="196"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2019 U.S. legislators, including U.S. Senators Kirsten Gillibrand and Brian Schatz, have announced proposals or plans that include a financial transaction fee. President Biden's win in the 2020 U.S. Presidential election and the Democratic majority in the Senate may lead to additional proposals or plans. At the state level recently, the state of New Jersey has considered a bill in the state legislature providing for a financial transaction tax on trades processed on any server located in New Jersey, with other states, including New York, discussing similar measures. Discussions in New York have included a proposed bill which would reestablish a stock transfer tax by repealing a rebate previously implemented and applied to such tax since 1981.</w:t>
      </w:r>
    </w:p>
    <w:p>
      <w:pPr>
        <w:spacing w:after="0" w:line="200" w:lineRule="exact"/>
        <w:rPr>
          <w:sz w:val="20"/>
          <w:szCs w:val="20"/>
          <w:color w:val="auto"/>
        </w:rPr>
      </w:pPr>
    </w:p>
    <w:p>
      <w:pPr>
        <w:spacing w:after="0" w:line="215"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199" w:lineRule="exact"/>
        <w:rPr>
          <w:sz w:val="20"/>
          <w:szCs w:val="20"/>
          <w:color w:val="auto"/>
        </w:rPr>
      </w:pPr>
    </w:p>
    <w:p>
      <w:pPr>
        <w:ind w:right="5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liability.</w:t>
      </w:r>
    </w:p>
    <w:p>
      <w:pPr>
        <w:spacing w:after="0" w:line="142" w:lineRule="exact"/>
        <w:rPr>
          <w:sz w:val="20"/>
          <w:szCs w:val="20"/>
          <w:color w:val="auto"/>
        </w:rPr>
      </w:pPr>
    </w:p>
    <w:p>
      <w:pPr>
        <w:ind w:firstLine="629"/>
        <w:spacing w:after="0" w:line="214" w:lineRule="exact"/>
        <w:rPr>
          <w:sz w:val="20"/>
          <w:szCs w:val="20"/>
          <w:color w:val="auto"/>
        </w:rPr>
      </w:pPr>
      <w:r>
        <w:rPr>
          <w:rFonts w:ascii="Times New Roman" w:cs="Times New Roman" w:eastAsia="Times New Roman" w:hAnsi="Times New Roman"/>
          <w:sz w:val="17"/>
          <w:szCs w:val="17"/>
          <w:color w:val="auto"/>
        </w:rPr>
        <w:t>We are exposed to risks and uncertainties inherent in doing business in international markets, particularly in the heavily regulated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22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Brexit continues to pose a risk of negatively impacting the global economy, financial markets and our business.</w:t>
      </w:r>
    </w:p>
    <w:p>
      <w:pPr>
        <w:spacing w:after="0" w:line="241" w:lineRule="exact"/>
        <w:rPr>
          <w:sz w:val="20"/>
          <w:szCs w:val="20"/>
          <w:color w:val="auto"/>
        </w:rPr>
      </w:pPr>
    </w:p>
    <w:p>
      <w:pPr>
        <w:ind w:right="80" w:firstLine="629"/>
        <w:spacing w:after="0" w:line="254" w:lineRule="auto"/>
        <w:rPr>
          <w:sz w:val="20"/>
          <w:szCs w:val="20"/>
          <w:color w:val="auto"/>
        </w:rPr>
      </w:pPr>
      <w:r>
        <w:rPr>
          <w:rFonts w:ascii="Times New Roman" w:cs="Times New Roman" w:eastAsia="Times New Roman" w:hAnsi="Times New Roman"/>
          <w:sz w:val="17"/>
          <w:szCs w:val="17"/>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such period ending on March 29, 2019 unless extended. Following extensions to that period, a Withdrawal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3" w:name="page34"/>
    <w:bookmarkEnd w:id="33"/>
    <w:p>
      <w:pPr>
        <w:ind w:right="20"/>
        <w:spacing w:after="0" w:line="243" w:lineRule="auto"/>
        <w:rPr>
          <w:sz w:val="20"/>
          <w:szCs w:val="20"/>
          <w:color w:val="auto"/>
        </w:rPr>
      </w:pPr>
      <w:r>
        <w:rPr>
          <w:rFonts w:ascii="Times New Roman" w:cs="Times New Roman" w:eastAsia="Times New Roman" w:hAnsi="Times New Roman"/>
          <w:sz w:val="17"/>
          <w:szCs w:val="17"/>
          <w:color w:val="auto"/>
        </w:rPr>
        <w:t>Agreement and Political Declaration were reached between the U.K. and the E.U. On January 23, 2020, the European Union (Withdrawal Agreement) Act 2020 received Royal Assent in the U.K., and on January 31, 2020 the U.K. left the E.U. pursuant to the terms of the Withdrawal Agreement. The U.K. and E.U. then entered into a transition period during which rules on trade, travel, and business for the U.K. and E.U. continued to apply. The transition period came to an end as of January 1, 2021, at which point U.K. investment firms which had previously used passporting permissions under MiFID II to provide services to clients in the E.U., ceased to subject to the E.U.'s MiFID II regime. Virtu accesses the E.U. markets primarily through our Irish regulated subsidiaries via MiFID II passporting permissions and accesses the U.K. market primarily via a combination of U.K. based subsidiaries and branch offices. The U.K. branch offices of VIEL and VFIL currently utilize the U.K. FCA’s Temporary Permission Regime and are therefore deemed to be authorized and regulated by the FCA. The Temporary Permissions Regime is due to come to an end at the end of 2023. VIEL and VFIL have submitted applications for full third country branch authorization to the FCA to ensure the long-term operational footprint of Virtu’s branches in the U.K. These authorization processes are ongoing. The U.K. subsidiary, VIUK, is an investment firm authorized and regulated by the FCA with permission to operate a U.K. MTF. Poor future relations between the U.K. and E.U., however, could adversely affect European or worldwide political, fiscal, regulatory, economic or market conditions and could contribute to instability in global political institutions, regulatory agencies and financial markets. Disruptions and uncertainty caused by these events may also cause our clients to closely monitor their costs and reduce their spending budget on our services. Any of these effects of the U.K.’s departure from the E.U., and others we cannot anticipate or that may evolve over time, could adversely affect our business,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connection with our historical acquisitions, the Company is subject to potential liabilities that could materially and adversely affect our business.</w:t>
      </w:r>
    </w:p>
    <w:p>
      <w:pPr>
        <w:spacing w:after="0" w:line="241" w:lineRule="exact"/>
        <w:rPr>
          <w:sz w:val="20"/>
          <w:szCs w:val="20"/>
          <w:color w:val="auto"/>
        </w:rPr>
      </w:pPr>
    </w:p>
    <w:p>
      <w:pPr>
        <w:ind w:right="40" w:firstLine="629"/>
        <w:spacing w:after="0" w:line="251" w:lineRule="auto"/>
        <w:rPr>
          <w:sz w:val="20"/>
          <w:szCs w:val="20"/>
          <w:color w:val="auto"/>
        </w:rPr>
      </w:pPr>
      <w:r>
        <w:rPr>
          <w:rFonts w:ascii="Times New Roman" w:cs="Times New Roman" w:eastAsia="Times New Roman" w:hAnsi="Times New Roman"/>
          <w:sz w:val="17"/>
          <w:szCs w:val="17"/>
          <w:color w:val="auto"/>
        </w:rPr>
        <w:t>In connection with the Acquisition of KCG and the ITG Acquisition, we assumed potential liabilities, indemnification obligations, and other risks relating to KCG's and ITG’s business, including but not limited to those liabilities and risks arising from or related to pending, threatened or potential litigation or regulatory matters.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 and Structure</w:t>
      </w:r>
    </w:p>
    <w:p>
      <w:pPr>
        <w:spacing w:after="0" w:line="248"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principal asset is our 59.7% of equity interest in Virtu Financial, and we are accordingly dependent upon distributions from Virtu Financial to pay dividends, if any, taxes and other expenses.</w:t>
      </w:r>
    </w:p>
    <w:p>
      <w:pPr>
        <w:spacing w:after="0" w:line="169"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We are a holding company and our principal asset is our direct and indirect ownership of 59.7% of the Virtu Financial Units as of December 31, 2022. We have no independent means of generating revenue. As the sole managing member of Virtu Financial, we cause Virtu Financial to make distributions to its equity 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First Lien Term Loan Facility (as defined below). In addition, certain laws and regulations may result in restrictions on Virtu Financial’s ability to make distributions to its equity holders (including us), or the ability of its subsidiaries to make distributions to it. These include:</w:t>
      </w:r>
    </w:p>
    <w:p>
      <w:pPr>
        <w:spacing w:after="0" w:line="175" w:lineRule="exact"/>
        <w:rPr>
          <w:sz w:val="20"/>
          <w:szCs w:val="20"/>
          <w:color w:val="auto"/>
        </w:rPr>
      </w:pPr>
    </w:p>
    <w:p>
      <w:pPr>
        <w:ind w:left="940" w:right="20" w:hanging="306"/>
        <w:spacing w:after="0" w:line="232" w:lineRule="exact"/>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Uniform Net Capital Rule (Rule 15c3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which requires Virtu Financial’s registered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subsidiary to maintain specified levels of net capital;</w:t>
      </w:r>
    </w:p>
    <w:p>
      <w:pPr>
        <w:ind w:left="940" w:right="300" w:hanging="306"/>
        <w:spacing w:after="0" w:line="211" w:lineRule="exact"/>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FINRA Rule 4110, which imposes a requirement of prior FINRA approval for any distribution by Virtu Financial’s FINRA member registered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 subsidiary in excess of 10% of its excess net capital; and</w:t>
      </w:r>
    </w:p>
    <w:p>
      <w:pPr>
        <w:ind w:left="940" w:hanging="306"/>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for prior approval from the CBI before Virtu Financial’s regulated Irish subsidiary completes any distribution or dividend.</w:t>
      </w:r>
    </w:p>
    <w:p>
      <w:pPr>
        <w:spacing w:after="0" w:line="230"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spacing w:after="0" w:line="177" w:lineRule="exact"/>
        <w:rPr>
          <w:sz w:val="20"/>
          <w:szCs w:val="20"/>
          <w:color w:val="auto"/>
        </w:rPr>
      </w:pPr>
    </w:p>
    <w:p>
      <w:pPr>
        <w:ind w:right="340" w:firstLine="629"/>
        <w:spacing w:after="0" w:line="264" w:lineRule="auto"/>
        <w:rPr>
          <w:sz w:val="20"/>
          <w:szCs w:val="20"/>
          <w:color w:val="auto"/>
        </w:rPr>
      </w:pPr>
      <w:r>
        <w:rPr>
          <w:rFonts w:ascii="Times New Roman" w:cs="Times New Roman" w:eastAsia="Times New Roman" w:hAnsi="Times New Roman"/>
          <w:sz w:val="17"/>
          <w:szCs w:val="17"/>
          <w:color w:val="auto"/>
        </w:rPr>
        <w:t>Under the Third Amended and Restated Limited Liability Company Agreement of Virtu Financial (as amended, the “Amended and Restated Virtu Financial LLC Agreement”), Virtu Financial from time to time makes distributions in cash to its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34" w:name="page35"/>
    <w:bookmarkEnd w:id="34"/>
    <w:p>
      <w:pPr>
        <w:spacing w:after="0" w:line="201" w:lineRule="exact"/>
        <w:rPr>
          <w:sz w:val="20"/>
          <w:szCs w:val="20"/>
          <w:color w:val="auto"/>
        </w:rPr>
      </w:pPr>
      <w:r>
        <w:rPr>
          <w:rFonts w:ascii="Times New Roman" w:cs="Times New Roman" w:eastAsia="Times New Roman" w:hAnsi="Times New Roman"/>
          <w:sz w:val="17"/>
          <w:szCs w:val="17"/>
          <w:color w:val="auto"/>
        </w:rPr>
        <w:t>equity holders, including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These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 As a result of (i) potential differences in the amount of net taxable income allocable to us and to Virtu Financial’s other equity holders, (ii) the lower tax rate applicable to corporations than individuals,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and (vi) additional distributions of profits which may be generated by Virtu Financial and its subsidiaries to equity holders, we expect that the distributions we receive may exceed our tax liabilities, regular dividend and other obligations.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one.</w:t>
      </w:r>
    </w:p>
    <w:p>
      <w:pPr>
        <w:spacing w:after="0" w:line="374"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7"/>
          <w:szCs w:val="17"/>
          <w:b w:val="1"/>
          <w:bCs w:val="1"/>
          <w:i w:val="1"/>
          <w:iCs w:val="1"/>
          <w:color w:val="auto"/>
        </w:rPr>
        <w:t>We are controlled by the Founder Post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IPO Member, whose interests in our business may be different than yours, and certain statutory provisions afforded to stockholders are not applicable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-217170</wp:posOffset>
            </wp:positionV>
            <wp:extent cx="62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72" w:lineRule="exact"/>
        <w:rPr>
          <w:sz w:val="20"/>
          <w:szCs w:val="20"/>
          <w:color w:val="auto"/>
        </w:rPr>
      </w:pPr>
    </w:p>
    <w:p>
      <w:pPr>
        <w:jc w:val="both"/>
        <w:ind w:right="120" w:firstLine="629"/>
        <w:spacing w:after="0" w:line="232" w:lineRule="exact"/>
        <w:rPr>
          <w:sz w:val="20"/>
          <w:szCs w:val="20"/>
          <w:color w:val="auto"/>
        </w:rPr>
      </w:pPr>
      <w:r>
        <w:rPr>
          <w:rFonts w:ascii="Times New Roman" w:cs="Times New Roman" w:eastAsia="Times New Roman" w:hAnsi="Times New Roman"/>
          <w:sz w:val="17"/>
          <w:szCs w:val="17"/>
          <w:color w:val="auto"/>
        </w:rPr>
        <w:t>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controls approximately 85.2% of the combined voting power of our common stock as a result of its ownership of our Class C and Class D Common Stock, each share of which is entitled to 1 vote and 10 votes, respectively, on all matters submitted to a vote of our stockholders.</w:t>
      </w:r>
    </w:p>
    <w:p>
      <w:pPr>
        <w:spacing w:after="0" w:line="192" w:lineRule="exact"/>
        <w:rPr>
          <w:sz w:val="20"/>
          <w:szCs w:val="20"/>
          <w:color w:val="auto"/>
        </w:rPr>
      </w:pPr>
    </w:p>
    <w:p>
      <w:pPr>
        <w:ind w:right="40" w:firstLine="629"/>
        <w:spacing w:after="0" w:line="216" w:lineRule="exact"/>
        <w:rPr>
          <w:sz w:val="20"/>
          <w:szCs w:val="20"/>
          <w:color w:val="auto"/>
        </w:rPr>
      </w:pPr>
      <w:r>
        <w:rPr>
          <w:rFonts w:ascii="Times New Roman" w:cs="Times New Roman" w:eastAsia="Times New Roman" w:hAnsi="Times New Roman"/>
          <w:sz w:val="17"/>
          <w:szCs w:val="17"/>
          <w:color w:val="auto"/>
        </w:rPr>
        <w:t>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even if such events are in the best interests of minority stockholders. This concentration of voting power with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is able to control our Company as long as it owns at least 25% of our issued and outstanding Common Stock.</w:t>
      </w:r>
    </w:p>
    <w:p>
      <w:pPr>
        <w:spacing w:after="0" w:line="219" w:lineRule="exact"/>
        <w:rPr>
          <w:sz w:val="20"/>
          <w:szCs w:val="20"/>
          <w:color w:val="auto"/>
        </w:rPr>
      </w:pPr>
    </w:p>
    <w:p>
      <w:pPr>
        <w:ind w:firstLine="629"/>
        <w:spacing w:after="0" w:line="213" w:lineRule="exact"/>
        <w:rPr>
          <w:sz w:val="20"/>
          <w:szCs w:val="20"/>
          <w:color w:val="auto"/>
        </w:rPr>
      </w:pPr>
      <w:r>
        <w:rPr>
          <w:rFonts w:ascii="Times New Roman" w:cs="Times New Roman" w:eastAsia="Times New Roman" w:hAnsi="Times New Roman"/>
          <w:sz w:val="17"/>
          <w:szCs w:val="17"/>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for our stockholders unless the transaction is also tax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5" w:name="page36"/>
    <w:bookmarkEnd w:id="35"/>
    <w:p>
      <w:pPr>
        <w:ind w:firstLine="629"/>
        <w:spacing w:after="0" w:line="212" w:lineRule="exact"/>
        <w:rPr>
          <w:sz w:val="20"/>
          <w:szCs w:val="20"/>
          <w:color w:val="auto"/>
        </w:rPr>
      </w:pPr>
      <w:r>
        <w:rPr>
          <w:rFonts w:ascii="Times New Roman" w:cs="Times New Roman" w:eastAsia="Times New Roman" w:hAnsi="Times New Roman"/>
          <w:sz w:val="17"/>
          <w:szCs w:val="17"/>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23" w:lineRule="exact"/>
        <w:rPr>
          <w:sz w:val="20"/>
          <w:szCs w:val="20"/>
          <w:color w:val="auto"/>
        </w:rPr>
      </w:pPr>
    </w:p>
    <w:p>
      <w:pPr>
        <w:ind w:right="80" w:firstLine="629"/>
        <w:spacing w:after="0" w:line="211" w:lineRule="exact"/>
        <w:rPr>
          <w:sz w:val="20"/>
          <w:szCs w:val="20"/>
          <w:color w:val="auto"/>
        </w:rPr>
      </w:pPr>
      <w:r>
        <w:rPr>
          <w:rFonts w:ascii="Times New Roman" w:cs="Times New Roman" w:eastAsia="Times New Roman" w:hAnsi="Times New Roman"/>
          <w:sz w:val="17"/>
          <w:szCs w:val="17"/>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directors are not subject to any such restriction. To the extent that the Founder Post-IPO Member, Mr. Viola, Temasek,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21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remain in compliance with the covenants contained in our Credit Agreement and our obligation to comply with these covenants may adversely affect our ability to operate our business.</w:t>
      </w:r>
    </w:p>
    <w:p>
      <w:pPr>
        <w:spacing w:after="0" w:line="169"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The covenants in our Credit Agreement may negatively impact our ability to finance future operations or capital needs or to engage in other business activities. Our Credit Agreement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194"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192"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42" w:lineRule="exact"/>
        <w:rPr>
          <w:sz w:val="20"/>
          <w:szCs w:val="20"/>
          <w:color w:val="auto"/>
        </w:rPr>
      </w:pPr>
    </w:p>
    <w:p>
      <w:pPr>
        <w:ind w:right="40" w:firstLine="629"/>
        <w:spacing w:after="0" w:line="216" w:lineRule="exact"/>
        <w:rPr>
          <w:sz w:val="20"/>
          <w:szCs w:val="20"/>
          <w:color w:val="auto"/>
        </w:rPr>
      </w:pPr>
      <w:r>
        <w:rPr>
          <w:rFonts w:ascii="Times New Roman" w:cs="Times New Roman" w:eastAsia="Times New Roman" w:hAnsi="Times New Roman"/>
          <w:sz w:val="17"/>
          <w:szCs w:val="17"/>
          <w:color w:val="auto"/>
        </w:rPr>
        <w:t>The Founder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 controls more than 50% of our combined voting power. As a result, we are considered a “controlled company” for purposes of the Nasdaq rules and corporate governance standards, and therefore we are permitted and may elect not to or may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192"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7"/>
          <w:szCs w:val="17"/>
          <w:b w:val="1"/>
          <w:bCs w:val="1"/>
          <w:i w:val="1"/>
          <w:iCs w:val="1"/>
          <w:color w:val="auto"/>
        </w:rPr>
        <w:t>We are required to pay the Virtu Post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IPO Members and the Investor Post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IPO Stockholders for certain tax benefits we may claim, and the amounts we may pay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-217170</wp:posOffset>
            </wp:positionV>
            <wp:extent cx="62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65" cy="3873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-217170</wp:posOffset>
            </wp:positionV>
            <wp:extent cx="62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65" cy="38735"/>
                    </a:xfrm>
                    <a:prstGeom prst="rect">
                      <a:avLst/>
                    </a:prstGeom>
                    <a:noFill/>
                  </pic:spPr>
                </pic:pic>
              </a:graphicData>
            </a:graphic>
          </wp:anchor>
        </w:drawing>
      </w:r>
    </w:p>
    <w:p>
      <w:pPr>
        <w:spacing w:after="0" w:line="199"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In connection with the Reorganization Transactions, we acquired equity interests in Virtu Financial from an affiliate of Silver Lake Partners (which, following a secondary offering completed in November 2015, no longer holds any equity interest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6" w:name="page37"/>
    <w:bookmarkEnd w:id="36"/>
    <w:p>
      <w:pPr>
        <w:spacing w:after="0" w:line="262" w:lineRule="auto"/>
        <w:rPr>
          <w:sz w:val="20"/>
          <w:szCs w:val="20"/>
          <w:color w:val="auto"/>
        </w:rPr>
      </w:pPr>
      <w:r>
        <w:rPr>
          <w:rFonts w:ascii="Times New Roman" w:cs="Times New Roman" w:eastAsia="Times New Roman" w:hAnsi="Times New Roman"/>
          <w:sz w:val="17"/>
          <w:szCs w:val="17"/>
          <w:color w:val="auto"/>
        </w:rPr>
        <w:t>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20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w:t>
      </w:r>
    </w:p>
    <w:p>
      <w:pPr>
        <w:spacing w:after="0" w:line="1" w:lineRule="exact"/>
        <w:rPr>
          <w:sz w:val="20"/>
          <w:szCs w:val="20"/>
          <w:color w:val="auto"/>
        </w:rPr>
      </w:pPr>
    </w:p>
    <w:p>
      <w:pPr>
        <w:ind w:right="340" w:firstLine="5"/>
        <w:spacing w:after="0" w:line="274" w:lineRule="auto"/>
        <w:tabs>
          <w:tab w:leader="none" w:pos="25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 operating losses available to us as a result of the Mergers and (iii) tax benefits related to imputed interest deemed arising as a result of payments made under the tax receivable agreements.</w:t>
      </w:r>
    </w:p>
    <w:p>
      <w:pPr>
        <w:spacing w:after="0" w:line="191" w:lineRule="exact"/>
        <w:rPr>
          <w:sz w:val="20"/>
          <w:szCs w:val="20"/>
          <w:color w:val="auto"/>
        </w:rPr>
      </w:pPr>
    </w:p>
    <w:p>
      <w:pPr>
        <w:ind w:right="120" w:firstLine="629"/>
        <w:spacing w:after="0" w:line="214" w:lineRule="exact"/>
        <w:rPr>
          <w:sz w:val="20"/>
          <w:szCs w:val="20"/>
          <w:color w:val="auto"/>
        </w:rPr>
      </w:pPr>
      <w:r>
        <w:rPr>
          <w:rFonts w:ascii="Times New Roman" w:cs="Times New Roman" w:eastAsia="Times New Roman" w:hAnsi="Times New Roman"/>
          <w:sz w:val="17"/>
          <w:szCs w:val="17"/>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220" w:lineRule="exact"/>
        <w:rPr>
          <w:sz w:val="20"/>
          <w:szCs w:val="20"/>
          <w:color w:val="auto"/>
        </w:rPr>
      </w:pPr>
    </w:p>
    <w:p>
      <w:pPr>
        <w:ind w:firstLine="629"/>
        <w:spacing w:after="0" w:line="211" w:lineRule="exact"/>
        <w:rPr>
          <w:sz w:val="20"/>
          <w:szCs w:val="20"/>
          <w:color w:val="auto"/>
        </w:rPr>
      </w:pPr>
      <w:r>
        <w:rPr>
          <w:rFonts w:ascii="Times New Roman" w:cs="Times New Roman" w:eastAsia="Times New Roman" w:hAnsi="Times New Roman"/>
          <w:sz w:val="17"/>
          <w:szCs w:val="17"/>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 approximately $36.4 thousand to $22.0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or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continued ownership of us.</w:t>
      </w:r>
    </w:p>
    <w:p>
      <w:pPr>
        <w:spacing w:after="0" w:line="223" w:lineRule="exact"/>
        <w:rPr>
          <w:sz w:val="20"/>
          <w:szCs w:val="20"/>
          <w:color w:val="auto"/>
        </w:rPr>
      </w:pPr>
    </w:p>
    <w:p>
      <w:pPr>
        <w:ind w:right="40" w:firstLine="629"/>
        <w:spacing w:after="0" w:line="212" w:lineRule="exact"/>
        <w:rPr>
          <w:sz w:val="20"/>
          <w:szCs w:val="20"/>
          <w:color w:val="auto"/>
        </w:rPr>
      </w:pPr>
      <w:r>
        <w:rPr>
          <w:rFonts w:ascii="Times New Roman" w:cs="Times New Roman" w:eastAsia="Times New Roman" w:hAnsi="Times New Roman"/>
          <w:sz w:val="17"/>
          <w:szCs w:val="17"/>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under the tax receivable agreements that are greater than our actual cash tax savings and may not be able to recoup those payments, which could negatively impact our liquidity.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7" w:name="page38"/>
    <w:bookmarkEnd w:id="37"/>
    <w:p>
      <w:pPr>
        <w:ind w:firstLine="629"/>
        <w:spacing w:after="0" w:line="267" w:lineRule="auto"/>
        <w:rPr>
          <w:sz w:val="20"/>
          <w:szCs w:val="20"/>
          <w:color w:val="auto"/>
        </w:rPr>
      </w:pPr>
      <w:r>
        <w:rPr>
          <w:rFonts w:ascii="Times New Roman" w:cs="Times New Roman" w:eastAsia="Times New Roman" w:hAnsi="Times New Roman"/>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70" w:lineRule="exact"/>
        <w:rPr>
          <w:sz w:val="20"/>
          <w:szCs w:val="20"/>
          <w:color w:val="auto"/>
        </w:rPr>
      </w:pPr>
    </w:p>
    <w:p>
      <w:pPr>
        <w:ind w:right="40" w:firstLine="629"/>
        <w:spacing w:after="0" w:line="216" w:lineRule="exact"/>
        <w:rPr>
          <w:sz w:val="20"/>
          <w:szCs w:val="20"/>
          <w:color w:val="auto"/>
        </w:rPr>
      </w:pPr>
      <w:r>
        <w:rPr>
          <w:rFonts w:ascii="Times New Roman" w:cs="Times New Roman" w:eastAsia="Times New Roman" w:hAnsi="Times New Roman"/>
          <w:sz w:val="17"/>
          <w:szCs w:val="17"/>
          <w:color w:val="auto"/>
        </w:rPr>
        <w:t>In addition, the tax receivable agreements provide that in the case of a change in control of the Company,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Members and the Investor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200" w:lineRule="exact"/>
        <w:rPr>
          <w:sz w:val="20"/>
          <w:szCs w:val="20"/>
          <w:color w:val="auto"/>
        </w:rPr>
      </w:pPr>
    </w:p>
    <w:p>
      <w:pPr>
        <w:spacing w:after="0" w:line="215"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Class A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of shares of our Class A common stock in the public market could cause our stock price to fall.</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As of December 31, 2022, we had 98,549,464 shares of Class A Common Stock outstanding and 4,029,833 shares of Class A Common Stock issuable pursuant to the Amended and Restated 2015 Management Incentive Plan (as defined below) upon the vesting of granted but unvested restricted stock units, excluding 7,614,260 shares of Class A Common Stock issuable pursuant to the Amended and Restated 2015 Management Incentive Plan but not yet granted, and 69,121,806 shares of Class A Common Stock issuable upon potential exchanges and/or conversions. Of these shares, 95,549,464 shares sold in the IPO and the Secondary Offerings are freely tradable without further restriction under the Securities Act. The remaining balance of 76,151,639 shares of Class A Common Stock outstanding as of December 31, 2022 (including shares issuable upon exchange and/or conversion, or vesting) are “restricted securities,” as that term is defined under Rule 144 of the Securities Act. The holders of these 76,151,639 shares of our Class A Common Stock, including shares issuable upon exchange, conversion or vesting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206"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We have filed a registration statement under the Securities Act registering 26,000,000 shares of our Class A Common Stock reserved for issuance under our Amended and Restated 2015 Management Incentive Plan, 7,614,260 of which are issuable, and we entered into the Registration Rights Agreement (as defined below) pursuant to which we granted demand and piggyback registration rights to the Founder Post-IPO Member, Temasek, another former stockholder, and piggyback registration rights to certain of the other Virtu Post-IPO Members.</w:t>
      </w:r>
    </w:p>
    <w:p>
      <w:pPr>
        <w:spacing w:after="0" w:line="190" w:lineRule="exact"/>
        <w:rPr>
          <w:sz w:val="20"/>
          <w:szCs w:val="20"/>
          <w:color w:val="auto"/>
        </w:rPr>
      </w:pPr>
    </w:p>
    <w:p>
      <w:pPr>
        <w:ind w:right="7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69"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8" w:name="page39"/>
    <w:bookmarkEnd w:id="38"/>
    <w:p>
      <w:pPr>
        <w:ind w:right="120"/>
        <w:spacing w:after="0" w:line="262" w:lineRule="auto"/>
        <w:rPr>
          <w:sz w:val="20"/>
          <w:szCs w:val="20"/>
          <w:color w:val="auto"/>
        </w:rPr>
      </w:pPr>
      <w:r>
        <w:rPr>
          <w:rFonts w:ascii="Times New Roman" w:cs="Times New Roman" w:eastAsia="Times New Roman" w:hAnsi="Times New Roman"/>
          <w:sz w:val="17"/>
          <w:szCs w:val="17"/>
          <w:color w:val="auto"/>
        </w:rPr>
        <w:t>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197"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55" w:lineRule="exact"/>
        <w:rPr>
          <w:sz w:val="20"/>
          <w:szCs w:val="20"/>
          <w:color w:val="auto"/>
        </w:rPr>
      </w:pPr>
    </w:p>
    <w:p>
      <w:pPr>
        <w:ind w:right="20" w:firstLine="629"/>
        <w:spacing w:after="0" w:line="243" w:lineRule="auto"/>
        <w:rPr>
          <w:sz w:val="20"/>
          <w:szCs w:val="20"/>
          <w:color w:val="auto"/>
        </w:rPr>
      </w:pPr>
      <w:r>
        <w:rPr>
          <w:rFonts w:ascii="Times New Roman" w:cs="Times New Roman" w:eastAsia="Times New Roman" w:hAnsi="Times New Roman"/>
          <w:sz w:val="17"/>
          <w:szCs w:val="17"/>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 holders, including the Founder Post-IPO Member, the Employee Trust, Virtu Employee Holdco and us, to fund our dividends. When Virtu Financial makes such distributions, the other equity 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Non-compliance with applicable laws or regulatory requirements could subject us to sanctions and could negatively impact our reputation, prospects, revenues and earnings.” If Virtu Financial is unable to cause these subsidiaries to make distributions, we may not receive adequate distributions from Virtu Financial in order to fund our dividends.</w:t>
      </w:r>
    </w:p>
    <w:p>
      <w:pPr>
        <w:spacing w:after="0" w:line="221"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in our charter documents and certain rules imposed by regulatory authorities may delay or prevent our acquisition by a third party.</w:t>
      </w:r>
    </w:p>
    <w:p>
      <w:pPr>
        <w:spacing w:after="0" w:line="254"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96" w:lineRule="exact"/>
        <w:rPr>
          <w:sz w:val="20"/>
          <w:szCs w:val="20"/>
          <w:color w:val="auto"/>
        </w:rPr>
      </w:pPr>
    </w:p>
    <w:p>
      <w:pPr>
        <w:ind w:left="940" w:hanging="306"/>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 vote per share feature of our Class B Common Stock and Class D Common Stock;</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division of our Board of Directors into three classes and the election of each class for three-year terms;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sole ability of the Board of Directors to fill a vacancy created by the expansion of the Board of Directors;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stockholder proposals and director nominations;</w:t>
      </w:r>
    </w:p>
    <w:p>
      <w:pPr>
        <w:spacing w:after="0" w:line="14" w:lineRule="exact"/>
        <w:rPr>
          <w:rFonts w:ascii="Times New Roman" w:cs="Times New Roman" w:eastAsia="Times New Roman" w:hAnsi="Times New Roman"/>
          <w:sz w:val="17"/>
          <w:szCs w:val="17"/>
          <w:color w:val="auto"/>
        </w:rPr>
      </w:pPr>
    </w:p>
    <w:p>
      <w:pPr>
        <w:ind w:left="940" w:right="680" w:hanging="306"/>
        <w:spacing w:after="0" w:line="257"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Triggering Event, provisions limiting stockholders' ability to call special meetings of stockholders, to require special meetings of stockholders to be called and to take action by written consent;</w:t>
      </w:r>
    </w:p>
    <w:p>
      <w:pPr>
        <w:ind w:left="940" w:hanging="306"/>
        <w:spacing w:after="0" w:line="274"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Triggering Event, in certain cases, the approval of holders of at least 75% of the shares entitled to vote generally on the making, alteration, amendment or repeal of our certificate of incorporation or by-laws will be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7"/>
          <w:szCs w:val="17"/>
          <w:color w:val="auto"/>
        </w:rPr>
        <w:t>required to adopt, amend or repeal our by-laws, or amend or repeal certain provisions of our certificate of incorporation;</w:t>
      </w:r>
    </w:p>
    <w:p>
      <w:pPr>
        <w:spacing w:after="0" w:line="32" w:lineRule="exact"/>
        <w:rPr>
          <w:sz w:val="20"/>
          <w:szCs w:val="20"/>
          <w:color w:val="auto"/>
        </w:rPr>
      </w:pPr>
    </w:p>
    <w:p>
      <w:pPr>
        <w:ind w:left="940" w:right="220" w:hanging="306"/>
        <w:spacing w:after="0" w:line="257"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Triggering Event, the required approval of holders of at least 75% of the shares entitled to vote at an election of the directors to remove directors, which removal may only be for cause; and</w:t>
      </w:r>
    </w:p>
    <w:p>
      <w:pPr>
        <w:ind w:left="940" w:hanging="306"/>
        <w:spacing w:after="0" w:line="265"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99" w:lineRule="exact"/>
        <w:rPr>
          <w:sz w:val="20"/>
          <w:szCs w:val="20"/>
          <w:color w:val="auto"/>
        </w:rPr>
      </w:pPr>
    </w:p>
    <w:p>
      <w:pPr>
        <w:ind w:right="20" w:firstLine="629"/>
        <w:spacing w:after="0" w:line="289" w:lineRule="auto"/>
        <w:rPr>
          <w:sz w:val="20"/>
          <w:szCs w:val="20"/>
          <w:color w:val="auto"/>
        </w:rPr>
      </w:pPr>
      <w:r>
        <w:rPr>
          <w:rFonts w:ascii="Times New Roman" w:cs="Times New Roman" w:eastAsia="Times New Roman" w:hAnsi="Times New Roman"/>
          <w:sz w:val="17"/>
          <w:szCs w:val="17"/>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39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 Rule 1017 generally provides that FINRA approval must be obtained in connection with any transaction resulting in a single person or entity owning, directly or indirectly, 25% or more of a member firm’s equity and would include a change in control of a parent company. Similarly, VFIL, VIEL and VIUK are subject to change in control regulations promulgated by the CBI and/or the FCA.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w:t>
      </w:r>
    </w:p>
    <w:p>
      <w:pPr>
        <w:spacing w:after="0" w:line="254"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being a public company.</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As a public company, we incur significant levels of legal, accounting and other expenses.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stock price and trading volume could decline as a result of inaccurate or unfavorable research, or the cessation of research cover, about our business published by securities or industry analysts.</w:t>
      </w:r>
    </w:p>
    <w:p>
      <w:pPr>
        <w:spacing w:after="0" w:line="169"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0" w:name="page41"/>
    <w:bookmarkEnd w:id="40"/>
    <w:p>
      <w:pPr>
        <w:spacing w:after="0" w:line="296" w:lineRule="auto"/>
        <w:rPr>
          <w:sz w:val="20"/>
          <w:szCs w:val="20"/>
          <w:color w:val="auto"/>
        </w:rPr>
      </w:pPr>
      <w:r>
        <w:rPr>
          <w:rFonts w:ascii="Times New Roman" w:cs="Times New Roman" w:eastAsia="Times New Roman" w:hAnsi="Times New Roman"/>
          <w:sz w:val="17"/>
          <w:szCs w:val="17"/>
          <w:color w:val="auto"/>
        </w:rPr>
        <w:t>decline if we fail to meet their projections. If one or more of these analysts ceases coverage of us or fails to publish reports on us regularly, our stock price or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868" w:right="6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07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39" w:lineRule="exact"/>
        <w:rPr>
          <w:sz w:val="20"/>
          <w:szCs w:val="20"/>
          <w:color w:val="auto"/>
        </w:rPr>
      </w:pPr>
    </w:p>
    <w:p>
      <w:pPr>
        <w:ind w:right="60" w:firstLine="629"/>
        <w:spacing w:after="0" w:line="280" w:lineRule="auto"/>
        <w:rPr>
          <w:sz w:val="20"/>
          <w:szCs w:val="20"/>
          <w:color w:val="auto"/>
        </w:rPr>
      </w:pPr>
      <w:r>
        <w:rPr>
          <w:rFonts w:ascii="Times New Roman" w:cs="Times New Roman" w:eastAsia="Times New Roman" w:hAnsi="Times New Roman"/>
          <w:sz w:val="17"/>
          <w:szCs w:val="17"/>
          <w:color w:val="auto"/>
        </w:rPr>
        <w:t>Our headquarters are located in leased office space at 1633 Broadway, New York, NY 10019. We also lease space for our offices in the U.S., Canada, Europe, Asia and Australia. We believe that our existing facilities are adequate to meet our current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15 "Commitments, Contingencies and Guarantees" to the Company’s Consolidated Financial Statements included in Part II Item 8 “Financial Statements and Supplementary Data”, which is incorporated by reference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66" w:right="4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9019"/>
          </w:cols>
          <w:pgMar w:left="1440" w:top="8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866" w:right="1440" w:bottom="1440" w:gutter="0" w:footer="0" w:header="0"/>
          <w:type w:val="continuous"/>
        </w:sectPr>
      </w:pPr>
    </w:p>
    <w:bookmarkStart w:id="44" w:name="page45"/>
    <w:bookmarkEnd w:id="44"/>
    <w:p>
      <w:pPr>
        <w:ind w:right="640"/>
        <w:spacing w:after="0" w:line="299"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52"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The Class A Common Stock trade on Nasdaq under the ticker symbol “VIRT”. There is no established public trading market for Class B Common Stock, Class C Common Stock or Class D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Based on information made available to us by the transfer agent, as of February 13, 2023, there are thirty-three stockholders of record of our Class A Common Stock, one of which was Cede &amp; Co., a nominee for The Depository Trust Company, zero stockholders of record of our Class B Common Stock, six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and Capital Return Policy</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Our Board of Directors has adopted a policy of returning excess cash to our stockholders. The Board of Directors declared and we paid quarterly cash dividends of $0.24 during the years ended December 31, 2022, 2021 and 2020. The Company intends to continue paying regular quarterly dividends to holders of our Class A Common Stock and Class B Common Stock and to holders of RSUs and RSAs (each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w:t>
      </w:r>
    </w:p>
    <w:p>
      <w:pPr>
        <w:spacing w:after="0" w:line="25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200" w:lineRule="exact"/>
        <w:rPr>
          <w:sz w:val="20"/>
          <w:szCs w:val="20"/>
          <w:color w:val="auto"/>
        </w:rPr>
      </w:pPr>
    </w:p>
    <w:p>
      <w:pPr>
        <w:spacing w:after="0" w:line="204" w:lineRule="exact"/>
        <w:rPr>
          <w:sz w:val="20"/>
          <w:szCs w:val="20"/>
          <w:color w:val="auto"/>
        </w:rPr>
      </w:pPr>
    </w:p>
    <w:p>
      <w:pPr>
        <w:ind w:right="340" w:firstLine="629"/>
        <w:spacing w:after="0" w:line="276" w:lineRule="auto"/>
        <w:rPr>
          <w:sz w:val="20"/>
          <w:szCs w:val="20"/>
          <w:color w:val="auto"/>
        </w:rPr>
      </w:pPr>
      <w:r>
        <w:rPr>
          <w:rFonts w:ascii="Times New Roman" w:cs="Times New Roman" w:eastAsia="Times New Roman" w:hAnsi="Times New Roman"/>
          <w:sz w:val="17"/>
          <w:szCs w:val="17"/>
          <w:color w:val="auto"/>
        </w:rPr>
        <w:t>The stock performance graph below compares the performance of an investment in our Class A Common Stock, from December 31, 2017 through December 31, 2022, with the S&amp;P 500 Index and the NYSE ARCA Securities Broker/Dealer Index. The graph assumes $100 was invested in our Class A Common Stock, the S&amp;P 500 Index and the NYSE Arca Securities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320040</wp:posOffset>
            </wp:positionV>
            <wp:extent cx="5672455" cy="3992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2455"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Index</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12/29/2017</w:t>
            </w:r>
          </w:p>
        </w:tc>
        <w:tc>
          <w:tcPr>
            <w:tcW w:w="12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6/29/2018</w:t>
            </w:r>
          </w:p>
        </w:tc>
        <w:tc>
          <w:tcPr>
            <w:tcW w:w="12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12/31/2018</w:t>
            </w:r>
          </w:p>
        </w:tc>
        <w:tc>
          <w:tcPr>
            <w:tcW w:w="10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6/28/2019</w:t>
            </w:r>
          </w:p>
        </w:tc>
        <w:tc>
          <w:tcPr>
            <w:tcW w:w="1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12/31/2019</w:t>
            </w:r>
          </w:p>
        </w:tc>
        <w:tc>
          <w:tcPr>
            <w:tcW w:w="100" w:type="dxa"/>
            <w:vAlign w:val="bottom"/>
          </w:tcPr>
          <w:p>
            <w:pPr>
              <w:spacing w:after="0"/>
              <w:rPr>
                <w:sz w:val="14"/>
                <w:szCs w:val="1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6/30/2020</w:t>
            </w:r>
          </w:p>
        </w:tc>
        <w:tc>
          <w:tcPr>
            <w:tcW w:w="1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12/31/2020</w:t>
            </w:r>
          </w:p>
        </w:tc>
        <w:tc>
          <w:tcPr>
            <w:tcW w:w="100" w:type="dxa"/>
            <w:vAlign w:val="bottom"/>
          </w:tcPr>
          <w:p>
            <w:pPr>
              <w:spacing w:after="0"/>
              <w:rPr>
                <w:sz w:val="14"/>
                <w:szCs w:val="14"/>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6/30/2021</w:t>
            </w:r>
          </w:p>
        </w:tc>
        <w:tc>
          <w:tcPr>
            <w:tcW w:w="1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12/31/2021</w:t>
            </w:r>
          </w:p>
        </w:tc>
        <w:tc>
          <w:tcPr>
            <w:tcW w:w="100" w:type="dxa"/>
            <w:vAlign w:val="bottom"/>
          </w:tcPr>
          <w:p>
            <w:pPr>
              <w:spacing w:after="0"/>
              <w:rPr>
                <w:sz w:val="14"/>
                <w:szCs w:val="14"/>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06/30/2022</w:t>
            </w:r>
          </w:p>
        </w:tc>
        <w:tc>
          <w:tcPr>
            <w:tcW w:w="1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12/30/2022</w:t>
            </w:r>
          </w:p>
        </w:tc>
      </w:tr>
      <w:tr>
        <w:trPr>
          <w:trHeight w:val="170"/>
        </w:trPr>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Virtu Financial Inc.</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147.40</w:t>
            </w: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145.96</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125.92</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95.07</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143.63</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156.31</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168.52</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179.04</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142.31</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126.75</w:t>
            </w:r>
          </w:p>
        </w:tc>
      </w:tr>
      <w:tr>
        <w:trPr>
          <w:trHeight w:val="16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S&amp;P 500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178.27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143.61</w:t>
            </w:r>
          </w:p>
        </w:tc>
      </w:tr>
      <w:tr>
        <w:trPr>
          <w:trHeight w:val="124"/>
        </w:trPr>
        <w:tc>
          <w:tcPr>
            <w:tcW w:w="11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NYSE Arca</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18"/>
        </w:trPr>
        <w:tc>
          <w:tcPr>
            <w:tcW w:w="116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Securities</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8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Broker/Dealer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183.55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143.75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169.33</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and Common Units Repurchases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to $170 million. On May 4, 2021 the Company's Board of directors authorized the expansion of the program, increasing the total authorized to $470 million and extending the duration of the program through May 4, 2022. Additionally, on November 3, 2021 the Company's Board of Directors authorized the expansion of the program by an additional $750 million to $1,220 million total and extending the duration of the program through November 3, 2023. The Company may repurchase shares from time to time in open market transactions, privately negotiated transactions or by other means. Repurchases may also be made under Rule 10b5-1 plans. The timing and amount of repurchase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6" w:name="page47"/>
    <w:bookmarkEnd w:id="46"/>
    <w:p>
      <w:pPr>
        <w:spacing w:after="0" w:line="267" w:lineRule="auto"/>
        <w:rPr>
          <w:sz w:val="20"/>
          <w:szCs w:val="20"/>
          <w:color w:val="auto"/>
        </w:rPr>
      </w:pPr>
      <w:r>
        <w:rPr>
          <w:rFonts w:ascii="Times New Roman" w:cs="Times New Roman" w:eastAsia="Times New Roman" w:hAnsi="Times New Roman"/>
          <w:sz w:val="17"/>
          <w:szCs w:val="17"/>
          <w:color w:val="auto"/>
        </w:rPr>
        <w:t>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From the inception of the program through December 31, 2022, the Company has repurchased approximately 32.3 million shares of Class A Common Stock and Virtu Financial Units for approximately $899.6 million. The Company has approximately $320.4 million of remaining capacity for future purchases of shares of Class A Common Stock and Virtu Financial Units under the program.</w:t>
      </w:r>
    </w:p>
    <w:p>
      <w:pPr>
        <w:spacing w:after="0" w:line="170"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contains information about the Company’s purchases of its Class A Common Stock and Class C Common Stock during the three months ended December 31, 2022:</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Value of Shares that</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16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w w:val="96"/>
              </w:rPr>
              <w:t>May Yet Be</w:t>
            </w: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c>
          <w:tcPr>
            <w:tcW w:w="13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00" w:type="dxa"/>
            <w:vAlign w:val="bottom"/>
          </w:tcPr>
          <w:p>
            <w:pPr>
              <w:spacing w:after="0"/>
              <w:rPr>
                <w:sz w:val="11"/>
                <w:szCs w:val="11"/>
                <w:color w:val="auto"/>
              </w:rPr>
            </w:pPr>
          </w:p>
        </w:tc>
        <w:tc>
          <w:tcPr>
            <w:tcW w:w="1160" w:type="dxa"/>
            <w:vAlign w:val="bottom"/>
          </w:tcPr>
          <w:p>
            <w:pPr>
              <w:jc w:val="center"/>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Purchased Under</w:t>
            </w:r>
          </w:p>
        </w:tc>
        <w:tc>
          <w:tcPr>
            <w:tcW w:w="0" w:type="dxa"/>
            <w:vAlign w:val="bottom"/>
          </w:tcPr>
          <w:p>
            <w:pPr>
              <w:spacing w:after="0"/>
              <w:rPr>
                <w:sz w:val="1"/>
                <w:szCs w:val="1"/>
                <w:color w:val="auto"/>
              </w:rPr>
            </w:pPr>
          </w:p>
        </w:tc>
      </w:tr>
      <w:tr>
        <w:trPr>
          <w:trHeight w:val="142"/>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1360" w:type="dxa"/>
            <w:vAlign w:val="bottom"/>
            <w:gridSpan w:val="3"/>
            <w:vMerge w:val="continue"/>
          </w:tcPr>
          <w:p>
            <w:pPr>
              <w:spacing w:after="0"/>
              <w:rPr>
                <w:sz w:val="12"/>
                <w:szCs w:val="12"/>
                <w:color w:val="auto"/>
              </w:rPr>
            </w:pPr>
          </w:p>
        </w:tc>
        <w:tc>
          <w:tcPr>
            <w:tcW w:w="136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00" w:type="dxa"/>
            <w:vAlign w:val="bottom"/>
          </w:tcPr>
          <w:p>
            <w:pPr>
              <w:spacing w:after="0"/>
              <w:rPr>
                <w:sz w:val="12"/>
                <w:szCs w:val="12"/>
                <w:color w:val="auto"/>
              </w:rPr>
            </w:pPr>
          </w:p>
        </w:tc>
        <w:tc>
          <w:tcPr>
            <w:tcW w:w="116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1"/>
        </w:trPr>
        <w:tc>
          <w:tcPr>
            <w:tcW w:w="434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95"/>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2022 - October 31, 2022</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833,650</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802,695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348,251,323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2022 - November 30, 2022</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635,349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334,016,541</w:t>
            </w:r>
          </w:p>
        </w:tc>
        <w:tc>
          <w:tcPr>
            <w:tcW w:w="0" w:type="dxa"/>
            <w:vAlign w:val="bottom"/>
          </w:tcPr>
          <w:p>
            <w:pPr>
              <w:spacing w:after="0"/>
              <w:rPr>
                <w:sz w:val="1"/>
                <w:szCs w:val="1"/>
                <w:color w:val="auto"/>
              </w:rPr>
            </w:pPr>
          </w:p>
        </w:tc>
      </w:tr>
      <w:tr>
        <w:trPr>
          <w:trHeight w:val="249"/>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2022 - December 31, 2022</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646,270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320,369,079</w:t>
            </w:r>
          </w:p>
        </w:tc>
        <w:tc>
          <w:tcPr>
            <w:tcW w:w="0" w:type="dxa"/>
            <w:vAlign w:val="bottom"/>
          </w:tcPr>
          <w:p>
            <w:pPr>
              <w:spacing w:after="0"/>
              <w:rPr>
                <w:sz w:val="1"/>
                <w:szCs w:val="1"/>
                <w:color w:val="auto"/>
              </w:rPr>
            </w:pPr>
          </w:p>
        </w:tc>
      </w:tr>
      <w:tr>
        <w:trPr>
          <w:trHeight w:val="269"/>
        </w:trPr>
        <w:tc>
          <w:tcPr>
            <w:tcW w:w="4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2,121,194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2,084,314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320,369,079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640" w:hanging="6"/>
        <w:spacing w:after="0" w:line="285" w:lineRule="auto"/>
        <w:tabs>
          <w:tab w:leader="none" w:pos="83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36,880 shares from employees in order to satisfy statutory tax withholding requirements upon the net settlement of equity awards for the three months ended December 31, 2022</w:t>
      </w:r>
    </w:p>
    <w:p>
      <w:pPr>
        <w:spacing w:after="0" w:line="17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pursuant to the Exchange Agreement, certain current and former employees elected to exchange 92,930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52"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The following table provides information about shares of common stock available for future awards under all of the Company’s equity compensation plans as of December 31, 2022:</w:t>
      </w:r>
    </w:p>
    <w:tbl>
      <w:tblPr>
        <w:tblLayout w:type="fixed"/>
        <w:tblInd w:w="3880" w:type="dxa"/>
        <w:tblCellMar>
          <w:top w:w="0" w:type="dxa"/>
          <w:left w:w="0" w:type="dxa"/>
          <w:bottom w:w="0" w:type="dxa"/>
          <w:right w:w="0" w:type="dxa"/>
        </w:tblCellMar>
      </w:tblPr>
      <w:tr>
        <w:trPr>
          <w:trHeight w:val="143"/>
        </w:trPr>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00" w:type="dxa"/>
            <w:vAlign w:val="bottom"/>
          </w:tcPr>
          <w:p>
            <w:pPr>
              <w:jc w:val="center"/>
              <w:ind w:lef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1960" w:type="dxa"/>
            <w:vAlign w:val="bottom"/>
            <w:vMerge w:val="restart"/>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900" w:type="dxa"/>
            <w:vAlign w:val="bottom"/>
          </w:tcPr>
          <w:p>
            <w:pPr>
              <w:jc w:val="center"/>
              <w:ind w:left="50"/>
              <w:spacing w:after="0" w:line="133" w:lineRule="exact"/>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900" w:type="dxa"/>
            <w:vAlign w:val="bottom"/>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future issuance under equity</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960" w:type="dxa"/>
            <w:vAlign w:val="bottom"/>
          </w:tcPr>
          <w:p>
            <w:pPr>
              <w:jc w:val="center"/>
              <w:ind w:left="2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 issued upon exercise</w:t>
            </w:r>
          </w:p>
        </w:tc>
        <w:tc>
          <w:tcPr>
            <w:tcW w:w="14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900" w:type="dxa"/>
            <w:vAlign w:val="bottom"/>
          </w:tcPr>
          <w:p>
            <w:pPr>
              <w:jc w:val="center"/>
              <w:ind w:left="50"/>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3"/>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tcPr>
          <w:p>
            <w:pPr>
              <w:jc w:val="center"/>
              <w:ind w:left="25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of outstanding options,</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900" w:type="dxa"/>
            <w:vAlign w:val="bottom"/>
          </w:tcPr>
          <w:p>
            <w:pPr>
              <w:jc w:val="center"/>
              <w:ind w:left="70"/>
              <w:spacing w:after="0" w:line="133" w:lineRule="exact"/>
              <w:rPr>
                <w:sz w:val="20"/>
                <w:szCs w:val="20"/>
                <w:color w:val="auto"/>
              </w:rPr>
            </w:pPr>
            <w:r>
              <w:rPr>
                <w:rFonts w:ascii="Times New Roman" w:cs="Times New Roman" w:eastAsia="Times New Roman" w:hAnsi="Times New Roman"/>
                <w:sz w:val="14"/>
                <w:szCs w:val="14"/>
                <w:b w:val="1"/>
                <w:bCs w:val="1"/>
                <w:color w:val="auto"/>
                <w:w w:val="99"/>
              </w:rPr>
              <w:t>(excluding securities reflected</w:t>
            </w:r>
          </w:p>
        </w:tc>
        <w:tc>
          <w:tcPr>
            <w:tcW w:w="0" w:type="dxa"/>
            <w:vAlign w:val="bottom"/>
          </w:tcPr>
          <w:p>
            <w:pPr>
              <w:spacing w:after="0"/>
              <w:rPr>
                <w:sz w:val="1"/>
                <w:szCs w:val="1"/>
                <w:color w:val="auto"/>
              </w:rPr>
            </w:pPr>
          </w:p>
        </w:tc>
      </w:tr>
      <w:tr>
        <w:trPr>
          <w:trHeight w:val="184"/>
        </w:trPr>
        <w:tc>
          <w:tcPr>
            <w:tcW w:w="1300" w:type="dxa"/>
            <w:vAlign w:val="bottom"/>
            <w:vMerge w:val="continue"/>
          </w:tcPr>
          <w:p>
            <w:pPr>
              <w:spacing w:after="0"/>
              <w:rPr>
                <w:sz w:val="16"/>
                <w:szCs w:val="16"/>
                <w:color w:val="auto"/>
              </w:rPr>
            </w:pPr>
          </w:p>
        </w:tc>
        <w:tc>
          <w:tcPr>
            <w:tcW w:w="196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0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in first column)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14605</wp:posOffset>
            </wp:positionV>
            <wp:extent cx="6213475" cy="216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3475" cy="216535"/>
                    </a:xfrm>
                    <a:prstGeom prst="rect">
                      <a:avLst/>
                    </a:prstGeom>
                    <a:noFill/>
                  </pic:spPr>
                </pic:pic>
              </a:graphicData>
            </a:graphic>
          </wp:anchor>
        </w:drawing>
      </w:r>
    </w:p>
    <w:p>
      <w:pPr>
        <w:sectPr>
          <w:pgSz w:w="11900" w:h="16838" w:orient="portrait"/>
          <w:cols w:equalWidth="0" w:num="1">
            <w:col w:w="11080"/>
          </w:cols>
          <w:pgMar w:left="320" w:top="868" w:right="499" w:bottom="1440" w:gutter="0" w:footer="0" w:header="0"/>
        </w:sectPr>
      </w:pPr>
    </w:p>
    <w:p>
      <w:pPr>
        <w:spacing w:after="0" w:line="3" w:lineRule="exact"/>
        <w:rPr>
          <w:sz w:val="20"/>
          <w:szCs w:val="20"/>
          <w:color w:val="auto"/>
        </w:rPr>
      </w:pPr>
    </w:p>
    <w:tbl>
      <w:tblPr>
        <w:tblLayout w:type="fixed"/>
        <w:tblInd w:w="740" w:type="dxa"/>
        <w:tblCellMar>
          <w:top w:w="0" w:type="dxa"/>
          <w:left w:w="0" w:type="dxa"/>
          <w:bottom w:w="0" w:type="dxa"/>
          <w:right w:w="0" w:type="dxa"/>
        </w:tblCellMar>
      </w:tblPr>
      <w:tr>
        <w:trPr>
          <w:trHeight w:val="144"/>
        </w:trPr>
        <w:tc>
          <w:tcPr>
            <w:tcW w:w="2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360" w:type="dxa"/>
            <w:vAlign w:val="bottom"/>
            <w:tcBorders>
              <w:top w:val="single" w:sz="8" w:color="auto"/>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Amended and Restated 2015</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security holders</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Incentive Plan</w:t>
            </w:r>
          </w:p>
        </w:tc>
        <w:tc>
          <w:tcPr>
            <w:tcW w:w="0" w:type="dxa"/>
            <w:vAlign w:val="bottom"/>
          </w:tcPr>
          <w:p>
            <w:pPr>
              <w:spacing w:after="0"/>
              <w:rPr>
                <w:sz w:val="1"/>
                <w:szCs w:val="1"/>
                <w:color w:val="auto"/>
              </w:rPr>
            </w:pPr>
          </w:p>
        </w:tc>
      </w:tr>
      <w:tr>
        <w:trPr>
          <w:trHeight w:val="145"/>
        </w:trPr>
        <w:tc>
          <w:tcPr>
            <w:tcW w:w="24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approved by security holders</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1,521,776</w:t>
            </w:r>
          </w:p>
        </w:tc>
        <w:tc>
          <w:tcPr>
            <w:tcW w:w="100" w:type="dxa"/>
            <w:vAlign w:val="bottom"/>
          </w:tcPr>
          <w:p>
            <w:pPr>
              <w:spacing w:after="0"/>
              <w:rPr>
                <w:sz w:val="15"/>
                <w:szCs w:val="15"/>
                <w:color w:val="auto"/>
              </w:rPr>
            </w:pPr>
          </w:p>
        </w:tc>
        <w:tc>
          <w:tcPr>
            <w:tcW w:w="5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7,614,260</w:t>
            </w:r>
          </w:p>
        </w:tc>
      </w:tr>
      <w:tr>
        <w:trPr>
          <w:trHeight w:val="327"/>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3"/>
        </w:trPr>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1,521,776</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7,614,260</w:t>
            </w:r>
          </w:p>
        </w:tc>
      </w:tr>
      <w:tr>
        <w:trPr>
          <w:trHeight w:val="26"/>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-165735</wp:posOffset>
            </wp:positionV>
            <wp:extent cx="6213475" cy="149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1347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00"/>
            <w:col w:w="5480"/>
          </w:cols>
          <w:pgMar w:left="320" w:top="86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868" w:right="4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8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years ended December 31, 2022, and 2021 should be read in conjunction with the audited Consolidated Financial Statements and accompanying notes for the year ended December 31, 2022, which are included in Item 8, of the this Annual Report on Form 10-K.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3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7"/>
          <w:szCs w:val="17"/>
          <w:i w:val="1"/>
          <w:iCs w:val="1"/>
          <w:color w:val="auto"/>
        </w:rPr>
        <w:t>For discussion around our results of operations for the year ended December 31, 2020 and for a comparison of our results of operations for the year ended December 31, 2021 and year ended December 31, 2020, see Item 7, Management’s Discussion and Analysis of Financial Condition and Results of Operations, of our Annual Report on Form 10-K for fiscal year ended December 31, 2021, filed with the SEC on February 18,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72" w:lineRule="exact"/>
        <w:rPr>
          <w:sz w:val="20"/>
          <w:szCs w:val="20"/>
          <w:color w:val="auto"/>
        </w:rPr>
      </w:pPr>
    </w:p>
    <w:p>
      <w:pPr>
        <w:ind w:left="940" w:right="240" w:hanging="149"/>
        <w:spacing w:after="0" w:line="270"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18" w:lineRule="exact"/>
        <w:rPr>
          <w:rFonts w:ascii="Times New Roman" w:cs="Times New Roman" w:eastAsia="Times New Roman" w:hAnsi="Times New Roman"/>
          <w:sz w:val="17"/>
          <w:szCs w:val="17"/>
          <w:color w:val="auto"/>
        </w:rPr>
      </w:pPr>
    </w:p>
    <w:p>
      <w:pPr>
        <w:ind w:left="940" w:right="140" w:hanging="149"/>
        <w:spacing w:after="0" w:line="270" w:lineRule="auto"/>
        <w:tabs>
          <w:tab w:leader="none" w:pos="93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recent SEC proposals focused on equity markets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 all of which have an adverse effect on our business;</w:t>
      </w:r>
    </w:p>
    <w:p>
      <w:pPr>
        <w:spacing w:after="0" w:line="62" w:lineRule="exact"/>
        <w:rPr>
          <w:rFonts w:ascii="Arial" w:cs="Arial" w:eastAsia="Arial" w:hAnsi="Arial"/>
          <w:sz w:val="17"/>
          <w:szCs w:val="17"/>
          <w:color w:val="auto"/>
        </w:rPr>
      </w:pPr>
    </w:p>
    <w:p>
      <w:pPr>
        <w:jc w:val="both"/>
        <w:ind w:left="940" w:right="140" w:hanging="149"/>
        <w:spacing w:after="0" w:line="27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 perception of us or of companies in our industry;</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49" w:name="page50"/>
    <w:bookmarkEnd w:id="49"/>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118" w:lineRule="exact"/>
        <w:rPr>
          <w:rFonts w:ascii="Times New Roman" w:cs="Times New Roman" w:eastAsia="Times New Roman" w:hAnsi="Times New Roman"/>
          <w:sz w:val="17"/>
          <w:szCs w:val="17"/>
          <w:color w:val="auto"/>
        </w:rPr>
      </w:pPr>
    </w:p>
    <w:p>
      <w:pPr>
        <w:jc w:val="both"/>
        <w:ind w:left="940" w:right="360" w:hanging="149"/>
        <w:spacing w:after="0" w:line="27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40" w:hanging="149"/>
        <w:spacing w:after="0" w:line="29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hanging="149"/>
        <w:spacing w:after="0" w:line="270"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jc w:val="both"/>
        <w:ind w:left="940" w:hanging="149"/>
        <w:spacing w:after="0" w:line="27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250"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94" w:lineRule="exact"/>
        <w:rPr>
          <w:sz w:val="20"/>
          <w:szCs w:val="20"/>
          <w:color w:val="auto"/>
        </w:rPr>
      </w:pPr>
    </w:p>
    <w:p>
      <w:pPr>
        <w:ind w:right="22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Preparation</w:t>
      </w:r>
    </w:p>
    <w:p>
      <w:pPr>
        <w:spacing w:after="0" w:line="252" w:lineRule="exact"/>
        <w:rPr>
          <w:sz w:val="20"/>
          <w:szCs w:val="20"/>
          <w:color w:val="auto"/>
        </w:rPr>
      </w:pPr>
    </w:p>
    <w:p>
      <w:pPr>
        <w:ind w:right="720" w:firstLine="629"/>
        <w:spacing w:after="0" w:line="296" w:lineRule="auto"/>
        <w:rPr>
          <w:sz w:val="20"/>
          <w:szCs w:val="20"/>
          <w:color w:val="auto"/>
        </w:rPr>
      </w:pPr>
      <w:r>
        <w:rPr>
          <w:rFonts w:ascii="Times New Roman" w:cs="Times New Roman" w:eastAsia="Times New Roman" w:hAnsi="Times New Roman"/>
          <w:sz w:val="17"/>
          <w:szCs w:val="17"/>
          <w:color w:val="auto"/>
        </w:rPr>
        <w:t>Our Consolidated Financial Statements for the years ended December 31, 2022 and 2021 reflect our operations and those of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1"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90"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ITG</w:t>
      </w:r>
    </w:p>
    <w:p>
      <w:pPr>
        <w:spacing w:after="0" w:line="25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399" w:lineRule="exact"/>
        <w:rPr>
          <w:sz w:val="20"/>
          <w:szCs w:val="20"/>
          <w:color w:val="auto"/>
        </w:rPr>
      </w:pPr>
    </w:p>
    <w:p>
      <w:pPr>
        <w:ind w:right="160" w:firstLine="629"/>
        <w:spacing w:after="0" w:line="247"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Amended and Restated 2015 Management Incentive Plan</w:t>
      </w:r>
    </w:p>
    <w:p>
      <w:pPr>
        <w:spacing w:after="0" w:line="239"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spacing w:after="0" w:line="220" w:lineRule="exact"/>
        <w:rPr>
          <w:sz w:val="20"/>
          <w:szCs w:val="20"/>
          <w:color w:val="auto"/>
        </w:rPr>
      </w:pPr>
    </w:p>
    <w:p>
      <w:pPr>
        <w:ind w:right="120" w:firstLine="629"/>
        <w:spacing w:after="0" w:line="268"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December 31, 2022, options to purchase 1,633,750 shares in the aggregate were forfeited and 6,072,474 options were exercised. The fair value of the stock option grants was determined through the application of the Black-Scholes-Merton model and was recognized on a straight-line basis over the vesting period.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Investment Technology Group, Inc. 2007 Omnibus Equity Compensation Plan</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years ended December 31, 2022, 2021, and 2020:</w:t>
      </w: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2,593,342</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1,332,280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1,277,078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1,352,029</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480,559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1,241,313</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650,143</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472,899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475,526</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174,617</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28,939</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(33,093)</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2,811,485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3,239,331</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1,808,014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1,814,581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1,856,494</w:t>
            </w:r>
          </w:p>
        </w:tc>
      </w:tr>
      <w:tr>
        <w:trPr>
          <w:trHeight w:val="190"/>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556,798</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996,904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1,382,837</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years ended December 31, 2022, 2021, and 2020:</w:t>
      </w:r>
    </w:p>
    <w:p>
      <w:pPr>
        <w:spacing w:after="0" w:line="283"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0"/>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1,628,898</w:t>
            </w: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2,105,194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2,493,248</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75,384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62,119</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614,489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600,510</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16,418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83,454</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2,811,485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3,239,331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745,434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758,843</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211,988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213,750</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376,282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393,536</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139,704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125,649</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94,558</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67,816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66,741</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74,254</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28,138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28,879</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87,735</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1,808,014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1,814,581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1,856,494</w:t>
            </w:r>
          </w:p>
        </w:tc>
        <w:tc>
          <w:tcPr>
            <w:tcW w:w="0" w:type="dxa"/>
            <w:vAlign w:val="bottom"/>
          </w:tcPr>
          <w:p>
            <w:pPr>
              <w:spacing w:after="0"/>
              <w:rPr>
                <w:sz w:val="1"/>
                <w:szCs w:val="1"/>
                <w:color w:val="auto"/>
              </w:rPr>
            </w:pPr>
          </w:p>
        </w:tc>
      </w:tr>
      <w:tr>
        <w:trPr>
          <w:trHeight w:val="18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996,904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1,382,837</w:t>
            </w:r>
          </w:p>
        </w:tc>
        <w:tc>
          <w:tcPr>
            <w:tcW w:w="0" w:type="dxa"/>
            <w:vAlign w:val="bottom"/>
          </w:tcPr>
          <w:p>
            <w:pPr>
              <w:spacing w:after="0"/>
              <w:rPr>
                <w:sz w:val="1"/>
                <w:szCs w:val="1"/>
                <w:color w:val="auto"/>
              </w:rPr>
            </w:pP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169,670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261,924</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971" w:right="8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86"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69% and 75% of our total revenues for the years ended December 31, 2022 and 2021, respectively.</w:t>
      </w:r>
    </w:p>
    <w:p>
      <w:pPr>
        <w:spacing w:after="0" w:line="192"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or commission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3"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86"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JV’s earnings or losses within Other, net, while fees related to the use of communication services provided by the JVs are recorded within Communications and data processing.</w:t>
      </w:r>
    </w:p>
    <w:p>
      <w:pPr>
        <w:spacing w:after="0" w:line="174" w:lineRule="exact"/>
        <w:rPr>
          <w:sz w:val="20"/>
          <w:szCs w:val="20"/>
          <w:color w:val="auto"/>
        </w:rPr>
      </w:pPr>
    </w:p>
    <w:p>
      <w:pPr>
        <w:ind w:right="22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Other, net can also include gains on sales of strategic investments and businesses, as well as revenues from service agreements related to the sale of businesses.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3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data center co-location,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w:t>
      </w:r>
    </w:p>
    <w:p>
      <w:pPr>
        <w:spacing w:after="0" w:line="188"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and leased equipment,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183"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jc w:val="both"/>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3"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165" w:lineRule="exact"/>
        <w:rPr>
          <w:sz w:val="20"/>
          <w:szCs w:val="20"/>
          <w:color w:val="auto"/>
        </w:rPr>
      </w:pPr>
    </w:p>
    <w:p>
      <w:pPr>
        <w:ind w:right="2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spacing w:after="0" w:line="160" w:lineRule="exact"/>
        <w:rPr>
          <w:sz w:val="20"/>
          <w:szCs w:val="20"/>
          <w:color w:val="auto"/>
        </w:rPr>
      </w:pPr>
    </w:p>
    <w:p>
      <w:pPr>
        <w:jc w:val="both"/>
        <w:ind w:right="120" w:firstLine="629"/>
        <w:spacing w:after="0" w:line="249"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1" w:lineRule="exact"/>
        <w:rPr>
          <w:sz w:val="20"/>
          <w:szCs w:val="20"/>
          <w:color w:val="auto"/>
        </w:rPr>
      </w:pPr>
    </w:p>
    <w:p>
      <w:pPr>
        <w:jc w:val="both"/>
        <w:ind w:right="240"/>
        <w:spacing w:after="0" w:line="248"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21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II Item 8 “Financial Statements and Supplementary Data” of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64"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Consolidated Financial Statements presented in accordance with generally accepted accounting principles in the United States (“U.S. GAAP”), we use the following non-U.S. GAAP (“Non-GAAP”) financial measures of financial performance:</w:t>
      </w:r>
    </w:p>
    <w:p>
      <w:pPr>
        <w:spacing w:after="0" w:line="173" w:lineRule="exact"/>
        <w:rPr>
          <w:sz w:val="20"/>
          <w:szCs w:val="20"/>
          <w:color w:val="auto"/>
        </w:rPr>
      </w:pPr>
    </w:p>
    <w:p>
      <w:pPr>
        <w:ind w:left="1020" w:right="20" w:hanging="229"/>
        <w:spacing w:after="0" w:line="262" w:lineRule="auto"/>
        <w:tabs>
          <w:tab w:leader="none" w:pos="10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74" w:lineRule="exact"/>
        <w:rPr>
          <w:rFonts w:ascii="Times New Roman" w:cs="Times New Roman" w:eastAsia="Times New Roman" w:hAnsi="Times New Roman"/>
          <w:sz w:val="17"/>
          <w:szCs w:val="17"/>
          <w:color w:val="auto"/>
        </w:rPr>
      </w:pPr>
    </w:p>
    <w:p>
      <w:pPr>
        <w:ind w:left="1020" w:right="100" w:hanging="229"/>
        <w:spacing w:after="0" w:line="265" w:lineRule="auto"/>
        <w:tabs>
          <w:tab w:leader="none" w:pos="10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COVID-19 one-time costs and donations and Other, net, which includes gains and losses from strategic investments and the sales of businesses.</w:t>
      </w:r>
    </w:p>
    <w:p>
      <w:pPr>
        <w:spacing w:after="0" w:line="67" w:lineRule="exact"/>
        <w:rPr>
          <w:rFonts w:ascii="Times New Roman" w:cs="Times New Roman" w:eastAsia="Times New Roman" w:hAnsi="Times New Roman"/>
          <w:sz w:val="17"/>
          <w:szCs w:val="17"/>
          <w:color w:val="auto"/>
        </w:rPr>
      </w:pPr>
    </w:p>
    <w:p>
      <w:pPr>
        <w:ind w:left="1020" w:right="220" w:hanging="229"/>
        <w:spacing w:after="0" w:line="270" w:lineRule="auto"/>
        <w:tabs>
          <w:tab w:leader="none" w:pos="10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8" w:name="page59"/>
    <w:bookmarkEnd w:id="58"/>
    <w:p>
      <w:pPr>
        <w:ind w:left="1020" w:right="360" w:hanging="229"/>
        <w:spacing w:after="0" w:line="296" w:lineRule="auto"/>
        <w:tabs>
          <w:tab w:leader="none" w:pos="10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41" w:lineRule="exact"/>
        <w:rPr>
          <w:rFonts w:ascii="Times New Roman" w:cs="Times New Roman" w:eastAsia="Times New Roman" w:hAnsi="Times New Roman"/>
          <w:sz w:val="17"/>
          <w:szCs w:val="17"/>
          <w:color w:val="auto"/>
        </w:rPr>
      </w:pPr>
    </w:p>
    <w:p>
      <w:pPr>
        <w:ind w:left="1020" w:right="40" w:hanging="229"/>
        <w:spacing w:after="0" w:line="296" w:lineRule="auto"/>
        <w:tabs>
          <w:tab w:leader="none" w:pos="10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Consolidated Statements of Comprehensive Income to arrive at Adjusted Net Trading Income, EBITDA, Adjusted EBITDA, and Operating Margins for the years ended December 31, 2022, 2021, and 2020.</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1,628,898</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2,105,194</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2,493,248</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159,120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75,384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62,119</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529,845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614,489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600,510</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(745,434)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(758,843)</w:t>
            </w: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(231,060)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(139,704)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(125,649)</w:t>
            </w: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1,467,635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1,909,929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2,271,385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468,332</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92,035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79,969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87,735</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28,879</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66,377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67,816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66,741</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64,837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69,668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74,254</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88,466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169,670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261,924</w:t>
            </w:r>
          </w:p>
        </w:tc>
        <w:tc>
          <w:tcPr>
            <w:tcW w:w="0" w:type="dxa"/>
            <w:vAlign w:val="bottom"/>
          </w:tcPr>
          <w:p>
            <w:pPr>
              <w:spacing w:after="0"/>
              <w:rPr>
                <w:sz w:val="1"/>
                <w:szCs w:val="1"/>
                <w:color w:val="auto"/>
              </w:rPr>
            </w:pPr>
          </w:p>
        </w:tc>
      </w:tr>
      <w:tr>
        <w:trPr>
          <w:trHeight w:val="18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809,957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1,220,947</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1,640,446</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10,286</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28,138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Gain on sale of MATCHNow</w:t>
            </w:r>
          </w:p>
        </w:tc>
        <w:tc>
          <w:tcPr>
            <w:tcW w:w="3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(58,652)</w:t>
            </w:r>
          </w:p>
        </w:tc>
        <w:tc>
          <w:tcPr>
            <w:tcW w:w="0" w:type="dxa"/>
            <w:vAlign w:val="bottom"/>
          </w:tcPr>
          <w:p>
            <w:pPr>
              <w:spacing w:after="0"/>
              <w:rPr>
                <w:sz w:val="1"/>
                <w:szCs w:val="1"/>
                <w:color w:val="auto"/>
              </w:rPr>
            </w:pPr>
          </w:p>
        </w:tc>
      </w:tr>
      <w:tr>
        <w:trPr>
          <w:trHeight w:val="204"/>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(10,558)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(16,418)</w:t>
            </w: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67,219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55,751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59,838</w:t>
            </w: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859,123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1,301,233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1,648,049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3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9"/>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Margin (1)</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31.9 %</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43.3 %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49.3 %</w:t>
            </w:r>
          </w:p>
        </w:tc>
      </w:tr>
      <w:tr>
        <w:trPr>
          <w:trHeight w:val="20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EBITDA Margin (2)</w:t>
            </w:r>
          </w:p>
        </w:tc>
        <w:tc>
          <w:tcPr>
            <w:tcW w:w="33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55.2 %</w:t>
            </w:r>
          </w:p>
        </w:tc>
        <w:tc>
          <w:tcPr>
            <w:tcW w:w="14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63.9 %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r>
      <w:tr>
        <w:trPr>
          <w:trHeight w:val="182"/>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58.5 %</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68.1 %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72.6 %</w:t>
            </w:r>
          </w:p>
        </w:tc>
      </w:tr>
    </w:tbl>
    <w:p>
      <w:pPr>
        <w:spacing w:after="0" w:line="92"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9" w:name="page60"/>
    <w:bookmarkEnd w:id="59"/>
    <w:p>
      <w:pPr>
        <w:ind w:left="400" w:hanging="395"/>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years ended December 31, 2022, 2021, and 2020:</w:t>
      </w:r>
    </w:p>
    <w:p>
      <w:pPr>
        <w:spacing w:after="0" w:line="213"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827,234</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169,670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0" w:type="dxa"/>
            <w:vAlign w:val="bottom"/>
          </w:tcPr>
          <w:p>
            <w:pPr>
              <w:spacing w:after="0"/>
              <w:rPr>
                <w:sz w:val="1"/>
                <w:szCs w:val="1"/>
                <w:color w:val="auto"/>
              </w:rPr>
            </w:pPr>
          </w:p>
        </w:tc>
      </w:tr>
      <w:tr>
        <w:trPr>
          <w:trHeight w:val="18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996,904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74,254</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MATCHNow</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(58,652)</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(16,418)</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59,838</w:t>
            </w:r>
          </w:p>
        </w:tc>
        <w:tc>
          <w:tcPr>
            <w:tcW w:w="0" w:type="dxa"/>
            <w:vAlign w:val="bottom"/>
          </w:tcPr>
          <w:p>
            <w:pPr>
              <w:spacing w:after="0"/>
              <w:rPr>
                <w:sz w:val="1"/>
                <w:szCs w:val="1"/>
                <w:color w:val="auto"/>
              </w:rPr>
            </w:pPr>
          </w:p>
        </w:tc>
      </w:tr>
      <w:tr>
        <w:trPr>
          <w:trHeight w:val="18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1,153,448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1,493,573</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276,827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358,458</w:t>
            </w:r>
          </w:p>
        </w:tc>
        <w:tc>
          <w:tcPr>
            <w:tcW w:w="0" w:type="dxa"/>
            <w:vAlign w:val="bottom"/>
          </w:tcPr>
          <w:p>
            <w:pPr>
              <w:spacing w:after="0"/>
              <w:rPr>
                <w:sz w:val="1"/>
                <w:szCs w:val="1"/>
                <w:color w:val="auto"/>
              </w:rPr>
            </w:pPr>
          </w:p>
        </w:tc>
      </w:tr>
      <w:tr>
        <w:trPr>
          <w:trHeight w:val="183"/>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532,540</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876,621</w:t>
            </w:r>
          </w:p>
        </w:tc>
        <w:tc>
          <w:tcPr>
            <w:tcW w:w="12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1,135,115</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177,688,188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191,958,870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196,929,673</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Normalized Adjusted EPS</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846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268" w:lineRule="exact"/>
        <w:rPr>
          <w:sz w:val="20"/>
          <w:szCs w:val="20"/>
          <w:color w:val="auto"/>
        </w:rPr>
      </w:pPr>
    </w:p>
    <w:p>
      <w:pPr>
        <w:ind w:left="400" w:hanging="395"/>
        <w:spacing w:after="0"/>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17" w:lineRule="exact"/>
        <w:rPr>
          <w:rFonts w:ascii="Times New Roman" w:cs="Times New Roman" w:eastAsia="Times New Roman" w:hAnsi="Times New Roman"/>
          <w:sz w:val="16"/>
          <w:szCs w:val="16"/>
          <w:color w:val="auto"/>
        </w:rPr>
      </w:pPr>
    </w:p>
    <w:p>
      <w:pPr>
        <w:ind w:left="400" w:hanging="395"/>
        <w:spacing w:after="0" w:line="247" w:lineRule="auto"/>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years ended December 31, 2022, 2021 and 2020 as well as warrants issued in connection with the Founder Member Loan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years ended December 31, 2022, 2021,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2020:</w:t>
      </w:r>
    </w:p>
    <w:p>
      <w:pPr>
        <w:spacing w:after="0" w:line="383"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1,607,819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21,079</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1,628,898</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487,665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529,845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159,120</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(524,762)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(94,406)</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(619,168)</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(231,060)</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1,058,474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409,161</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1,467,635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2,079,653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2,105,194</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573,534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614,489</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75,384</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(634,783)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(110,651)</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(745,434)</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(139,704)</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1,427,552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482,377</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1,909,929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2,455,182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38,066</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2,493,248</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548,057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600,510</w:t>
            </w: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62,119</w:t>
            </w:r>
          </w:p>
        </w:tc>
        <w:tc>
          <w:tcPr>
            <w:tcW w:w="0" w:type="dxa"/>
            <w:vAlign w:val="bottom"/>
          </w:tcPr>
          <w:p>
            <w:pPr>
              <w:spacing w:after="0"/>
              <w:rPr>
                <w:sz w:val="1"/>
                <w:szCs w:val="1"/>
                <w:color w:val="auto"/>
              </w:rPr>
            </w:pPr>
          </w:p>
        </w:tc>
      </w:tr>
      <w:tr>
        <w:trPr>
          <w:trHeight w:val="135"/>
        </w:trPr>
        <w:tc>
          <w:tcPr>
            <w:tcW w:w="3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(662,994)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(95,849)</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(758,843)</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(125,649)</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1,782,411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488,974</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2,271,385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years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2021, and 2020:</w:t>
      </w:r>
    </w:p>
    <w:p>
      <w:pPr>
        <w:sectPr>
          <w:pgSz w:w="11900" w:h="16838" w:orient="portrait"/>
          <w:cols w:equalWidth="0" w:num="1">
            <w:col w:w="11240"/>
          </w:cols>
          <w:pgMar w:left="320" w:top="868" w:right="339" w:bottom="1440" w:gutter="0" w:footer="0" w:header="0"/>
        </w:sectPr>
      </w:pP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(in thousands, except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29845</wp:posOffset>
            </wp:positionV>
            <wp:extent cx="13804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Adjusted Net Trading Income by</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Segment:</w:t>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Market Making:</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Market Making</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Execution Services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7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1,058,474</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1,427,552</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1,782,411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7,045</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0" w:type="dxa"/>
            <w:vAlign w:val="bottom"/>
          </w:tcPr>
          <w:p>
            <w:pPr>
              <w:spacing w:after="0"/>
              <w:rPr>
                <w:sz w:val="1"/>
                <w:szCs w:val="1"/>
                <w:color w:val="auto"/>
              </w:rPr>
            </w:pPr>
          </w:p>
        </w:tc>
      </w:tr>
      <w:tr>
        <w:trPr>
          <w:trHeight w:val="406"/>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233"/>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1,467,635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5,847</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1,909,929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7,579</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2,271,385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8,978</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-806450</wp:posOffset>
            </wp:positionV>
            <wp:extent cx="6861810" cy="124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61810" cy="12446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-556895</wp:posOffset>
            </wp:positionV>
            <wp:extent cx="6861810" cy="133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61810" cy="13335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-299085</wp:posOffset>
            </wp:positionV>
            <wp:extent cx="6861810" cy="133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618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300"/>
            <w:col w:w="8580"/>
          </w:cols>
          <w:pgMar w:left="320" w:top="868"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Our total revenues decreased $446.7 million, or 15.9%, to $2,364.8 million for the year ended December 31, 2022, compared to $2,811.5 million for the year ended December 31, 2021. This decrease was primarily attributable to a decrease of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61" w:name="page62"/>
    <w:bookmarkEnd w:id="61"/>
    <w:p>
      <w:pPr>
        <w:spacing w:after="0" w:line="270" w:lineRule="auto"/>
        <w:rPr>
          <w:sz w:val="20"/>
          <w:szCs w:val="20"/>
          <w:color w:val="auto"/>
        </w:rPr>
      </w:pPr>
      <w:r>
        <w:rPr>
          <w:rFonts w:ascii="Times New Roman" w:cs="Times New Roman" w:eastAsia="Times New Roman" w:hAnsi="Times New Roman"/>
          <w:sz w:val="17"/>
          <w:szCs w:val="17"/>
          <w:color w:val="auto"/>
        </w:rPr>
        <w:t>$476.3 million in Trading income, net, during the year ended December 31, 2022 compared to the prior period. This decrease was offset, in part, by an increase of $30.5 million in Other, net, which was driven by gains recorded on sales of various strategic investments in 2022, as well as an increase of $83.7 million in Interest and dividends income which is largely driven by the level of trading assets held over periods when dividends are paid, and the levels of stock borrowing and trading asset financing during the year ended December 31, 2022 compared to the same period in 2021.</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the total revenues by segment for the years ended December 31, 2022 and 2021.</w:t>
      </w:r>
    </w:p>
    <w:p>
      <w:pPr>
        <w:spacing w:after="0" w:line="28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6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1,607,819</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2,079,653</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75,311</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110.7%</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40,955</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25,541</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7"/>
              </w:rPr>
              <w:t>524.7%</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573,534</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7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514,241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600,215</w:t>
            </w:r>
          </w:p>
        </w:tc>
        <w:tc>
          <w:tcPr>
            <w:tcW w:w="17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7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7"/>
              </w:rPr>
              <w:t>358.8%</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7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358.8%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1,628,898</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2,105,194</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75,384</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111.1%</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614,489</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16,418</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186.0%</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2,811,485</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80" w:firstLine="62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decreased $476.3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22.6%, to $1,628.9 million for the year ended December 31, 2022, compared to $2,105.2 million for the year ended December 31, 2021. The decrease was largely a result of the decreased opportunity in our customer market making trading as a result of lower spread opportunity and decreased quality of the order flow with which we interact.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206" w:lineRule="exact"/>
        <w:rPr>
          <w:sz w:val="20"/>
          <w:szCs w:val="20"/>
          <w:color w:val="auto"/>
        </w:rPr>
      </w:pPr>
    </w:p>
    <w:p>
      <w:pPr>
        <w:ind w:right="2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$83.7 million, or 111.1%, to $159.1 million for the year ended December 31, 2022, compared to $75.4 million for the year ended December 31, 2021. This increase was primarily attributable to higher dividends earned on market making trading assets held over periods when dividends are paid, along with an increase in interest income earned on cash collateral posted as part of securities borrowed transactions, both of which benefited from higher interest rates for the period compared to the prior period. As indicated above, rather than analyzing interest and dividends income in isolation, we evaluate it in the broader context of our Adjusted Net Trading Income.</w:t>
      </w:r>
    </w:p>
    <w:p>
      <w:pPr>
        <w:spacing w:after="0" w:line="180"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$84.6 million, or 13.8%, to $529.8 million for the year ended December 31, 2022, compared to $614.5 million for the year ended December 31, 2021. This decrease was driven by the reduction of institutional investors commissions available, and declining institutional engagement,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62" w:name="page63"/>
    <w:bookmarkEnd w:id="62"/>
    <w:p>
      <w:pPr>
        <w:ind w:right="440"/>
        <w:spacing w:after="0" w:line="280" w:lineRule="auto"/>
        <w:rPr>
          <w:sz w:val="20"/>
          <w:szCs w:val="20"/>
          <w:color w:val="auto"/>
        </w:rPr>
      </w:pPr>
      <w:r>
        <w:rPr>
          <w:rFonts w:ascii="Times New Roman" w:cs="Times New Roman" w:eastAsia="Times New Roman" w:hAnsi="Times New Roman"/>
          <w:sz w:val="17"/>
          <w:szCs w:val="17"/>
          <w:color w:val="auto"/>
        </w:rPr>
        <w:t>both of which result in lower commission income. As indicated above, rather than analyzing commission income in isolation, we evaluate it in the broader context of our Adjusted Net Trading Income.</w:t>
      </w:r>
    </w:p>
    <w:p>
      <w:pPr>
        <w:spacing w:after="0" w:line="182"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$30.5 million, or 186.0%, to $46.9 million for the year ended December 31, 2022, compared to $16.4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2021. The increase was primarily due to gains recognized during the 2022 period from sales of investments in our strategic investments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decreased $442.3 million, or 23.2%, to $1,467.6 million for the year ended December 31, 2022, compared to $1,909.9 million for the year ended December 31, 2021. This decrease was primarily attributable to lower Trading Income, net as noted above, partially offset by lower Brokerage, exchange, clearance fees and payments for order flow, net as described below, incurred by Market Making. Adjusted Net Trading Income per day decreased $1.8 million, or 23.7%, to $5.8 million for the year ended December 31, 2022, compared to $7.6 million for the year ended December 31, 2021. The number of trading days was 251 days for both the year ended December 31, 2022 and December 31, 2021.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Our operating expenses decreased $6.6 million, or 0.4%, to $1,808.0 million for the year ended December 31, 2022, compared to $1,814.6 million for the year ended December 31, 2021. The decrease was primarily driven by lower Brokerage, exchange, clearance fees and payments for order flow, net, and lower Termination of office leases, partially offset by an increase in Interest and dividends expense, Employee compensation and payroll taxes, and Financing interest expense on long term borrowings.</w:t>
      </w:r>
    </w:p>
    <w:p>
      <w:pPr>
        <w:spacing w:after="0" w:line="177" w:lineRule="exact"/>
        <w:rPr>
          <w:sz w:val="20"/>
          <w:szCs w:val="20"/>
          <w:color w:val="auto"/>
        </w:rPr>
      </w:pPr>
    </w:p>
    <w:p>
      <w:pPr>
        <w:ind w:right="38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$126.3 million, or 16.9%, to $619.2 million for the year ended December 31, 2022, compared to $745.4 million for the year ended December 31, 2021.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$7.5 million, or 3.5%, to $219.5 million for the 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December 31, 2022, compared to $212.0 million for the year ended December 31, 2021. This increase was primarily attributable to increased connectivity spending on subscriber connections and trading membership fees.</w:t>
      </w:r>
    </w:p>
    <w:p>
      <w:pPr>
        <w:spacing w:after="0" w:line="183"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$14.7 million, or 3.9%, to $390.9 million for the year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December 31, 2022, compared to $376.3 million for the year ended December 31, 2021. The increase in compensation levels was primarily attributable to an increase in salaries, and share-based compensation related to prior year incentive awards.</w:t>
      </w:r>
    </w:p>
    <w:p>
      <w:pPr>
        <w:spacing w:after="0" w:line="187"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$35.5 million and $35.8 million for the years ended December 31, 2022 and 2021, respectively.</w:t>
      </w:r>
    </w:p>
    <w:p>
      <w:pPr>
        <w:spacing w:after="0" w:line="156" w:lineRule="exact"/>
        <w:rPr>
          <w:sz w:val="20"/>
          <w:szCs w:val="20"/>
          <w:color w:val="auto"/>
        </w:rPr>
      </w:pPr>
    </w:p>
    <w:p>
      <w:pPr>
        <w:ind w:right="4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$91.4 million, or 65.4%, to $231.1 million for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$139.7 million for the year ended December 31, 2021. This increase was primarily attributable to higher dividend expense with respect to securities sold, not yet purchased and higher interest expense incurred on cash collateral received driven by higher interest rates, as well as an increase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spacing w:after="0" w:line="195"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$2.1 million, or 2.4%, to $86.1 million for the year ended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2022, compared to $88.1 million for the year ended December 31, 2021. The decrease was primarily driven by the beneficial effect of a strong U.S. dollar on foreign exchange translation gains during the year ended December 31, 2022, offset in part by higher professional fees and regulatory costs, and increases in travel and entertainment expenses as COVID-19 restrictions eased.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3" w:name="page64"/>
    <w:bookmarkEnd w:id="63"/>
    <w:p>
      <w:pPr>
        <w:ind w:right="3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decreased $1.4 million, or 2.1%, to $66.4 million for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$67.8 million for the year ended December 31, 2021. This decrease was primarily attributable to a decrease in capital expenditures on telecommunication, networking, and other assets.</w:t>
      </w:r>
    </w:p>
    <w:p>
      <w:pPr>
        <w:spacing w:after="0" w:line="183" w:lineRule="exact"/>
        <w:rPr>
          <w:sz w:val="20"/>
          <w:szCs w:val="20"/>
          <w:color w:val="auto"/>
        </w:rPr>
      </w:pPr>
    </w:p>
    <w:p>
      <w:pPr>
        <w:ind w:right="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$4.8 million, or 6.9%, to $64.8 million for the year ended December 31, 2022, compared to $69.7 million for the year ended December 31, 2021. This decrease was primarily attributable to certain intangible assets being fully amortized in 2021 and early 2022.</w:t>
      </w:r>
    </w:p>
    <w:p>
      <w:pPr>
        <w:spacing w:after="0" w:line="183" w:lineRule="exact"/>
        <w:rPr>
          <w:sz w:val="20"/>
          <w:szCs w:val="20"/>
          <w:color w:val="auto"/>
        </w:rPr>
      </w:pPr>
    </w:p>
    <w:p>
      <w:pPr>
        <w:jc w:val="both"/>
        <w:ind w:right="20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$7.0 million for the year ended December 31, 2022, compared to $28.1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2021. These expenses are related to the impairment of lease right-of-use assets, leasehold improvements and fixed assets for certain abandoned or vacated office space.</w:t>
      </w:r>
    </w:p>
    <w:p>
      <w:pPr>
        <w:spacing w:after="0" w:line="18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increased $23.3 million, or 353.9%, to $29.9 million for the year ended December 31, 2022, compared to $6.6 million for the year ended December 31, 2021. The increase was primarily driven by the acceleration of deferred debt issuance costs as a result of refinancing our long-term debt transaction in January 2022. See Note 9 "Borrowings" of Part II Item 8 “Financial Statements and Supplementary Data” of this Annual Report on Form 10-K for additional details.</w:t>
      </w:r>
    </w:p>
    <w:p>
      <w:pPr>
        <w:spacing w:after="0" w:line="200" w:lineRule="exact"/>
        <w:rPr>
          <w:sz w:val="20"/>
          <w:szCs w:val="20"/>
          <w:color w:val="auto"/>
        </w:rPr>
      </w:pPr>
    </w:p>
    <w:p>
      <w:pPr>
        <w:spacing w:after="0" w:line="204"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$1.1 million for the year ended December 31, 2022, compared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$0.8 million for the year ended December 31, 2021. These expenses were primarily incurred in relation to our strategic investment portfolio.</w:t>
      </w:r>
    </w:p>
    <w:p>
      <w:pPr>
        <w:spacing w:after="0" w:line="165" w:lineRule="exact"/>
        <w:rPr>
          <w:sz w:val="20"/>
          <w:szCs w:val="20"/>
          <w:color w:val="auto"/>
        </w:rPr>
      </w:pPr>
    </w:p>
    <w:p>
      <w:pPr>
        <w:ind w:right="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increased $12.1 million, or 15.1%, to $92.0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year ended December 31, 2022, compared to $80.0 million for the year ended December 31, 2021. This increase was attributable to the increase in outstanding principal as a result of refinancing our long-term debt in January 2022, as described in further detail below, and the effect of higher interest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$88.5 million and 15.9% for the year ended December 31, 2022, compared to a provision for income taxes and effective tax rate of $169.7 million and 17.0% for the year ended December 31,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As of December 31, 2022, we had $981.6 million in Cash and cash equivalents. This balance is maintained primarily to support operating activities, for capital expenditures and for short-term access to liquidity, and for other general corporate purposes. As of December 31, 2022, we had borrowings under our prime brokerage credit facilities of approximately $212.9 million, no borrowings under our broker dealer facilities, short-term bank overdrafts of $3.9 million, and long-term debt outstanding in an aggregate principal amount of approximately $1,826.7 million.</w:t>
      </w:r>
    </w:p>
    <w:p>
      <w:pPr>
        <w:spacing w:after="0" w:line="194"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96"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41" w:lineRule="exact"/>
        <w:rPr>
          <w:sz w:val="20"/>
          <w:szCs w:val="20"/>
          <w:color w:val="auto"/>
        </w:rPr>
      </w:pPr>
    </w:p>
    <w:p>
      <w:pPr>
        <w:ind w:right="20" w:firstLine="629"/>
        <w:spacing w:after="0" w:line="243"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5 "Tax Receivable Agreements" of Part II Item 8 “Financial Statements and Supplementary Data” of this Annual Report on Form 10-K are expected to range from approximately $36.4 thousand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and $21.3 million in March 2022. Future payments under the tax receivable agreements in respect of subsequent exchanges would be in addition to these amounts. We currently expect to fund these payments from realized cash tax savings from the favorable tax attributes.</w:t>
      </w:r>
    </w:p>
    <w:p>
      <w:pPr>
        <w:spacing w:after="0" w:line="221"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jurisdictions. VAL is a registered U.S. broker-dealer, and its primary regulators include the SEC and the Financial Industry Regulatory Authority ("FINRA").</w:t>
      </w:r>
    </w:p>
    <w:p>
      <w:pPr>
        <w:spacing w:after="0" w:line="232"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65" w:name="page66"/>
    <w:bookmarkEnd w:id="65"/>
    <w:p>
      <w:pPr>
        <w:ind w:right="580"/>
        <w:spacing w:after="0" w:line="296" w:lineRule="auto"/>
        <w:rPr>
          <w:sz w:val="20"/>
          <w:szCs w:val="20"/>
          <w:color w:val="auto"/>
        </w:rPr>
      </w:pPr>
      <w:r>
        <w:rPr>
          <w:rFonts w:ascii="Times New Roman" w:cs="Times New Roman" w:eastAsia="Times New Roman" w:hAnsi="Times New Roman"/>
          <w:sz w:val="17"/>
          <w:szCs w:val="17"/>
          <w:color w:val="auto"/>
        </w:rPr>
        <w:t>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17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Similarly, Virtu ITG Singapore Pte. Limited and Virtu Financial Singapore Pte. Ltd. have similar regulatory requirements and are regulated by the Monetary Authority of Singapore.</w:t>
      </w:r>
    </w:p>
    <w:p>
      <w:pPr>
        <w:spacing w:after="0" w:line="203"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See Note 21 "Regulatory Requirement" of Part II Item 8 “Financial Statements and Supplementary Data” of this Annual Report on Form 10-K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right="180"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9 "Borrowings" of Part II Item 8 “Financial Statements and Supplementary Data” of this Annual Report on Form 10-K for details on our various credit facilities. As of December 31, 2022, there was no outstanding principal balance on our broker-dealer facilities and the outstanding aggregate short-term credit facilities with various prime brokers and other financial institutions from which the Company receives execution or clearing services was approximately $212.9 million, which was netted within Receivables from broker-dealers and clearing organizations on the Consolidated Statements of Financial Condition of Part II Item 8 “Financial Statements and Supplementary Data” of this Annual Report on Form 10-K.</w:t>
      </w:r>
    </w:p>
    <w:p>
      <w:pPr>
        <w:spacing w:after="0" w:line="198"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198" w:lineRule="exact"/>
        <w:rPr>
          <w:sz w:val="20"/>
          <w:szCs w:val="20"/>
          <w:color w:val="auto"/>
        </w:rPr>
      </w:pPr>
    </w:p>
    <w:p>
      <w:pPr>
        <w:ind w:right="180" w:firstLine="629"/>
        <w:spacing w:after="0" w:line="265"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and up to and including January 15, 2022 at a price of $22.98. The Warrant was exercised on December 17, 2021 for the full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1"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entered into the Credit Agreement. The Credit Agreement provides (i) a senior secured first lien term loan in an aggregate principal amount of</w:t>
      </w:r>
    </w:p>
    <w:p>
      <w:pPr>
        <w:spacing w:after="0" w:line="2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2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0" w:lineRule="exact"/>
        <w:rPr>
          <w:sz w:val="20"/>
          <w:szCs w:val="20"/>
          <w:color w:val="auto"/>
        </w:rPr>
      </w:pPr>
    </w:p>
    <w:p>
      <w:pPr>
        <w:spacing w:after="0" w:line="210"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December 31, 2022, $1,800.0 million was outstanding under the term loans. We were in compliance with all applicable covenants under the Credit Agreement as of December 31, 2022.</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jc w:val="both"/>
        <w:ind w:right="34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years ended December 31, 2022, 2021, and 2020.</w:t>
      </w:r>
    </w:p>
    <w:p>
      <w:pPr>
        <w:spacing w:after="0" w:line="283"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706,803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1,171,626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1,060,884</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(839,918)</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15,318</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233,725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9" w:lineRule="exact"/>
        <w:rPr>
          <w:sz w:val="20"/>
          <w:szCs w:val="20"/>
          <w:color w:val="auto"/>
        </w:rPr>
      </w:pPr>
    </w:p>
    <w:p>
      <w:pPr>
        <w:jc w:val="both"/>
        <w:ind w:right="360" w:firstLine="629"/>
        <w:spacing w:after="0" w:line="248" w:lineRule="auto"/>
        <w:rPr>
          <w:sz w:val="20"/>
          <w:szCs w:val="20"/>
          <w:color w:val="auto"/>
        </w:rPr>
      </w:pPr>
      <w:r>
        <w:rPr>
          <w:rFonts w:ascii="Times New Roman" w:cs="Times New Roman" w:eastAsia="Times New Roman" w:hAnsi="Times New Roman"/>
          <w:sz w:val="17"/>
          <w:szCs w:val="17"/>
          <w:color w:val="auto"/>
        </w:rPr>
        <w:t>Net cash provided by operating activities was $706.8 million for the year ended December 31, 2022, compared to net cash provided by operating activities of $1,171.6 million for the year ended December 31, 2021. The decrease in net cash provided by operating activities was primarily attributable to lower net income, as well as increases in operating assets, net of operating liabilities, related to our trading activities for the year ended December 31, 2022 compared to the prior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Net cash used in investing activities was $29.5 million for the year ended December 31, 2022, compared to net cash used in investing activities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$87.3 million for the year ended December 31, 2021. The net decrease in cash used in investing activities for the year ended December 31, 2022 was primarily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attributable to sales of strategic investments during the year ended December 31, 2022 as compared to the prior period, offset by cash used for the acquisition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and capitalized software for both periods.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Net cash used in financing activities was $735.7 million for the year ended December 31, 2022, compared to $957.9 million for the year ended December 31, 2021. The cash used in financing activities for the year ended December 31, 2022 was primarily attributable to $375.3 million in dividends to stockholders and distributions made to noncontrolling interests and $480.5 million in purchases of treasury stock, partially offset by the net proceeds of $200.2 million from the issuance of the new term loan and repayment of the existing term loan in January 2022. The cash used in financing activities of $957.9 million during the same period of 2021 primarily reflects $548.0 million net dividends to stockholders and distributions to noncontrolling interests, and $427.5 million purchase of treasury stock, partially offset by an increase of $2.0 million in short-term borrowings.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w:t>
      </w:r>
    </w:p>
    <w:p>
      <w:pPr>
        <w:spacing w:after="0" w:line="173"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w:t>
      </w:r>
    </w:p>
    <w:p>
      <w:pPr>
        <w:spacing w:after="0" w:line="173" w:lineRule="exact"/>
        <w:rPr>
          <w:sz w:val="20"/>
          <w:szCs w:val="20"/>
          <w:color w:val="auto"/>
        </w:rPr>
      </w:pPr>
    </w:p>
    <w:p>
      <w:pPr>
        <w:ind w:right="320" w:firstLine="629"/>
        <w:spacing w:after="0" w:line="276" w:lineRule="auto"/>
        <w:rPr>
          <w:sz w:val="20"/>
          <w:szCs w:val="20"/>
          <w:color w:val="auto"/>
        </w:rPr>
      </w:pPr>
      <w:r>
        <w:rPr>
          <w:rFonts w:ascii="Times New Roman" w:cs="Times New Roman" w:eastAsia="Times New Roman" w:hAnsi="Times New Roman"/>
          <w:sz w:val="17"/>
          <w:szCs w:val="17"/>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68" w:name="page69"/>
    <w:bookmarkEnd w:id="68"/>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On November 3, 2021, the Company's Board of Directors authorized the expansion of the Company's current share repurchase program, increasing the total authorized amount by $750 million to $1,220 million and extended the duration through November 3, 2023.</w:t>
      </w:r>
    </w:p>
    <w:p>
      <w:pPr>
        <w:spacing w:after="0" w:line="173" w:lineRule="exact"/>
        <w:rPr>
          <w:sz w:val="20"/>
          <w:szCs w:val="20"/>
          <w:color w:val="auto"/>
        </w:rPr>
      </w:pPr>
    </w:p>
    <w:p>
      <w:pPr>
        <w:ind w:right="200"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2022, the Company repurchased approximately 32.3 million shares of Class A Common Stock and Virtu Financial Units for approximately $899.6 million. As of December 31, 2022, the Company has approximately of $320.4 million remaining capacity for future purchases of shares of Class A Common Stock and Virtu Financial Units under the program.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expected material cash requirements include the following contractual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w:t>
      </w:r>
    </w:p>
    <w:p>
      <w:pPr>
        <w:spacing w:after="0" w:line="228"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2022, we had $1,800.0 million of outstanding principal on our First Lien Term Loan Facility. Each year, we are required to repay $18.0 million of this balance, with the remaining principal due in 2029. Additionally, $26.7 million of our long-term debt related to the SBI bonds is due in 2026. See Note 9 "Borrowings" in Part II Item 8 “Financial Statements and Supplementary Data” of this Annual Report on Form 10-K for more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8"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We have lease arrangements, primarily for office space and technology and equipment. As of December 31, 2022, we had $71.2 million of operating lease payments and $7.1 million of finance lease payments due within twelve months, and $213.2 million of operating lease payments and $9.4 million of finance leases payments due after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228" w:lineRule="exact"/>
        <w:rPr>
          <w:sz w:val="20"/>
          <w:szCs w:val="20"/>
          <w:color w:val="auto"/>
        </w:rPr>
      </w:pPr>
    </w:p>
    <w:p>
      <w:pPr>
        <w:ind w:firstLine="629"/>
        <w:spacing w:after="0" w:line="274" w:lineRule="auto"/>
        <w:rPr>
          <w:sz w:val="20"/>
          <w:szCs w:val="20"/>
          <w:color w:val="auto"/>
        </w:rPr>
      </w:pPr>
      <w:r>
        <w:rPr>
          <w:rFonts w:ascii="Times New Roman" w:cs="Times New Roman" w:eastAsia="Times New Roman" w:hAnsi="Times New Roman"/>
          <w:sz w:val="17"/>
          <w:szCs w:val="17"/>
          <w:color w:val="auto"/>
        </w:rPr>
        <w:t>The ultimate amounts owed under the tax receivable agreement and timing of the amounts due are not presently known. As of December 31, 2022, a total of $238.8 million has been recorded for amounts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37"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10 "Financial Assets and Liabilities" of Part II Item 8 “Financial Statements and Supplementary Data” of this Annual Report on Form 10-K for further information about fair value measurements.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0" w:name="page71"/>
    <w:bookmarkEnd w:id="70"/>
    <w:p>
      <w:pPr>
        <w:ind w:firstLine="629"/>
        <w:spacing w:after="0" w:line="270"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4"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98"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80" w:hanging="626"/>
        <w:spacing w:after="0" w:line="268" w:lineRule="auto"/>
        <w:tabs>
          <w:tab w:leader="none" w:pos="12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60" w:hanging="626"/>
        <w:spacing w:after="0" w:line="274" w:lineRule="auto"/>
        <w:tabs>
          <w:tab w:leader="none" w:pos="125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4" w:lineRule="exact"/>
        <w:rPr>
          <w:sz w:val="20"/>
          <w:szCs w:val="20"/>
          <w:color w:val="auto"/>
        </w:rPr>
      </w:pPr>
    </w:p>
    <w:p>
      <w:pPr>
        <w:jc w:val="both"/>
        <w:ind w:right="40" w:firstLine="629"/>
        <w:spacing w:after="0" w:line="276"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59" w:lineRule="exact"/>
        <w:rPr>
          <w:sz w:val="20"/>
          <w:szCs w:val="20"/>
          <w:color w:val="auto"/>
        </w:rPr>
      </w:pPr>
    </w:p>
    <w:p>
      <w:pPr>
        <w:ind w:left="1260" w:hanging="312"/>
        <w:spacing w:after="0"/>
        <w:tabs>
          <w:tab w:leader="none" w:pos="1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right="800" w:firstLine="308"/>
        <w:spacing w:after="0" w:line="274" w:lineRule="auto"/>
        <w:tabs>
          <w:tab w:leader="none" w:pos="126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7"/>
          <w:szCs w:val="17"/>
          <w:color w:val="auto"/>
        </w:rPr>
        <w:t>terms and relative to peers), a change in the market for an entity’s products or services, or a regulatory or political development;</w:t>
      </w:r>
    </w:p>
    <w:p>
      <w:pPr>
        <w:spacing w:after="0" w:line="32" w:lineRule="exact"/>
        <w:rPr>
          <w:sz w:val="20"/>
          <w:szCs w:val="20"/>
          <w:color w:val="auto"/>
        </w:rPr>
      </w:pPr>
    </w:p>
    <w:p>
      <w:pPr>
        <w:ind w:left="1260" w:hanging="312"/>
        <w:spacing w:after="0"/>
        <w:tabs>
          <w:tab w:leader="none" w:pos="1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60" w:firstLine="308"/>
        <w:spacing w:after="0" w:line="257" w:lineRule="auto"/>
        <w:tabs>
          <w:tab w:leader="none" w:pos="12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00" w:firstLine="308"/>
        <w:spacing w:after="0" w:line="274" w:lineRule="auto"/>
        <w:tabs>
          <w:tab w:leader="none" w:pos="12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0" w:lineRule="exact"/>
        <w:rPr>
          <w:sz w:val="20"/>
          <w:szCs w:val="20"/>
          <w:color w:val="auto"/>
        </w:rPr>
      </w:pPr>
    </w:p>
    <w:p>
      <w:pPr>
        <w:ind w:right="160" w:firstLine="629"/>
        <w:spacing w:after="0" w:line="254"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207"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2022, we performed a qualitative assessment as described above for each reporting unit. No impairment of goodwill was identified.</w:t>
      </w:r>
    </w:p>
    <w:p>
      <w:pPr>
        <w:spacing w:after="0" w:line="177" w:lineRule="exact"/>
        <w:rPr>
          <w:sz w:val="20"/>
          <w:szCs w:val="20"/>
          <w:color w:val="auto"/>
        </w:rPr>
      </w:pPr>
    </w:p>
    <w:p>
      <w:pPr>
        <w:ind w:firstLine="629"/>
        <w:spacing w:after="0" w:line="245"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$16.5 million of amortization expense for the years ended December 31, 2022, 2021, and 2020 respectively. We test finite-lived intangible assets for impairment when impairment indicators are present, and if impaired, they are written down to fair value.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consolidated financial statements, see Note 2 "Summary of Significant Accounting Policies" of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98"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December 31, 2022 and December 31, 2021 was $4.6 billion and $4.3 billion, respectively, in long positions and $4.2 billion and $3.5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Approximately 19.1% and 19.6% of our total revenues for the years ended December 31, 2022 and 2021, respectively, were denominated in non-U.S. dollar currencies. We estimate that a hypothetical 10% adverse change in the value of the U.S. dollar relative to our foreign denominated earnings would have resulted in decreases in total revenues of $45.1 million and $55.1 million for the years ended December 31, 2022 and 2021,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238)</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77</w:t>
            </w: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3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Financial Condition</w:t>
            </w:r>
          </w:p>
        </w:tc>
        <w:tc>
          <w:tcPr>
            <w:tcW w:w="7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79</w:t>
            </w: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81</w:t>
            </w: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360" w:type="dxa"/>
            <w:vAlign w:val="bottom"/>
            <w:gridSpan w:val="2"/>
          </w:tcPr>
          <w:p>
            <w:pPr>
              <w:spacing w:after="0"/>
              <w:rPr>
                <w:sz w:val="24"/>
                <w:szCs w:val="24"/>
                <w:color w:val="auto"/>
              </w:rPr>
            </w:pPr>
          </w:p>
        </w:tc>
        <w:tc>
          <w:tcPr>
            <w:tcW w:w="1820" w:type="dxa"/>
            <w:vAlign w:val="bottom"/>
            <w:gridSpan w:val="2"/>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82</w:t>
            </w: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2180" w:type="dxa"/>
            <w:vAlign w:val="bottom"/>
            <w:gridSpan w:val="4"/>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84</w:t>
            </w:r>
          </w:p>
        </w:tc>
      </w:tr>
      <w:tr>
        <w:trPr>
          <w:trHeight w:val="20"/>
        </w:trPr>
        <w:tc>
          <w:tcPr>
            <w:tcW w:w="4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86</w:t>
            </w:r>
          </w:p>
        </w:tc>
      </w:tr>
      <w:tr>
        <w:trPr>
          <w:trHeight w:val="870"/>
        </w:trPr>
        <w:tc>
          <w:tcPr>
            <w:tcW w:w="40" w:type="dxa"/>
            <w:vAlign w:val="bottom"/>
          </w:tcPr>
          <w:p>
            <w:pPr>
              <w:spacing w:after="0"/>
              <w:rPr>
                <w:sz w:val="24"/>
                <w:szCs w:val="24"/>
                <w:color w:val="auto"/>
              </w:rPr>
            </w:pPr>
          </w:p>
        </w:tc>
        <w:tc>
          <w:tcPr>
            <w:tcW w:w="2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40" w:type="dxa"/>
            <w:vAlign w:val="bottom"/>
          </w:tcPr>
          <w:p>
            <w:pPr>
              <w:jc w:val="right"/>
              <w:ind w:right="4213"/>
              <w:spacing w:after="0"/>
              <w:rPr>
                <w:sz w:val="20"/>
                <w:szCs w:val="20"/>
                <w:color w:val="auto"/>
              </w:rPr>
            </w:pPr>
            <w:r>
              <w:rPr>
                <w:rFonts w:ascii="Times New Roman" w:cs="Times New Roman" w:eastAsia="Times New Roman" w:hAnsi="Times New Roman"/>
                <w:sz w:val="17"/>
                <w:szCs w:val="17"/>
                <w:color w:val="auto"/>
              </w:rPr>
              <w:t>76</w:t>
            </w:r>
          </w:p>
        </w:tc>
        <w:tc>
          <w:tcPr>
            <w:tcW w:w="10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6" w:name="page77"/>
    <w:bookmarkEnd w:id="76"/>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Virtu Financial,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Condition of Virtu Financial, Inc. and its subsidiaries (the “Company”) as of December 31, 2022 and 2021, and the related Consolidated Statements of Comprehensive Income, of Changes in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9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7" w:name="page78"/>
    <w:bookmarkEnd w:id="77"/>
    <w:p>
      <w:pPr>
        <w:ind w:right="2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5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Income, net (“Trading Income”)</w:t>
      </w:r>
    </w:p>
    <w:p>
      <w:pPr>
        <w:spacing w:after="0" w:line="2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$1.629 billion of the Company’s Trading Income for the year ended December 31, 2022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9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Trading Income is a critical audit matter are the significant audit effort in performing procedures and evaluating audit evidence related to the transactions which comprise the trading income.</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calculation of Trading Income, including controls over the completeness, accuracy, existence, and valuation of trading assets and trading liabilities. These procedures also included, among others, testing of the inputs used by management in their trading income calculations and independently recalculating trading income. The procedures performed over testing of the inputs include (i) confirming a sample of trading assets, trading liabilities and cash (collectively the “equity value”) within each trading portfolio at the balance sheet date with external third parties; (ii) developing independent prices for a sample of trading assets and liabilities at the balance sheet date and comparing management’s prices to the independently developed prices; (iii) testing a sample of purchases and sales throughout the year by agreeing the quantity and price to settlement documentation, and (iv) testing the equity value of a sample of trading portfolios throughout the year by comparing the amounts to third party clearing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Condition</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1,071,463</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1,349,322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119,453</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1,026,807</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3,238,995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963,071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1,017,960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146,476</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Property, equipment and capitalized software (net of accumulated depreciation of $460,763 and $472,155 as of December 31, 2022</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225,328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Intangibles (net of accumulated amortization of $318,013 and $253,161 as of December 31, 2022 and December 31, 2021,</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321,480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158,518</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($78,965 and $84,378, at fair value, as of December 31, 2022 and December 31, 2021,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291,307</w:t>
            </w:r>
          </w:p>
        </w:tc>
        <w:tc>
          <w:tcPr>
            <w:tcW w:w="0" w:type="dxa"/>
            <w:vAlign w:val="bottom"/>
          </w:tcPr>
          <w:p>
            <w:pPr>
              <w:spacing w:after="0"/>
              <w:rPr>
                <w:sz w:val="1"/>
                <w:szCs w:val="1"/>
                <w:color w:val="auto"/>
              </w:rPr>
            </w:pPr>
          </w:p>
        </w:tc>
      </w:tr>
      <w:tr>
        <w:trPr>
          <w:trHeight w:val="204"/>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10,583,241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1,142,048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571,526</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3,510,779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457,942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278,745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1,795,952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1,605,132</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8,931,814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8,456,353</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133,071,754 and</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60" w:type="dxa"/>
            <w:vAlign w:val="bottom"/>
            <w:gridSpan w:val="2"/>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131,497,645 shares, Outstanding — 98,549,464 and 113,170,782 shares at December 31, 2022 and December 31, 2021,</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Class B common stock (par value $0.00001), Authorized — 175,000,000 and 175,000,000 shares, Issued and Outstanding — 0 and</w:t>
            </w:r>
          </w:p>
        </w:tc>
        <w:tc>
          <w:tcPr>
            <w:tcW w:w="14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0 shares at December 31, 2022 and December 31, 2021, respectively</w:t>
            </w: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9,030,066 and 9,359,065 shares at December 31, 2022 and December 31, 2021, respectively</w:t>
            </w: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December 31, 2022 and December 31, 2021, respectively</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34,522,290 and 18,326,863 shares at December 31, 2022 and December 31, 2021,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(494,075)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1,223,119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830,538</w:t>
            </w:r>
          </w:p>
        </w:tc>
        <w:tc>
          <w:tcPr>
            <w:tcW w:w="0" w:type="dxa"/>
            <w:vAlign w:val="bottom"/>
          </w:tcPr>
          <w:p>
            <w:pPr>
              <w:spacing w:after="0"/>
              <w:rPr>
                <w:sz w:val="1"/>
                <w:szCs w:val="1"/>
                <w:color w:val="auto"/>
              </w:rPr>
            </w:pPr>
          </w:p>
        </w:tc>
      </w:tr>
      <w:tr>
        <w:trPr>
          <w:trHeight w:val="208"/>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Condition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309,528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1,863,618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10,583,241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00" w:type="dxa"/>
            <w:vAlign w:val="bottom"/>
            <w:gridSpan w:val="3"/>
          </w:tcPr>
          <w:p>
            <w:pPr>
              <w:jc w:val="center"/>
              <w:ind w:right="241"/>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7"/>
        </w:trPr>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780" w:type="dxa"/>
            <w:vAlign w:val="bottom"/>
          </w:tcPr>
          <w:p>
            <w:pPr>
              <w:jc w:val="right"/>
              <w:ind w:right="2753"/>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3"/>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1,628,898</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2,105,194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2,493,248</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614,489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600,510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83,454</w:t>
            </w:r>
          </w:p>
        </w:tc>
        <w:tc>
          <w:tcPr>
            <w:tcW w:w="0" w:type="dxa"/>
            <w:vAlign w:val="bottom"/>
          </w:tcPr>
          <w:p>
            <w:pPr>
              <w:spacing w:after="0"/>
              <w:rPr>
                <w:sz w:val="1"/>
                <w:szCs w:val="1"/>
                <w:color w:val="auto"/>
              </w:rPr>
            </w:pPr>
          </w:p>
        </w:tc>
      </w:tr>
      <w:tr>
        <w:trPr>
          <w:trHeight w:val="201"/>
        </w:trPr>
        <w:tc>
          <w:tcPr>
            <w:tcW w:w="60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2,364,812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2,811,485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3,239,331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745,434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758,843</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213,750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376,282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393,536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125,649</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94,558</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66,741</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79,969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87,735</w:t>
            </w:r>
          </w:p>
        </w:tc>
        <w:tc>
          <w:tcPr>
            <w:tcW w:w="0" w:type="dxa"/>
            <w:vAlign w:val="bottom"/>
          </w:tcPr>
          <w:p>
            <w:pPr>
              <w:spacing w:after="0"/>
              <w:rPr>
                <w:sz w:val="1"/>
                <w:szCs w:val="1"/>
                <w:color w:val="auto"/>
              </w:rPr>
            </w:pPr>
          </w:p>
        </w:tc>
      </w:tr>
      <w:tr>
        <w:trPr>
          <w:trHeight w:val="201"/>
        </w:trPr>
        <w:tc>
          <w:tcPr>
            <w:tcW w:w="6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1,808,014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1,814,581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1,856,494</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996,904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1,382,837</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169,670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261,924</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827,234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1,120,913</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(471,716)</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265,026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476,878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649,197</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103,997,767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117,339,539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121,692,443</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104,422,443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118,423,928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122,332,190</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468,332</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827,234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1,120,913</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(59,019)</w:t>
            </w:r>
          </w:p>
        </w:tc>
        <w:tc>
          <w:tcPr>
            <w:tcW w:w="0" w:type="dxa"/>
            <w:vAlign w:val="bottom"/>
          </w:tcPr>
          <w:p>
            <w:pPr>
              <w:spacing w:after="0"/>
              <w:rPr>
                <w:sz w:val="1"/>
                <w:szCs w:val="1"/>
                <w:color w:val="auto"/>
              </w:rPr>
            </w:pPr>
          </w:p>
        </w:tc>
      </w:tr>
      <w:tr>
        <w:trPr>
          <w:trHeight w:val="201"/>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852,558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1,077,212</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(452,855)</w:t>
            </w:r>
          </w:p>
        </w:tc>
        <w:tc>
          <w:tcPr>
            <w:tcW w:w="0" w:type="dxa"/>
            <w:vAlign w:val="bottom"/>
          </w:tcPr>
          <w:p>
            <w:pPr>
              <w:spacing w:after="0"/>
              <w:rPr>
                <w:sz w:val="1"/>
                <w:szCs w:val="1"/>
                <w:color w:val="auto"/>
              </w:rPr>
            </w:pPr>
          </w:p>
        </w:tc>
      </w:tr>
      <w:tr>
        <w:trPr>
          <w:trHeight w:val="204"/>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306,826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492,169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624,357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81" w:name="page82"/>
    <w:bookmarkEnd w:id="81"/>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Years Ended December 31, 2022, 2021, and 2020</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3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gridSpan w:val="2"/>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70"/>
        </w:trPr>
        <w:tc>
          <w:tcPr>
            <w:tcW w:w="15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120,435,912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12,887,178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(55,005)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1,077,398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(90,374)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931,374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297,562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1,228,936</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Share based compensation</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2,489,483</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56,629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56,629</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56,629</w:t>
            </w: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(867,984)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(1,436,326)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(33,918)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(49,864)</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Stock option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909,627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16,440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16,440</w:t>
            </w: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Warrants issued</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11,488</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649,197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649,197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471,716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1,120,913</w:t>
            </w: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8,604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8,604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15,318</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(33,444)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(33,444)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(25,575)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(59,019)</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flow hedges gains (losses)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 non-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(120,496)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(120,496)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(363,919)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(484,415)</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controlling 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2,660,239</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(2,660,239)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tax receivable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agreements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(1,388)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(1,388)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(1,388)</w:t>
            </w:r>
          </w:p>
        </w:tc>
        <w:tc>
          <w:tcPr>
            <w:tcW w:w="0" w:type="dxa"/>
            <w:vAlign w:val="bottom"/>
          </w:tcPr>
          <w:p>
            <w:pPr>
              <w:spacing w:after="0"/>
              <w:rPr>
                <w:sz w:val="1"/>
                <w:szCs w:val="1"/>
                <w:color w:val="auto"/>
              </w:rPr>
            </w:pPr>
          </w:p>
        </w:tc>
      </w:tr>
      <w:tr>
        <w:trPr>
          <w:trHeight w:val="150"/>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employee exchange</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125,627,277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10,226,939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(3,615,097)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(88,923)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1,160,567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422,381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1,468,540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386,498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1,855,038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2,434,251</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55,654</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55,654</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55,654</w:t>
            </w: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(120,025)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(3,455)</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(3,455)</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(840,229)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(14,711,766)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(405,152)</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(22,301)</w:t>
            </w:r>
          </w:p>
        </w:tc>
        <w:tc>
          <w:tcPr>
            <w:tcW w:w="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(427,453)</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(427,453)</w:t>
            </w: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528,497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10,042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10,042</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476,878</w:t>
            </w:r>
          </w:p>
        </w:tc>
        <w:tc>
          <w:tcPr>
            <w:tcW w:w="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476,878</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350,356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827,234</w:t>
            </w: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(7,673)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(7,673)</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(4,797)</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(12,470)</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Warrants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68,940</w:t>
            </w:r>
          </w:p>
        </w:tc>
        <w:tc>
          <w:tcPr>
            <w:tcW w:w="8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68,940</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68,940</w:t>
            </w: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22,964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22,964</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14,830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37,794</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 non-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(115,360)</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(115,360)</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(432,657)</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(548,017)</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controlling 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747,849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(747,849)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tax receivable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agreements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311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311</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employee exchange</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131,497,645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9,359,065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(18,326,863)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(494,075)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1,223,119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830,538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(10,196)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1,549,388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314,230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1,863,618</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1,897,030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71,597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71,597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71,597</w:t>
            </w: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(236,069)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(8,256)</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(8,256)</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(8,256)</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(684,730)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(16,195,427)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(460,562)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(480,544)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(480,544)</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Stock option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268,879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5,109</w:t>
            </w:r>
          </w:p>
        </w:tc>
        <w:tc>
          <w:tcPr>
            <w:tcW w:w="8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5,109</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5,109</w:t>
            </w:r>
          </w:p>
        </w:tc>
        <w:tc>
          <w:tcPr>
            <w:tcW w:w="0" w:type="dxa"/>
            <w:vAlign w:val="bottom"/>
          </w:tcPr>
          <w:p>
            <w:pPr>
              <w:spacing w:after="0"/>
              <w:rPr>
                <w:sz w:val="1"/>
                <w:szCs w:val="1"/>
                <w:color w:val="auto"/>
              </w:rPr>
            </w:pPr>
          </w:p>
        </w:tc>
      </w:tr>
      <w:tr>
        <w:trPr>
          <w:trHeight w:val="16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265,026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265,026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203,306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468,332</w:t>
            </w: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(13,605)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(13,605)</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(10,649)</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(24,254)</w:t>
            </w:r>
          </w:p>
        </w:tc>
        <w:tc>
          <w:tcPr>
            <w:tcW w:w="0" w:type="dxa"/>
            <w:vAlign w:val="bottom"/>
          </w:tcPr>
          <w:p>
            <w:pPr>
              <w:spacing w:after="0"/>
              <w:rPr>
                <w:sz w:val="1"/>
                <w:szCs w:val="1"/>
                <w:color w:val="auto"/>
              </w:rPr>
            </w:pPr>
          </w:p>
        </w:tc>
      </w:tr>
      <w:tr>
        <w:trPr>
          <w:trHeight w:val="13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Years Ended December 31, 2022, 2021, and 2020</w:t>
      </w: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gridSpan w:val="2"/>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5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14"/>
        </w:trPr>
        <w:tc>
          <w:tcPr>
            <w:tcW w:w="1600" w:type="dxa"/>
            <w:vAlign w:val="bottom"/>
            <w:gridSpan w:val="2"/>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55,405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55,405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35,460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90,865</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 non-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(103,265)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(103,265)</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(272,019)</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(375,284)</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controlling interest</w:t>
            </w:r>
          </w:p>
        </w:tc>
        <w:tc>
          <w:tcPr>
            <w:tcW w:w="6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92,930</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(92,930)</w:t>
            </w: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Contributions from</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39,200</w:t>
            </w:r>
          </w:p>
        </w:tc>
        <w:tc>
          <w:tcPr>
            <w:tcW w:w="0" w:type="dxa"/>
            <w:vAlign w:val="bottom"/>
          </w:tcPr>
          <w:p>
            <w:pPr>
              <w:spacing w:after="0"/>
              <w:rPr>
                <w:sz w:val="1"/>
                <w:szCs w:val="1"/>
                <w:color w:val="auto"/>
              </w:rPr>
            </w:pPr>
          </w:p>
        </w:tc>
      </w:tr>
      <w:tr>
        <w:trPr>
          <w:trHeight w:val="15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interests</w:t>
            </w:r>
          </w:p>
        </w:tc>
        <w:tc>
          <w:tcPr>
            <w:tcW w:w="6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tax receivable</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agreements in connection with</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color w:val="auto"/>
              </w:rPr>
              <w:t>1,044</w:t>
            </w:r>
          </w:p>
        </w:tc>
        <w:tc>
          <w:tcPr>
            <w:tcW w:w="0" w:type="dxa"/>
            <w:vAlign w:val="bottom"/>
          </w:tcPr>
          <w:p>
            <w:pPr>
              <w:spacing w:after="0"/>
              <w:rPr>
                <w:sz w:val="1"/>
                <w:szCs w:val="1"/>
                <w:color w:val="auto"/>
              </w:rPr>
            </w:pPr>
          </w:p>
        </w:tc>
      </w:tr>
      <w:tr>
        <w:trPr>
          <w:trHeight w:val="150"/>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employee exchange</w:t>
            </w:r>
          </w:p>
        </w:tc>
        <w:tc>
          <w:tcPr>
            <w:tcW w:w="6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133,071,754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9,030,066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60,091,740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(34,522,290)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(954,637)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1,292,613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972,317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31,604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1,341,899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309,528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rPr>
              <w:t>1,651,427</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4"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67,816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66,741</w:t>
            </w:r>
          </w:p>
        </w:tc>
        <w:tc>
          <w:tcPr>
            <w:tcW w:w="0" w:type="dxa"/>
            <w:vAlign w:val="bottom"/>
          </w:tcPr>
          <w:p>
            <w:pPr>
              <w:spacing w:after="0"/>
              <w:rPr>
                <w:sz w:val="1"/>
                <w:szCs w:val="1"/>
                <w:color w:val="auto"/>
              </w:rPr>
            </w:pP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74,254</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0" w:type="dxa"/>
            <w:vAlign w:val="bottom"/>
          </w:tcPr>
          <w:p>
            <w:pPr>
              <w:spacing w:after="0"/>
              <w:rPr>
                <w:sz w:val="1"/>
                <w:szCs w:val="1"/>
                <w:color w:val="auto"/>
              </w:rPr>
            </w:pP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26,148</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28,138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55,751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59,838</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34,617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21,601</w:t>
            </w:r>
          </w:p>
        </w:tc>
        <w:tc>
          <w:tcPr>
            <w:tcW w:w="0" w:type="dxa"/>
            <w:vAlign w:val="bottom"/>
          </w:tcPr>
          <w:p>
            <w:pPr>
              <w:spacing w:after="0"/>
              <w:rPr>
                <w:sz w:val="1"/>
                <w:szCs w:val="1"/>
                <w:color w:val="auto"/>
              </w:rPr>
            </w:pP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Gain on sale of MATCHNow</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(58,652)</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75,694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503,747</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120,166</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657,199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(365,422)</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(350,041)</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68,002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(110,947)</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33,930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39,659</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59,209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(48,472)</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193,792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(651,843)</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53,090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120,493</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(9,323)</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29,107</w:t>
            </w:r>
          </w:p>
        </w:tc>
        <w:tc>
          <w:tcPr>
            <w:tcW w:w="0" w:type="dxa"/>
            <w:vAlign w:val="bottom"/>
          </w:tcPr>
          <w:p>
            <w:pPr>
              <w:spacing w:after="0"/>
              <w:rPr>
                <w:sz w:val="1"/>
                <w:szCs w:val="1"/>
                <w:color w:val="auto"/>
              </w:rPr>
            </w:pPr>
          </w:p>
        </w:tc>
      </w:tr>
      <w:tr>
        <w:trPr>
          <w:trHeight w:val="189"/>
        </w:trPr>
        <w:tc>
          <w:tcPr>
            <w:tcW w:w="7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587,071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425,750</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0" w:type="dxa"/>
            <w:vAlign w:val="bottom"/>
          </w:tcPr>
          <w:p>
            <w:pPr>
              <w:spacing w:after="0"/>
              <w:rPr>
                <w:sz w:val="1"/>
                <w:szCs w:val="1"/>
                <w:color w:val="auto"/>
              </w:rPr>
            </w:pPr>
          </w:p>
        </w:tc>
      </w:tr>
      <w:tr>
        <w:trPr>
          <w:trHeight w:val="190"/>
        </w:trPr>
        <w:tc>
          <w:tcPr>
            <w:tcW w:w="7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81,954</w:t>
            </w: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1,171,626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1,060,884</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(31,471)</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(28,888)</w:t>
            </w: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MATCHNow</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60,592</w:t>
            </w:r>
          </w:p>
        </w:tc>
        <w:tc>
          <w:tcPr>
            <w:tcW w:w="0" w:type="dxa"/>
            <w:vAlign w:val="bottom"/>
          </w:tcPr>
          <w:p>
            <w:pPr>
              <w:spacing w:after="0"/>
              <w:rPr>
                <w:sz w:val="1"/>
                <w:szCs w:val="1"/>
                <w:color w:val="auto"/>
              </w:rPr>
            </w:pPr>
          </w:p>
        </w:tc>
      </w:tr>
      <w:tr>
        <w:trPr>
          <w:trHeight w:val="190"/>
        </w:trPr>
        <w:tc>
          <w:tcPr>
            <w:tcW w:w="7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(10,412)</w:t>
            </w: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(484,415)</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16,440</w:t>
            </w: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(10,514)</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(288,500)</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exercised</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68,940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(735,745)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(957,859)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(839,918)</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15,318</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113,948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4"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9"/>
        </w:trPr>
        <w:tc>
          <w:tcPr>
            <w:tcW w:w="69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1,120,953</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1,007,005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773,280</w:t>
            </w:r>
          </w:p>
        </w:tc>
        <w:tc>
          <w:tcPr>
            <w:tcW w:w="0" w:type="dxa"/>
            <w:vAlign w:val="bottom"/>
          </w:tcPr>
          <w:p>
            <w:pPr>
              <w:spacing w:after="0"/>
              <w:rPr>
                <w:sz w:val="1"/>
                <w:szCs w:val="1"/>
                <w:color w:val="auto"/>
              </w:rPr>
            </w:pPr>
          </w:p>
        </w:tc>
      </w:tr>
      <w:tr>
        <w:trPr>
          <w:trHeight w:val="221"/>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1,120,953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1,007,005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246,985</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159,864</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173,645</w:t>
            </w:r>
          </w:p>
        </w:tc>
        <w:tc>
          <w:tcPr>
            <w:tcW w:w="0" w:type="dxa"/>
            <w:vAlign w:val="bottom"/>
          </w:tcPr>
          <w:p>
            <w:pPr>
              <w:spacing w:after="0"/>
              <w:rPr>
                <w:sz w:val="1"/>
                <w:szCs w:val="1"/>
                <w:color w:val="auto"/>
              </w:rPr>
            </w:pPr>
          </w:p>
        </w:tc>
      </w:tr>
      <w:tr>
        <w:trPr>
          <w:trHeight w:val="204"/>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134,878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248,532</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14,773</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described in Note 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2022, VFI owned approximately 59.7%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5"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194"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22 "Geographic Information and Business Segments" for a further discussion of the Company’s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41" w:lineRule="exact"/>
        <w:rPr>
          <w:sz w:val="20"/>
          <w:szCs w:val="20"/>
          <w:color w:val="auto"/>
        </w:rPr>
      </w:pPr>
    </w:p>
    <w:p>
      <w:pPr>
        <w:ind w:right="80" w:firstLine="629"/>
        <w:spacing w:after="0" w:line="244" w:lineRule="auto"/>
        <w:rPr>
          <w:sz w:val="20"/>
          <w:szCs w:val="20"/>
          <w:color w:val="auto"/>
        </w:rPr>
      </w:pPr>
      <w:r>
        <w:rPr>
          <w:rFonts w:ascii="Times New Roman" w:cs="Times New Roman" w:eastAsia="Times New Roman" w:hAnsi="Times New Roman"/>
          <w:sz w:val="17"/>
          <w:szCs w:val="17"/>
          <w:color w:val="auto"/>
        </w:rPr>
        <w:t>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The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18"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Certain reclassifications have been made to the prior periods' Consolidated Financial Statements in order to conform to the current period presentation. Such reclassifications are immaterial, individually and in the aggregate, to both current and all</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6"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previously issued financial statements taken as a whole and have no effect on previously reported consolidated net income available to common stockholders.</w:t>
      </w:r>
    </w:p>
    <w:p>
      <w:pPr>
        <w:spacing w:after="0" w:line="250"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Effective for the quarter ended March 31, 2021, the Company changed the presentation of its Consolidated Statements of Changes in Equity and Consolidated Statements of Cash Flows. Specifically, the Company combined $120.5 million of Dividends to stockholders and $363.9 million of Distribution from Virtu Financial to noncontrolling interest, into Dividends to stockholders and distribution from Virtu Financial to noncontrolling interest for the year ended December 31, 2020. Dividends to stockholders and distributions from Virtu Financial to noncontrolling interest both represent cash payments by the Company to its equity owners which reduce Total equity.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conformity with U.S. GAAP, which require management to make estimates and assumptions regarding measurements including the fair value of trading assets and liabilities, allowance for doubtful accounts,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254"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194"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The Company grants restricted stock awards ("RSAs") and restricted stock units (“RSUs”), certain of which entitle recipients to receive non-forfeitable dividends during the vesting period on a basis equivalent to the dividends paid to holders of 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54"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7" w:lineRule="exact"/>
        <w:rPr>
          <w:sz w:val="20"/>
          <w:szCs w:val="20"/>
          <w:color w:val="auto"/>
        </w:rPr>
      </w:pPr>
    </w:p>
    <w:p>
      <w:pPr>
        <w:ind w:right="180" w:firstLine="629"/>
        <w:spacing w:after="0" w:line="243" w:lineRule="auto"/>
        <w:rPr>
          <w:sz w:val="20"/>
          <w:szCs w:val="20"/>
          <w:color w:val="auto"/>
        </w:rPr>
      </w:pPr>
      <w:r>
        <w:rPr>
          <w:rFonts w:ascii="Times New Roman" w:cs="Times New Roman" w:eastAsia="Times New Roman" w:hAnsi="Times New Roman"/>
          <w:sz w:val="17"/>
          <w:szCs w:val="17"/>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and special reserve accounts for the exclusive benefit of proprietary accounts of broker-dealers, (ii) funds on deposit for Canadian and European trade clearing and settlement activity, (iii) segregated balances under a collateral account control agreement for the benefit of certain customers in Hong Kong, and</w:t>
      </w:r>
    </w:p>
    <w:p>
      <w:pPr>
        <w:spacing w:after="0" w:line="1" w:lineRule="exact"/>
        <w:rPr>
          <w:sz w:val="20"/>
          <w:szCs w:val="20"/>
          <w:color w:val="auto"/>
        </w:rPr>
      </w:pPr>
    </w:p>
    <w:p>
      <w:pPr>
        <w:ind w:left="300" w:hanging="295"/>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relating to the securitization of bank guarantees supporting certain of the Company’s foreign leases.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Borrowed and Securities Loaned</w:t>
      </w:r>
    </w:p>
    <w:p>
      <w:pPr>
        <w:spacing w:after="0" w:line="25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securities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Purchased Under Agreements to Resell and Securities Sold Under Agreements to Repurchase</w:t>
      </w:r>
    </w:p>
    <w:p>
      <w:pPr>
        <w:spacing w:after="0" w:line="254" w:lineRule="exact"/>
        <w:rPr>
          <w:sz w:val="20"/>
          <w:szCs w:val="20"/>
          <w:color w:val="auto"/>
        </w:rPr>
      </w:pPr>
    </w:p>
    <w:p>
      <w:pPr>
        <w:ind w:right="200" w:firstLine="629"/>
        <w:spacing w:after="0" w:line="263" w:lineRule="auto"/>
        <w:rPr>
          <w:sz w:val="20"/>
          <w:szCs w:val="20"/>
          <w:color w:val="auto"/>
        </w:rPr>
      </w:pPr>
      <w:r>
        <w:rPr>
          <w:rFonts w:ascii="Times New Roman" w:cs="Times New Roman" w:eastAsia="Times New Roman" w:hAnsi="Times New Roman"/>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203"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from/Payables to Broker-dealers and Clearing Organizations</w:t>
      </w:r>
    </w:p>
    <w:p>
      <w:pPr>
        <w:spacing w:after="0" w:line="25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96"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 Owned Including Those Pledged as Collateral and Financial Instruments Sold, Not Yet Purchased</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Financial instruments measured and reported at fair value are classified and disclosed in one of the following categories based on inputs: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left="640" w:right="480"/>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w:t>
      </w:r>
    </w:p>
    <w:p>
      <w:pPr>
        <w:spacing w:after="0" w:line="254"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 Trading</w:t>
      </w:r>
    </w:p>
    <w:p>
      <w:pPr>
        <w:spacing w:after="0" w:line="254" w:lineRule="exact"/>
        <w:rPr>
          <w:sz w:val="20"/>
          <w:szCs w:val="20"/>
          <w:color w:val="auto"/>
        </w:rPr>
      </w:pPr>
    </w:p>
    <w:p>
      <w:pPr>
        <w:ind w:right="180" w:firstLine="629"/>
        <w:spacing w:after="0" w:line="265" w:lineRule="auto"/>
        <w:rPr>
          <w:sz w:val="20"/>
          <w:szCs w:val="20"/>
          <w:color w:val="auto"/>
        </w:rPr>
      </w:pPr>
      <w:r>
        <w:rPr>
          <w:rFonts w:ascii="Times New Roman" w:cs="Times New Roman" w:eastAsia="Times New Roman" w:hAnsi="Times New Roman"/>
          <w:sz w:val="17"/>
          <w:szCs w:val="17"/>
          <w:color w:val="auto"/>
        </w:rPr>
        <w:t>Derivative instruments are used for trading purposes, including economic hedges of trading instruments, are carried at fair value, and include futures, forward contracts, and options. The Company does not apply hedge accounting as defined in ASC 815, Derivatives and Hedging, and accordingly gains or losses on these derivative instruments are recognized currently within Trading income, net in the Consolidated Statements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198"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The Company presents its trading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 Hedging</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may use derivative instruments for risk management purposes, including cash flow hedges used to manage interest rate risk on long-term borrowings. The Company has entered into floating-to-fixed interest rate swap agreements in order to manage interest rate risk associated with its long-term debt obligations.</w:t>
      </w:r>
    </w:p>
    <w:p>
      <w:pPr>
        <w:spacing w:after="0" w:line="190"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For interest rate swap agreements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5"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Consolidated Statements of Financial Condition. Cash flows associated with such derivative activities are included in cash flows from operating activities on the Consolidated Statements of Cash Flows.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54" w:lineRule="exact"/>
        <w:rPr>
          <w:sz w:val="20"/>
          <w:szCs w:val="20"/>
          <w:color w:val="auto"/>
        </w:rPr>
      </w:pPr>
    </w:p>
    <w:p>
      <w:pPr>
        <w:ind w:right="240" w:firstLine="629"/>
        <w:spacing w:after="0" w:line="263"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except for the assets acquired in connection with acquisitions using the purchase accounting method, which were recorded at fair value on date of acquisition.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254" w:lineRule="exact"/>
        <w:rPr>
          <w:sz w:val="20"/>
          <w:szCs w:val="20"/>
          <w:color w:val="auto"/>
        </w:rPr>
      </w:pPr>
    </w:p>
    <w:p>
      <w:pPr>
        <w:ind w:right="520" w:firstLine="629"/>
        <w:spacing w:after="0" w:line="296" w:lineRule="auto"/>
        <w:rPr>
          <w:sz w:val="20"/>
          <w:szCs w:val="20"/>
          <w:color w:val="auto"/>
        </w:rPr>
      </w:pPr>
      <w:r>
        <w:rPr>
          <w:rFonts w:ascii="Times New Roman" w:cs="Times New Roman" w:eastAsia="Times New Roman" w:hAnsi="Times New Roman"/>
          <w:sz w:val="17"/>
          <w:szCs w:val="17"/>
          <w:color w:val="auto"/>
        </w:rPr>
        <w:t>The Company capitalizes costs of materials, consultants, and payroll and payroll-related costs for employees incurred in developing internal-use software. Costs incurred during the preliminary project and post-implementation stages are charged to expense.</w:t>
      </w:r>
    </w:p>
    <w:p>
      <w:pPr>
        <w:spacing w:after="0" w:line="173"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73"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Company determines if an arrangement is a lease at the inception of the arrangement. Operating leases are included in Operating lease right-of-use ("ROU") assets and Operating lease liabilities on the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Consolidated Statements of Comprehensive Income. Lease expense related to the leasing of data centers and other technology is recorded in Communication and Data Processing on the Consolidated Statements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Consolidated Statements of Comprehensive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4" w:lineRule="exact"/>
        <w:rPr>
          <w:sz w:val="20"/>
          <w:szCs w:val="20"/>
          <w:color w:val="auto"/>
        </w:rPr>
      </w:pPr>
    </w:p>
    <w:p>
      <w:pPr>
        <w:ind w:right="440" w:firstLine="629"/>
        <w:spacing w:after="0" w:line="276" w:lineRule="auto"/>
        <w:rPr>
          <w:sz w:val="20"/>
          <w:szCs w:val="20"/>
          <w:color w:val="auto"/>
        </w:rPr>
      </w:pPr>
      <w:r>
        <w:rPr>
          <w:rFonts w:ascii="Times New Roman" w:cs="Times New Roman" w:eastAsia="Times New Roman" w:hAnsi="Times New Roman"/>
          <w:sz w:val="17"/>
          <w:szCs w:val="17"/>
          <w:color w:val="auto"/>
        </w:rPr>
        <w:t>The Company assesses goodwill for impairment on an annual basis on July 1 and on an interim basis when certain events occur or certain circumstances exist. In the impairment assessment as of July 1, 2022, the Company assessed qualitative factors as described in ASC 350-20 for each of its reporting units for any indicators that the fair values of the reporting units were less than their carrying values. No impairment was identified.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Memberships and Stock</w:t>
      </w:r>
    </w:p>
    <w:p>
      <w:pPr>
        <w:spacing w:after="0" w:line="254"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Exchange memberships are recorded at cost or, if any other than temporary impairment in value has occurred, at a value that reflects management’s estimate of fair value. Exchange stock includes shares that entitle the Company to certain trading privileges.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Income, net</w:t>
      </w:r>
    </w:p>
    <w:p>
      <w:pPr>
        <w:spacing w:after="0" w:line="254" w:lineRule="exact"/>
        <w:rPr>
          <w:sz w:val="20"/>
          <w:szCs w:val="20"/>
          <w:color w:val="auto"/>
        </w:rPr>
      </w:pPr>
    </w:p>
    <w:p>
      <w:pPr>
        <w:jc w:val="both"/>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Commissions, net and Technology Services</w:t>
      </w:r>
    </w:p>
    <w:p>
      <w:pPr>
        <w:spacing w:after="0" w:line="254"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91" w:name="page92"/>
    <w:bookmarkEnd w:id="91"/>
    <w:p>
      <w:pPr>
        <w:jc w:val="both"/>
        <w:ind w:right="220" w:firstLine="629"/>
        <w:spacing w:after="0" w:line="270" w:lineRule="auto"/>
        <w:rPr>
          <w:sz w:val="20"/>
          <w:szCs w:val="20"/>
          <w:color w:val="auto"/>
        </w:rPr>
      </w:pPr>
      <w:r>
        <w:rPr>
          <w:rFonts w:ascii="Times New Roman" w:cs="Times New Roman" w:eastAsia="Times New Roman" w:hAnsi="Times New Roman"/>
          <w:sz w:val="17"/>
          <w:szCs w:val="17"/>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Dividends Income/Interest and Dividends Expense</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Brokerage, Exchange, Clearance Fees and Payments for Order Flow, Net</w:t>
      </w:r>
    </w:p>
    <w:p>
      <w:pPr>
        <w:spacing w:after="0" w:line="254"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Brokerage, exchange, clearance fees and payments for order flow, net, comprise the costs of executing and clearing trades and are accrued on a trade date basis in the Consolidated Statements of Comprehensive Income. These costs are net of rebates, which consist of volume discounts, credits or payments received from exchanges or other marketplaces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jc w:val="both"/>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73" w:lineRule="exact"/>
        <w:rPr>
          <w:sz w:val="20"/>
          <w:szCs w:val="20"/>
          <w:color w:val="auto"/>
        </w:rPr>
      </w:pPr>
    </w:p>
    <w:p>
      <w:pPr>
        <w:jc w:val="both"/>
        <w:ind w:right="40" w:firstLine="629"/>
        <w:spacing w:after="0" w:line="276" w:lineRule="auto"/>
        <w:rPr>
          <w:sz w:val="20"/>
          <w:szCs w:val="20"/>
          <w:color w:val="auto"/>
        </w:rPr>
      </w:pPr>
      <w:r>
        <w:rPr>
          <w:rFonts w:ascii="Times New Roman" w:cs="Times New Roman" w:eastAsia="Times New Roman" w:hAnsi="Times New Roman"/>
          <w:sz w:val="17"/>
          <w:szCs w:val="17"/>
          <w:color w:val="auto"/>
        </w:rPr>
        <w:t>The provision for income tax comprises current tax and deferred tax. Current tax represents the tax on current year tax returns, using tax rates enacted at the balance sheet date. Deferred tax assets are recognized in full and then reduced by a valuation allowance if it is more likely than not that some or all of the deferred tax assets will not be recognized.</w:t>
      </w:r>
    </w:p>
    <w:p>
      <w:pPr>
        <w:spacing w:after="0" w:line="190"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54"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Comprehensive income consists of two components: net income and other comprehensive income (“OCI”). The Company’s OCI comprises foreign currency translation adjustments, net of taxes and mark-to-market gains and losses on the Company's derivative instruments designated as hedging instruments under ASC 815, net of taxes.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92" w:name="page93"/>
    <w:bookmarkEnd w:id="92"/>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OCI, a component of stockholders’ equity. While certain of the Company's foreign subsidiaries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198"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initially included in Accumulated OCI on the Consolidated Statements of Financial Condition and OCI on the Consolidated Statements of Comprehensive Income, as the hedged item affects earnings.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RSAs and RSUs, as applicable.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254"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0"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48" w:lineRule="exact"/>
        <w:rPr>
          <w:sz w:val="20"/>
          <w:szCs w:val="20"/>
          <w:color w:val="auto"/>
        </w:rPr>
      </w:pPr>
    </w:p>
    <w:p>
      <w:pPr>
        <w:ind w:right="280" w:firstLine="62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Convertible Instruments </w:t>
      </w:r>
      <w:r>
        <w:rPr>
          <w:rFonts w:ascii="Times New Roman" w:cs="Times New Roman" w:eastAsia="Times New Roman" w:hAnsi="Times New Roman"/>
          <w:sz w:val="17"/>
          <w:szCs w:val="17"/>
          <w:color w:val="auto"/>
        </w:rPr>
        <w:t>- In August 2020, the FASB issued ASU 2020-06,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w:t>
      </w:r>
      <w:r>
        <w:rPr>
          <w:rFonts w:ascii="Times New Roman" w:cs="Times New Roman" w:eastAsia="Times New Roman" w:hAnsi="Times New Roman"/>
          <w:sz w:val="17"/>
          <w:szCs w:val="17"/>
          <w:color w:val="auto"/>
        </w:rPr>
        <w:t>The ASU simplifies accounting for certain financial instruments with</w:t>
      </w:r>
    </w:p>
    <w:p>
      <w:pPr>
        <w:spacing w:after="0" w:line="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characteristics of liabilities and equity, including convertible instruments and contracts in an entity's own equity and updates selected EPS guidance. The ASU is effective for periods beginning after December 15, 2021. The Company adopted this ASU on January 1, 2022 and it did not have a material impact on its Consolidated Financial Statements and related disclosures.</w:t>
      </w:r>
    </w:p>
    <w:p>
      <w:pPr>
        <w:spacing w:after="0" w:line="182" w:lineRule="exact"/>
        <w:rPr>
          <w:sz w:val="20"/>
          <w:szCs w:val="20"/>
          <w:color w:val="auto"/>
        </w:rPr>
      </w:pPr>
    </w:p>
    <w:p>
      <w:pPr>
        <w:ind w:right="4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Reference Rate Reform </w:t>
      </w:r>
      <w:r>
        <w:rPr>
          <w:rFonts w:ascii="Times New Roman" w:cs="Times New Roman" w:eastAsia="Times New Roman" w:hAnsi="Times New Roman"/>
          <w:sz w:val="17"/>
          <w:szCs w:val="17"/>
          <w:color w:val="auto"/>
        </w:rPr>
        <w:t>- In March 2020, the FASB issued ASU 2020-04,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Rate Reform (Topic 848): Facilitation of the Effects of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Rate Reform on Financial Reporting</w:t>
      </w:r>
      <w:r>
        <w:rPr>
          <w:rFonts w:ascii="Times New Roman" w:cs="Times New Roman" w:eastAsia="Times New Roman" w:hAnsi="Times New Roman"/>
          <w:sz w:val="17"/>
          <w:szCs w:val="17"/>
          <w:color w:val="auto"/>
        </w:rPr>
        <w:t>, and in January 2021, the FASB issued ASU 2021-01 —Reference Rate Reform (Topic 848): Scope, both of which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designed to ease the potential burden in accounting for the transition away from LIBOR. The ASUs apply to contracts, hedging relationships, and other transactions that reference LIBOR or another reference rate expected to be discontinued and replaced with alternative reference rates as a result of reference rate reform. The ASUs provide optional expedients and exceptions for applying U.S. GAAP to contracts, hedging relationships, and other transactions affected by reference rate reform if certain criteria are met. The transition period for adopting these ASUs is March 12, 2020 through December 31, 2022. The Company adopted this ASU on April 1, 2022 and it did not have a material impact on its Consolidated Financial Statements and related disclosures.</w:t>
      </w:r>
    </w:p>
    <w:p>
      <w:pPr>
        <w:spacing w:after="0" w:line="197"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Financial Instruments - Credit Losses </w:t>
      </w:r>
      <w:r>
        <w:rPr>
          <w:rFonts w:ascii="Times New Roman" w:cs="Times New Roman" w:eastAsia="Times New Roman" w:hAnsi="Times New Roman"/>
          <w:sz w:val="17"/>
          <w:szCs w:val="17"/>
          <w:color w:val="auto"/>
        </w:rPr>
        <w:t>- In March 2022, the FASB issued ASU 2022-02,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The ASU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eliminates the accounting guidance for trouble debt restructurings by creditors in Subtopic 310-40, and enhances the disclosure requirements for modifications of loans to borrowers experiencing financial difficulty. Additionally, the ASU requires disclosure of gross writeoffs of receivables by year of origination for receivables within the scope of Subtopic 326-20, </w:t>
      </w:r>
      <w:r>
        <w:rPr>
          <w:rFonts w:ascii="Times New Roman" w:cs="Times New Roman" w:eastAsia="Times New Roman" w:hAnsi="Times New Roman"/>
          <w:sz w:val="17"/>
          <w:szCs w:val="17"/>
          <w:i w:val="1"/>
          <w:iCs w:val="1"/>
          <w:color w:val="auto"/>
        </w:rPr>
        <w:t>Financial Instruments - Credit Losses - Measured at Amortized Cost</w:t>
      </w:r>
      <w:r>
        <w:rPr>
          <w:rFonts w:ascii="Times New Roman" w:cs="Times New Roman" w:eastAsia="Times New Roman" w:hAnsi="Times New Roman"/>
          <w:sz w:val="17"/>
          <w:szCs w:val="17"/>
          <w:color w:val="auto"/>
        </w:rPr>
        <w:t>. This ASU is effective for periods beginning after December 15, 2022. The Company adopted this ASU on April 1, 2022 and it did not have a material impact on its Consolidated Financial Statements and related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December 31, 2022</w:t>
      </w:r>
    </w:p>
    <w:p>
      <w:pPr>
        <w:spacing w:after="0" w:line="235" w:lineRule="exact"/>
        <w:rPr>
          <w:sz w:val="20"/>
          <w:szCs w:val="20"/>
          <w:color w:val="auto"/>
        </w:rPr>
      </w:pPr>
    </w:p>
    <w:p>
      <w:pPr>
        <w:ind w:right="220" w:firstLine="62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Derivatives and Hedging - </w:t>
      </w:r>
      <w:r>
        <w:rPr>
          <w:rFonts w:ascii="Times New Roman" w:cs="Times New Roman" w:eastAsia="Times New Roman" w:hAnsi="Times New Roman"/>
          <w:sz w:val="17"/>
          <w:szCs w:val="17"/>
          <w:color w:val="auto"/>
        </w:rPr>
        <w:t>In March 2022, the FASB issued ASU 2022-01, Derivatives and Hedging - Fair Value Hedging - Portfolio Layer Method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(Topic 815). The ASU expands the scope of permissible hedging, and permits the use of different derivative structures as hedging instruments. The ASU also clarifies the certain terms for partial-term fair value hedges of interest rate risk. This ASU is effective for periods beginning after December 15, 2022. The Company is currently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evaluating the impact of this ASU but does not expect it to have a material impact on its Consolidated Financial Statements and related disclosures.</w:t>
      </w:r>
    </w:p>
    <w:p>
      <w:pPr>
        <w:spacing w:after="0" w:line="228" w:lineRule="exact"/>
        <w:rPr>
          <w:sz w:val="20"/>
          <w:szCs w:val="20"/>
          <w:color w:val="auto"/>
        </w:rPr>
      </w:pPr>
    </w:p>
    <w:p>
      <w:pPr>
        <w:jc w:val="both"/>
        <w:ind w:right="2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Measurement </w:t>
      </w:r>
      <w:r>
        <w:rPr>
          <w:rFonts w:ascii="Times New Roman" w:cs="Times New Roman" w:eastAsia="Times New Roman" w:hAnsi="Times New Roman"/>
          <w:sz w:val="17"/>
          <w:szCs w:val="17"/>
          <w:color w:val="auto"/>
        </w:rPr>
        <w:t>- In June 2022, the FASB issued ASU 2022-03,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Fair Value Measurement of Equity Securities Subject to Contractual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Restrictions (Topic 326)</w:t>
      </w:r>
      <w:r>
        <w:rPr>
          <w:rFonts w:ascii="Times New Roman" w:cs="Times New Roman" w:eastAsia="Times New Roman" w:hAnsi="Times New Roman"/>
          <w:sz w:val="17"/>
          <w:szCs w:val="17"/>
          <w:color w:val="auto"/>
        </w:rPr>
        <w:t>. The ASU clarifies the impact of contractual sale restrictions on the fair value of an equity security. Additionally,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the nature and remaining duration of the sale restriction. This ASU is effective for periods beginning after December 15, 2023. The Company is currently evaluating the impact of this ASU but does not expect it to have a material impact on its Consolidated Financial Statements and related disclosures.</w:t>
      </w:r>
    </w:p>
    <w:p>
      <w:pPr>
        <w:spacing w:after="0" w:line="188"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Liabilities - Supplier Finance Programs - </w:t>
      </w:r>
      <w:r>
        <w:rPr>
          <w:rFonts w:ascii="Times New Roman" w:cs="Times New Roman" w:eastAsia="Times New Roman" w:hAnsi="Times New Roman"/>
          <w:sz w:val="17"/>
          <w:szCs w:val="17"/>
          <w:color w:val="auto"/>
        </w:rPr>
        <w:t>In September 2022, the FASB issued ASU 2022 -03,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Liabilities—Supplier Finance Programs (Subtopic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405-50)</w:t>
      </w:r>
      <w:r>
        <w:rPr>
          <w:rFonts w:ascii="Times New Roman" w:cs="Times New Roman" w:eastAsia="Times New Roman" w:hAnsi="Times New Roman"/>
          <w:sz w:val="17"/>
          <w:szCs w:val="17"/>
          <w:color w:val="auto"/>
        </w:rPr>
        <w:t>. This ASU requires new quantitative and qualitative disclosure requirements for a buyer who enters into supplier financing programs. This ASU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for periods beginning after December 15, 2023. The Company is currently evaluating the impact of this ASU but does not expect it to have a material impact on its Consolidated Financial Statements and related disclosures.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Sale of MATCHNow</w:t>
      </w:r>
    </w:p>
    <w:p>
      <w:pPr>
        <w:spacing w:after="0" w:line="12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In May 2020, the Company entered into a Securities Purchase Agreement ("SPA") with Cboe Global Markets, Inc. (“Cboe”) pursuant to which the Company agreed to sell 100% of the outstanding interests in TriAct Canada Marketplace LP and TCM Corp., which operate an equities alternative trading system (“MATCHNow”) in Canada. Pursuant to the terms of the SPA, the Company also agreed to enter into a licensing agreement for the licensing of certain software and intellectual property used in support of MATCHNow.</w:t>
      </w:r>
    </w:p>
    <w:p>
      <w:pPr>
        <w:spacing w:after="0" w:line="194"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On August 4, 2020 (the "MATCHNow Closing Date"), the Company completed the sale of MATCHNow to Cboe for total gross proceeds of $60.6 million in cash, with additional contingent consideration of up to approximately $23.0 million.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94" w:name="page95"/>
    <w:bookmarkEnd w:id="94"/>
    <w:p>
      <w:pPr>
        <w:ind w:right="120"/>
        <w:spacing w:after="0" w:line="276" w:lineRule="auto"/>
        <w:rPr>
          <w:sz w:val="20"/>
          <w:szCs w:val="20"/>
          <w:color w:val="auto"/>
        </w:rPr>
      </w:pPr>
      <w:r>
        <w:rPr>
          <w:rFonts w:ascii="Times New Roman" w:cs="Times New Roman" w:eastAsia="Times New Roman" w:hAnsi="Times New Roman"/>
          <w:sz w:val="17"/>
          <w:szCs w:val="17"/>
          <w:color w:val="auto"/>
        </w:rPr>
        <w:t>The Company incurred one-time transaction costs including professional fees related to the sale of $2.5 million, which were recorded in Transaction advisory fees and expenses on the Consolidated Statements of Comprehensive Income. The Company recognized a gain on sale of $58.7 million, which was recorded in Other, net on the Consolidated Statements of Comprehensive Income for the year ended December 31, 2020.</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summary of the carrying value of MATCHNow and gain on sale of MATCHNow is as follows:</w:t>
      </w:r>
    </w:p>
    <w:p>
      <w:pPr>
        <w:spacing w:after="0" w:line="2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 w:lineRule="exact"/>
        <w:rPr>
          <w:sz w:val="20"/>
          <w:szCs w:val="20"/>
          <w:color w:val="auto"/>
        </w:rPr>
      </w:pPr>
    </w:p>
    <w:tbl>
      <w:tblPr>
        <w:tblLayout w:type="fixed"/>
        <w:tblInd w:w="2760" w:type="dxa"/>
        <w:tblCellMar>
          <w:top w:w="0" w:type="dxa"/>
          <w:left w:w="0" w:type="dxa"/>
          <w:bottom w:w="0" w:type="dxa"/>
          <w:right w:w="0" w:type="dxa"/>
        </w:tblCellMar>
      </w:tblPr>
      <w:tr>
        <w:trPr>
          <w:trHeight w:val="207"/>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sale proceeds received</w:t>
            </w:r>
          </w:p>
        </w:tc>
        <w:tc>
          <w:tcPr>
            <w:tcW w:w="86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60,592</w:t>
            </w:r>
          </w:p>
        </w:tc>
        <w:tc>
          <w:tcPr>
            <w:tcW w:w="0" w:type="dxa"/>
            <w:vAlign w:val="bottom"/>
          </w:tcPr>
          <w:p>
            <w:pPr>
              <w:spacing w:after="0"/>
              <w:rPr>
                <w:sz w:val="1"/>
                <w:szCs w:val="1"/>
                <w:color w:val="auto"/>
              </w:rPr>
            </w:pPr>
          </w:p>
        </w:tc>
      </w:tr>
      <w:tr>
        <w:trPr>
          <w:trHeight w:val="157"/>
        </w:trPr>
        <w:tc>
          <w:tcPr>
            <w:tcW w:w="4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Total carrying value of MATCHNow as of MATCHNow</w:t>
            </w:r>
          </w:p>
        </w:tc>
        <w:tc>
          <w:tcPr>
            <w:tcW w:w="860" w:type="dxa"/>
            <w:vAlign w:val="bottom"/>
          </w:tcPr>
          <w:p>
            <w:pPr>
              <w:spacing w:after="0"/>
              <w:rPr>
                <w:sz w:val="13"/>
                <w:szCs w:val="13"/>
                <w:color w:val="auto"/>
              </w:rPr>
            </w:pPr>
          </w:p>
        </w:tc>
        <w:tc>
          <w:tcPr>
            <w:tcW w:w="1280" w:type="dxa"/>
            <w:vAlign w:val="bottom"/>
            <w:vMerge w:val="restart"/>
          </w:tcPr>
          <w:p>
            <w:pPr>
              <w:ind w:left="780"/>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08"/>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MATCHNow</w:t>
            </w:r>
          </w:p>
        </w:tc>
        <w:tc>
          <w:tcPr>
            <w:tcW w:w="860" w:type="dxa"/>
            <w:vAlign w:val="bottom"/>
            <w:shd w:val="clear" w:color="auto" w:fill="CCEEFF"/>
          </w:tcPr>
          <w:p>
            <w:pPr>
              <w:spacing w:after="0"/>
              <w:rPr>
                <w:sz w:val="17"/>
                <w:szCs w:val="17"/>
                <w:color w:val="auto"/>
              </w:rPr>
            </w:pPr>
          </w:p>
        </w:tc>
        <w:tc>
          <w:tcPr>
            <w:tcW w:w="1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58,652</w:t>
            </w:r>
          </w:p>
        </w:tc>
        <w:tc>
          <w:tcPr>
            <w:tcW w:w="0" w:type="dxa"/>
            <w:vAlign w:val="bottom"/>
          </w:tcPr>
          <w:p>
            <w:pPr>
              <w:spacing w:after="0"/>
              <w:rPr>
                <w:sz w:val="1"/>
                <w:szCs w:val="1"/>
                <w:color w:val="auto"/>
              </w:rPr>
            </w:pPr>
          </w:p>
        </w:tc>
      </w:tr>
      <w:tr>
        <w:trPr>
          <w:trHeight w:val="208"/>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MATCHNow, net of transaction costs</w:t>
            </w:r>
          </w:p>
        </w:tc>
        <w:tc>
          <w:tcPr>
            <w:tcW w:w="86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56,199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color w:val="auto"/>
        </w:rPr>
        <w:t>Contingent consideration was eligible to be earned based on the future performance of MATCHNow following the MATCHNow Closing Date. Deferred payments were assessed quarterly until December 31, 2022 and recorded in Other, net on the Consolidated Statements of Comprehensive Income when the contingency is resolved and payments become payable by Cboe. For the year ended December 31, 2022, the Company received $3.9 million related to the continent consideration, , which is recorded in Other, net on the Consolidated Statements of Comprehensive Income for the year ended December 31, 2022. No payments were made regarding the contingent consideration in prior years.</w:t>
      </w:r>
    </w:p>
    <w:p>
      <w:pPr>
        <w:spacing w:after="0" w:line="212" w:lineRule="exact"/>
        <w:rPr>
          <w:sz w:val="20"/>
          <w:szCs w:val="20"/>
          <w:color w:val="auto"/>
        </w:rPr>
      </w:pPr>
    </w:p>
    <w:p>
      <w:pPr>
        <w:ind w:right="120" w:firstLine="629"/>
        <w:spacing w:after="0" w:line="268" w:lineRule="auto"/>
        <w:rPr>
          <w:sz w:val="20"/>
          <w:szCs w:val="20"/>
          <w:color w:val="auto"/>
        </w:rPr>
      </w:pPr>
      <w:r>
        <w:rPr>
          <w:rFonts w:ascii="Times New Roman" w:cs="Times New Roman" w:eastAsia="Times New Roman" w:hAnsi="Times New Roman"/>
          <w:sz w:val="17"/>
          <w:szCs w:val="17"/>
          <w:color w:val="auto"/>
        </w:rPr>
        <w:t>In addition, the Company entered into a Transition Services Agreement ("TSA") with Cboe, pursuant to which the Company agreed to provide certain telecom and general and administrative services for a defined period. Income from performing services under the TSA are recorded in Other, net on the Consolidated Statements of Comprehensive Income.</w:t>
      </w:r>
    </w:p>
    <w:p>
      <w:pPr>
        <w:spacing w:after="0" w:line="183" w:lineRule="exact"/>
        <w:rPr>
          <w:sz w:val="20"/>
          <w:szCs w:val="20"/>
          <w:color w:val="auto"/>
        </w:rPr>
      </w:pPr>
    </w:p>
    <w:p>
      <w:pPr>
        <w:ind w:right="80" w:firstLine="629"/>
        <w:spacing w:after="0" w:line="268" w:lineRule="auto"/>
        <w:rPr>
          <w:sz w:val="20"/>
          <w:szCs w:val="20"/>
          <w:color w:val="auto"/>
        </w:rPr>
      </w:pPr>
      <w:r>
        <w:rPr>
          <w:rFonts w:ascii="Times New Roman" w:cs="Times New Roman" w:eastAsia="Times New Roman" w:hAnsi="Times New Roman"/>
          <w:sz w:val="17"/>
          <w:szCs w:val="17"/>
          <w:color w:val="auto"/>
        </w:rPr>
        <w:t>With the licensing of certain software and intellectual property associated with MATCHNow, the Company performed an assessment of impairment of long-lived intangible assets acquired in connection with the ITG acquisition, of which MATCHNow technology was a component. No impairment was recognized for the year ended December 31, 2020.</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252" w:lineRule="exact"/>
        <w:rPr>
          <w:sz w:val="20"/>
          <w:szCs w:val="20"/>
          <w:color w:val="auto"/>
        </w:rPr>
      </w:pPr>
    </w:p>
    <w:p>
      <w:pPr>
        <w:ind w:right="700"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556,798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996,904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88,466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4"/>
                <w:szCs w:val="14"/>
                <w:color w:val="auto"/>
              </w:rPr>
              <w:t>169,670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827,234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(350,356)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(471,716)</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265,026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4"/>
                <w:szCs w:val="14"/>
                <w:color w:val="auto"/>
              </w:rPr>
              <w:t>476,878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649,197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p>
      <w:pPr>
        <w:spacing w:after="0" w:line="47"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10"/>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265,026</w:t>
            </w: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476,878</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(13,674)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98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Net income available for common stockholders, net of dividends and undistributed earnings allocated to</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255,215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463,204</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631,814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103,997,767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117,339,539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121,692,443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3.95</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10"/>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32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255,215</w:t>
            </w:r>
          </w:p>
        </w:tc>
        <w:tc>
          <w:tcPr>
            <w:tcW w:w="80" w:type="dxa"/>
            <w:vAlign w:val="bottom"/>
          </w:tcPr>
          <w:p>
            <w:pPr>
              <w:spacing w:after="0"/>
              <w:rPr>
                <w:sz w:val="11"/>
                <w:szCs w:val="11"/>
                <w:color w:val="auto"/>
              </w:rPr>
            </w:pPr>
          </w:p>
        </w:tc>
        <w:tc>
          <w:tcPr>
            <w:tcW w:w="34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463,204</w:t>
            </w:r>
          </w:p>
        </w:tc>
        <w:tc>
          <w:tcPr>
            <w:tcW w:w="80" w:type="dxa"/>
            <w:vAlign w:val="bottom"/>
          </w:tcPr>
          <w:p>
            <w:pPr>
              <w:spacing w:after="0"/>
              <w:rPr>
                <w:sz w:val="11"/>
                <w:szCs w:val="11"/>
                <w:color w:val="auto"/>
              </w:rPr>
            </w:pPr>
          </w:p>
        </w:tc>
        <w:tc>
          <w:tcPr>
            <w:tcW w:w="3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631,814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32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Issued and outstanding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103,997,767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117,339,539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121,692,443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80" w:type="dxa"/>
            <w:vAlign w:val="bottom"/>
            <w:gridSpan w:val="2"/>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Amended and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4"/>
                <w:szCs w:val="14"/>
                <w:color w:val="auto"/>
              </w:rPr>
              <w:t>Restated Investment Technology Group, Inc. 2007 Omnibus Equity Compensation Plan, and</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639,747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Warrants issued in connection with the Founder Member Loan</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424,676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1,084,389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104,422,443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118,423,928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122,332,190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8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Tax Receivable Agreements</w:t>
      </w:r>
    </w:p>
    <w:p>
      <w:pPr>
        <w:spacing w:after="0" w:line="252"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IPO and the Reorganization Transactions, the Company entered into tax receivable agreements ("TRA")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Consolidated Statements of Financial Condition, which amounted to $238.8 million and $259.3 million as of December 31, 2022 and December 31, 2021,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and subsequent payments of $12.4 million in September 2018, $13.3 million in March 2020, its $16.5 million in April 2021, and $21.3 million in March 2022.</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96" w:name="page97"/>
    <w:bookmarkEnd w:id="96"/>
    <w:p>
      <w:pPr>
        <w:ind w:right="80"/>
        <w:spacing w:after="0" w:line="265" w:lineRule="auto"/>
        <w:rPr>
          <w:sz w:val="20"/>
          <w:szCs w:val="20"/>
          <w:color w:val="auto"/>
        </w:rPr>
      </w:pPr>
      <w:r>
        <w:rPr>
          <w:rFonts w:ascii="Times New Roman" w:cs="Times New Roman" w:eastAsia="Times New Roman" w:hAnsi="Times New Roman"/>
          <w:sz w:val="17"/>
          <w:szCs w:val="17"/>
          <w:color w:val="auto"/>
        </w:rPr>
        <w:t>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$36.4 thousand to $22.0 million per year over the next 15 years.</w:t>
      </w:r>
    </w:p>
    <w:p>
      <w:pPr>
        <w:spacing w:after="0" w:line="198"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At December 31, 2022 and December 31, 2021, the Company’s remaining deferred tax assets that relate to the matters described above were approximately $162.1 million and $180.4 million, respectively, and the Company’s liabilities over the next 15 years pursuant to the tax receivable agreements were approximately $238.8 million and $259.3 million, respectively. The amounts recorded as of December 31, 2022 and December 31, 2021 are based on best estimates available at the respective dates and may be subject to change after the filing of the Company's federal and state income tax returns for the years in which tax savings are realized.</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Goodwill and Intangible Assets</w:t>
      </w:r>
    </w:p>
    <w:p>
      <w:pPr>
        <w:spacing w:after="0" w:line="252"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December 31, 2022 and December 31, 2021, the Company’s total amount of goodwill recorded was $1,148.9 million. No goodwill impairment was recognized during the years ended December 31, 2022 and 2021.</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December 31, 2022 and December 31, 2021:</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As of December 31, 2022 and December 31, 2021, the Company's total amount of intangible assets recorded was $321.5 million and $386.3 million, respectively. Acquired intangible assets consisted of the following as of December 31, 2022 and December 31, 2021:</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(189,986)</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296,614</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17,881</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97" w:name="page98"/>
    <w:bookmarkEnd w:id="97"/>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(142,142)</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344,458</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33,912</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$64.8 million, $69.7 million and $74.3 million for the years ended December 31, 2022, 2021, and 2020, respectively. This is included in Amortization of purchased intangibles and acquired capitalized software in the accompanying Consolidated Statements of Comprehensive Income.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28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40" w:type="dxa"/>
            <w:vAlign w:val="bottom"/>
          </w:tcPr>
          <w:p>
            <w:pPr>
              <w:spacing w:after="0"/>
              <w:rPr>
                <w:sz w:val="16"/>
                <w:szCs w:val="16"/>
                <w:color w:val="auto"/>
              </w:rPr>
            </w:pPr>
          </w:p>
        </w:tc>
      </w:tr>
      <w:tr>
        <w:trPr>
          <w:trHeight w:val="23"/>
        </w:trPr>
        <w:tc>
          <w:tcPr>
            <w:tcW w:w="25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63,960</w:t>
            </w:r>
          </w:p>
        </w:tc>
      </w:tr>
      <w:tr>
        <w:trPr>
          <w:trHeight w:val="18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20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18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20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901" w:right="5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7.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December 31, 2022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560,111</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287,991</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98,302</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164,195</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290,207</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1,115,185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497,972</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273,843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571,526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160" w:hanging="315"/>
        <w:spacing w:after="0" w:line="295" w:lineRule="auto"/>
        <w:tabs>
          <w:tab w:leader="none" w:pos="27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9 "Borrowings") of approximately $212.9 million and $177.1 million as of December 31, 2022 and December 31, 2021,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Collateralized Transactions</w:t>
      </w:r>
    </w:p>
    <w:p>
      <w:pPr>
        <w:spacing w:after="0" w:line="252" w:lineRule="exact"/>
        <w:rPr>
          <w:sz w:val="20"/>
          <w:szCs w:val="20"/>
          <w:color w:val="auto"/>
        </w:rPr>
      </w:pPr>
    </w:p>
    <w:p>
      <w:pPr>
        <w:ind w:right="44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2022 and December 31, 2021, substantially all of the securities received as collateral have been repledged.</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December 31, 2022 and December 31, 2021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1,148,238</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1,485,087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1,418,723</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2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December 31, 2022 and December 31,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99" w:name="page100"/>
    <w:bookmarkEnd w:id="99"/>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957,443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963,071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61,510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SOFR or base rate plus 1.25% per annum. Borrowing Base B Loans are subject to a sublimit of $200 million and bear interest at the adjusted SOFR or base rate plus 2.50% per annum. A commitment fee of 0.50% per annum on the average daily unused portion of this facility is payable quarterly in arrears.</w:t>
      </w:r>
    </w:p>
    <w:p>
      <w:pPr>
        <w:spacing w:after="0" w:line="205"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19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18 "Capital Structure".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1" w:right="37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2022</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 (1)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2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(1) $0.2 million of deferred debt issuance costs are included within Other assets on the Consolidated Statement of Financial Condition</w:t>
            </w:r>
          </w:p>
        </w:tc>
        <w:tc>
          <w:tcPr>
            <w:tcW w:w="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7"/>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Consolidated Statements of Comprehensive Income.</w:t>
      </w: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4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0"/>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Demand Loan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15"/>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December 31, 2022, there was $3.9 million associated with international settlement activities outstanding under these facilities at a weighted average interest rate of approximately 3.8%. At December 31, 2021, there was $5.1 million associated with international settlement activities outstanding under these facilities at a weighted average interest rate of approximately 4.2%. These short-term bank loan balances are included within Short-term borrowings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2022</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26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7.42%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212,912</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Consolidated Statements of Financial Condition.</w:t>
      </w:r>
    </w:p>
    <w:p>
      <w:pPr>
        <w:spacing w:after="0" w:line="236"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Interest expense in relation to the facilities was $9.3 million, $4.6 million, and $4.8 million and for the years ended December 31, 2022, 2021, and 2020,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1,769,261</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26,691</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1,826,693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1,795,952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1,574,431</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1,630,496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Agreements</w:t>
      </w:r>
    </w:p>
    <w:p>
      <w:pPr>
        <w:spacing w:after="0" w:line="252" w:lineRule="exact"/>
        <w:rPr>
          <w:sz w:val="20"/>
          <w:szCs w:val="20"/>
          <w:color w:val="auto"/>
        </w:rPr>
      </w:pPr>
    </w:p>
    <w:p>
      <w:pPr>
        <w:ind w:right="340"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02" w:name="page103"/>
    <w:bookmarkEnd w:id="102"/>
    <w:p>
      <w:pPr>
        <w:ind w:firstLine="629"/>
        <w:spacing w:after="0" w:line="243" w:lineRule="auto"/>
        <w:rPr>
          <w:sz w:val="20"/>
          <w:szCs w:val="20"/>
          <w:color w:val="auto"/>
        </w:rPr>
      </w:pPr>
      <w:r>
        <w:rPr>
          <w:rFonts w:ascii="Times New Roman" w:cs="Times New Roman" w:eastAsia="Times New Roman" w:hAnsi="Times New Roman"/>
          <w:sz w:val="17"/>
          <w:szCs w:val="17"/>
          <w:color w:val="auto"/>
        </w:rPr>
        <w:t>The Acquisition Credit Agreement provided (i) a senior secured first lien term loan (together with the Acquisition Incremental Term Loans, as defined below; the “Acquisition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On October 9, 2019, VFH entered into an amendment,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7"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42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December 31, 2022, $1,800 million was outstanding under the term loans, and there were no amounts outstanding under the first lien revolving facility.</w:t>
      </w:r>
    </w:p>
    <w:p>
      <w:pPr>
        <w:spacing w:after="0" w:line="177" w:lineRule="exact"/>
        <w:rPr>
          <w:sz w:val="20"/>
          <w:szCs w:val="20"/>
          <w:color w:val="auto"/>
        </w:rPr>
      </w:pPr>
    </w:p>
    <w:p>
      <w:pPr>
        <w:ind w:right="40" w:firstLine="629"/>
        <w:spacing w:after="0" w:line="245" w:lineRule="auto"/>
        <w:rPr>
          <w:sz w:val="20"/>
          <w:szCs w:val="20"/>
          <w:color w:val="auto"/>
        </w:rPr>
      </w:pPr>
      <w:r>
        <w:rPr>
          <w:rFonts w:ascii="Times New Roman" w:cs="Times New Roman" w:eastAsia="Times New Roman" w:hAnsi="Times New Roman"/>
          <w:sz w:val="17"/>
          <w:szCs w:val="17"/>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3" w:name="page104"/>
    <w:bookmarkEnd w:id="103"/>
    <w:p>
      <w:pPr>
        <w:spacing w:after="0" w:line="257" w:lineRule="auto"/>
        <w:rPr>
          <w:sz w:val="20"/>
          <w:szCs w:val="20"/>
          <w:color w:val="auto"/>
        </w:rPr>
      </w:pPr>
      <w:r>
        <w:rPr>
          <w:rFonts w:ascii="Times New Roman" w:cs="Times New Roman" w:eastAsia="Times New Roman" w:hAnsi="Times New Roman"/>
          <w:sz w:val="17"/>
          <w:szCs w:val="17"/>
          <w:color w:val="auto"/>
        </w:rPr>
        <w:t>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w:t>
      </w:r>
    </w:p>
    <w:p>
      <w:pPr>
        <w:spacing w:after="0" w:line="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agreements to SOFR. The effective fixed interest payment obligations remained at 4.5%, with respect to the earlier maturing swap arrangement, and 4.6% with respect to the later maturing swap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2022, the maturity of the SBI Bonds was extended to 2026. The principal balance was ¥3.5 billion ($26.7 million) as of December 31, 2022 and ¥3.5 billion ($30.7 million) as of December 31, 2021. The Company had a gain of $4.0 million, a gain of $3.2 million, and a loss of $1.7 million during the years ended December 31, 2022 2021, and 2020 respectively, due to changes in foreign currency rates.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December 31, 2022,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7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44,693</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90"/>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1,710,000</w:t>
            </w:r>
          </w:p>
        </w:tc>
      </w:tr>
      <w:tr>
        <w:trPr>
          <w:trHeight w:val="221"/>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1,826,693</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4" w:name="page105"/>
    <w:bookmarkEnd w:id="104"/>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1,545,116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2,006,603</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827,654</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803,880</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16,828</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(493,237)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(493,237)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3,667,481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552,641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404,802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957,443</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552,647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410,424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963,071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1,146,701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1,016,893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2,163,594</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837,898</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1,183,394</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1,298,008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3,396,765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4,196,974</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2,273,037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3,238,995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342,292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807,631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2,290,017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1,818,359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3,510,779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December 31, 2022 and December 31,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76,613</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 - 5.0%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15.5% - 15.5%</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(1.2)x - 18.1x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81,358</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 - 32.6%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8.7x - 21.1x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Consolidated Statements of Comprehensive Income.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3887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December</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565"/>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-372745</wp:posOffset>
            </wp:positionV>
            <wp:extent cx="7136130" cy="124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-123825</wp:posOffset>
            </wp:positionV>
            <wp:extent cx="7136130" cy="149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60" w:space="720"/>
            <w:col w:w="894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-80010</wp:posOffset>
            </wp:positionV>
            <wp:extent cx="56807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December</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564"/>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-248285</wp:posOffset>
            </wp:positionV>
            <wp:extent cx="7136130" cy="1244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56807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80710"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-506095</wp:posOffset>
            </wp:positionV>
            <wp:extent cx="7136130" cy="133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60" w:space="720"/>
            <w:col w:w="894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-80010</wp:posOffset>
            </wp:positionV>
            <wp:extent cx="5680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2022:</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981,580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981,580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56,662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56,662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1,187,674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1,187,674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1,187,674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336,999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1,027,917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80,830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30,579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3,702,241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3,702,241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1,038,242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1,795,952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1,783,943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1,783,943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1,060,432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627,549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273,843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46,525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23,776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3,832,021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3,820,012</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3,820,012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-1270</wp:posOffset>
            </wp:positionV>
            <wp:extent cx="41421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80" w:hanging="199"/>
        <w:spacing w:after="0"/>
        <w:tabs>
          <w:tab w:leader="none" w:pos="2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80" w:hanging="199"/>
        <w:spacing w:after="0"/>
        <w:tabs>
          <w:tab w:leader="none" w:pos="2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-220345</wp:posOffset>
            </wp:positionV>
            <wp:extent cx="7061835" cy="124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1" w:right="379" w:bottom="1440" w:gutter="0" w:footer="0" w:header="0"/>
        </w:sectPr>
      </w:pPr>
    </w:p>
    <w:bookmarkStart w:id="108" w:name="page109"/>
    <w:bookmarkEnd w:id="108"/>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 dealer and clearing organizations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3,983,855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Payables to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36130" cy="1244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-336550</wp:posOffset>
            </wp:positionV>
            <wp:extent cx="41503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9" w:name="page110"/>
    <w:bookmarkEnd w:id="109"/>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December 31, 2022 and December 31, 2021:</w:t>
      </w:r>
    </w:p>
    <w:p>
      <w:pPr>
        <w:sectPr>
          <w:pgSz w:w="11900" w:h="16838" w:orient="portrait"/>
          <w:cols w:equalWidth="0" w:num="1">
            <w:col w:w="11220"/>
          </w:cols>
          <w:pgMar w:left="320" w:top="8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160" w:right="260"/>
        <w:spacing w:after="0" w:line="244" w:lineRule="auto"/>
        <w:rPr>
          <w:sz w:val="20"/>
          <w:szCs w:val="20"/>
          <w:color w:val="auto"/>
        </w:rPr>
      </w:pPr>
      <w:r>
        <w:rPr>
          <w:rFonts w:ascii="Times New Roman" w:cs="Times New Roman" w:eastAsia="Times New Roman" w:hAnsi="Times New Roman"/>
          <w:sz w:val="14"/>
          <w:szCs w:val="14"/>
          <w:color w:val="auto"/>
        </w:rPr>
        <w:t>Receivables from broker-dealers and clearing organizations:</w:t>
      </w:r>
    </w:p>
    <w:p>
      <w:pPr>
        <w:ind w:left="24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Trading assets, at fair value:</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Options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Consolidated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Statements of Financial Condition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3"/>
                <w:szCs w:val="13"/>
                <w:color w:val="auto"/>
              </w:rPr>
            </w:pPr>
          </w:p>
        </w:tc>
        <w:tc>
          <w:tcPr>
            <w:tcW w:w="15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4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of Financial 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Financial Condition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1,187,674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1,187,674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(1,148,238)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34,298</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2,117,694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(493,237)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1,624,457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(1,485,087)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130,343</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-1080770</wp:posOffset>
            </wp:positionV>
            <wp:extent cx="7103110" cy="2076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-664845</wp:posOffset>
            </wp:positionV>
            <wp:extent cx="7103110" cy="1244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-415290</wp:posOffset>
            </wp:positionV>
            <wp:extent cx="7103110" cy="1244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-165735</wp:posOffset>
            </wp:positionV>
            <wp:extent cx="7103110" cy="149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-1338580</wp:posOffset>
            </wp:positionV>
            <wp:extent cx="7103110" cy="133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868" w:right="359" w:bottom="1440" w:gutter="0" w:footer="0" w:header="0"/>
          <w:type w:val="continuous"/>
        </w:sect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60" w:type="dxa"/>
            <w:vAlign w:val="bottom"/>
          </w:tcPr>
          <w:p>
            <w:pPr>
              <w:spacing w:after="0"/>
              <w:rPr>
                <w:sz w:val="13"/>
                <w:szCs w:val="13"/>
                <w:color w:val="auto"/>
              </w:rPr>
            </w:pPr>
          </w:p>
        </w:tc>
        <w:tc>
          <w:tcPr>
            <w:tcW w:w="26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Consolidated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5"/>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Statements of Financial 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00" w:type="dxa"/>
            <w:vAlign w:val="bottom"/>
          </w:tcPr>
          <w:p>
            <w:pPr>
              <w:spacing w:after="0"/>
              <w:rPr>
                <w:sz w:val="13"/>
                <w:szCs w:val="13"/>
                <w:color w:val="auto"/>
              </w:rPr>
            </w:pPr>
          </w:p>
        </w:tc>
        <w:tc>
          <w:tcPr>
            <w:tcW w:w="1540" w:type="dxa"/>
            <w:vAlign w:val="bottom"/>
            <w:gridSpan w:val="2"/>
          </w:tcPr>
          <w:p>
            <w:pPr>
              <w:jc w:val="right"/>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6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6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 Statements</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of Financial 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24,270</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627,549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627,549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(497,799)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1,691,870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(1,654,450)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4"/>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Consolidated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Statements of Financial Condition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00" w:type="dxa"/>
            <w:vAlign w:val="bottom"/>
          </w:tcPr>
          <w:p>
            <w:pPr>
              <w:spacing w:after="0"/>
              <w:rPr>
                <w:sz w:val="13"/>
                <w:szCs w:val="13"/>
                <w:color w:val="auto"/>
              </w:rPr>
            </w:pPr>
          </w:p>
        </w:tc>
        <w:tc>
          <w:tcPr>
            <w:tcW w:w="1540" w:type="dxa"/>
            <w:vAlign w:val="bottom"/>
            <w:gridSpan w:val="2"/>
          </w:tcPr>
          <w:p>
            <w:pPr>
              <w:jc w:val="right"/>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 Statements</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of Financial Condition</w:t>
            </w:r>
          </w:p>
        </w:tc>
        <w:tc>
          <w:tcPr>
            <w:tcW w:w="8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of Financial Condition</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loaned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sold under agreements to repurchase</w:t>
      </w:r>
    </w:p>
    <w:p>
      <w:pPr>
        <w:ind w:left="16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5" w:lineRule="exact"/>
        <w:rPr>
          <w:sz w:val="20"/>
          <w:szCs w:val="20"/>
          <w:color w:val="auto"/>
        </w:rPr>
      </w:pPr>
    </w:p>
    <w:p>
      <w:pPr>
        <w:ind w:left="240" w:right="220" w:hanging="78"/>
        <w:spacing w:after="0" w:line="331" w:lineRule="auto"/>
        <w:rPr>
          <w:sz w:val="20"/>
          <w:szCs w:val="20"/>
          <w:color w:val="auto"/>
        </w:rPr>
      </w:pPr>
      <w:r>
        <w:rPr>
          <w:rFonts w:ascii="Times New Roman" w:cs="Times New Roman" w:eastAsia="Times New Roman" w:hAnsi="Times New Roman"/>
          <w:sz w:val="14"/>
          <w:szCs w:val="14"/>
          <w:color w:val="auto"/>
        </w:rPr>
        <w:t>Trading liabilities, at fair value: Currency forwards Options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Consolidated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Statements of Financial Condition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3"/>
                <w:szCs w:val="13"/>
                <w:color w:val="auto"/>
              </w:rPr>
            </w:pPr>
          </w:p>
        </w:tc>
        <w:tc>
          <w:tcPr>
            <w:tcW w:w="15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4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of Financial 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Financial Condition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1,890,975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1,682,619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(1,622,013)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38,126</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-872490</wp:posOffset>
            </wp:positionV>
            <wp:extent cx="7103110" cy="207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-539750</wp:posOffset>
            </wp:positionV>
            <wp:extent cx="7103110" cy="1244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-290195</wp:posOffset>
            </wp:positionV>
            <wp:extent cx="7103110" cy="1244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-1130300</wp:posOffset>
            </wp:positionV>
            <wp:extent cx="7103110" cy="133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160" w:space="580"/>
            <w:col w:w="8480"/>
          </w:cols>
          <w:pgMar w:left="320" w:top="1277" w:right="359" w:bottom="1440" w:gutter="0" w:footer="0" w:header="0"/>
        </w:sect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50"/>
              <w:spacing w:after="0" w:line="130" w:lineRule="exact"/>
              <w:rPr>
                <w:sz w:val="20"/>
                <w:szCs w:val="20"/>
                <w:color w:val="auto"/>
              </w:rPr>
            </w:pPr>
            <w:r>
              <w:rPr>
                <w:rFonts w:ascii="Times New Roman" w:cs="Times New Roman" w:eastAsia="Times New Roman" w:hAnsi="Times New Roman"/>
                <w:sz w:val="14"/>
                <w:szCs w:val="14"/>
                <w:b w:val="1"/>
                <w:bCs w:val="1"/>
                <w:color w:val="auto"/>
                <w:w w:val="95"/>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227,549</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627,549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1,060,432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7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7"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t>11. Derivative Instruments</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December 31, 2022 and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663,110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406,420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(31,007)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7,597,057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(24,405)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5,285,216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7,460,531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4,760,173</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30,292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691,737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1,063,686</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30,286,330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21,445,374</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3,238,651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1,362,684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39,046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27,224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725,162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123,043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120,212</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1,066,801</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30,284,952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21,446,422</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Consolidated Statements of Comprehensive Income for the years ended December 31, 2022, 2021 and 2020.</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112" w:name="page113"/>
    <w:bookmarkEnd w:id="112"/>
    <w:tbl>
      <w:tblPr>
        <w:tblLayout w:type="fixed"/>
        <w:tblInd w:w="10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2"/>
        </w:trPr>
        <w:tc>
          <w:tcPr>
            <w:tcW w:w="288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257,258</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283,482</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249,856</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84,695</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on term loan</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298,210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378,516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326,444</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(1)</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106,329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(69,462)</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106,329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(69,462)</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5"/>
        <w:spacing w:after="0" w:line="269" w:lineRule="auto"/>
        <w:tabs>
          <w:tab w:leader="none" w:pos="19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Consolidated Statements of Comprehensive Income beginning in the first quarter of 2020.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Variable Interest Entities</w:t>
      </w:r>
    </w:p>
    <w:p>
      <w:pPr>
        <w:spacing w:after="0" w:line="34" w:lineRule="exact"/>
        <w:rPr>
          <w:sz w:val="20"/>
          <w:szCs w:val="20"/>
          <w:color w:val="auto"/>
        </w:rPr>
      </w:pPr>
    </w:p>
    <w:p>
      <w:pPr>
        <w:jc w:val="both"/>
        <w:ind w:right="16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300" w:firstLine="629"/>
        <w:spacing w:after="0" w:line="270" w:lineRule="auto"/>
        <w:rPr>
          <w:sz w:val="20"/>
          <w:szCs w:val="20"/>
          <w:color w:val="auto"/>
        </w:rPr>
      </w:pPr>
      <w:r>
        <w:rPr>
          <w:rFonts w:ascii="Times New Roman" w:cs="Times New Roman" w:eastAsia="Times New Roman" w:hAnsi="Times New Roman"/>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December 31, 2022, the Company held noncontrolling interests of 11.1% and 50.0%, respectively, in these JVs.</w:t>
      </w:r>
    </w:p>
    <w:p>
      <w:pPr>
        <w:spacing w:after="0" w:line="19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December 31, 2022, the Company held approximately a 9.8% noncontrolling interest in this JV.</w:t>
      </w:r>
    </w:p>
    <w:p>
      <w:pPr>
        <w:spacing w:after="0" w:line="173" w:lineRule="exact"/>
        <w:rPr>
          <w:sz w:val="20"/>
          <w:szCs w:val="20"/>
          <w:color w:val="auto"/>
        </w:rPr>
      </w:pPr>
    </w:p>
    <w:p>
      <w:pPr>
        <w:jc w:val="both"/>
        <w:ind w:right="2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December 31, 2022, the Company held approximately a 14.9% noncontrolling interest in this JV.</w:t>
      </w:r>
    </w:p>
    <w:p>
      <w:pPr>
        <w:spacing w:after="0" w:line="190" w:lineRule="exact"/>
        <w:rPr>
          <w:sz w:val="20"/>
          <w:szCs w:val="20"/>
          <w:color w:val="auto"/>
        </w:rPr>
      </w:pPr>
    </w:p>
    <w:p>
      <w:pPr>
        <w:jc w:val="both"/>
        <w:ind w:right="340" w:firstLine="629"/>
        <w:spacing w:after="0" w:line="276" w:lineRule="auto"/>
        <w:rPr>
          <w:sz w:val="20"/>
          <w:szCs w:val="20"/>
          <w:color w:val="auto"/>
        </w:rPr>
      </w:pPr>
      <w:r>
        <w:rPr>
          <w:rFonts w:ascii="Times New Roman" w:cs="Times New Roman" w:eastAsia="Times New Roman" w:hAnsi="Times New Roman"/>
          <w:sz w:val="17"/>
          <w:szCs w:val="17"/>
          <w:color w:val="auto"/>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December 31, 2022, the Company held approximately a 9.3% noncontrolling interest in this JV.</w:t>
      </w:r>
    </w:p>
    <w:p>
      <w:pPr>
        <w:spacing w:after="0" w:line="190"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96"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2022:</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2021:</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80" w:firstLine="629"/>
        <w:spacing w:after="0" w:line="270" w:lineRule="auto"/>
        <w:rPr>
          <w:sz w:val="20"/>
          <w:szCs w:val="20"/>
          <w:color w:val="auto"/>
        </w:rPr>
      </w:pPr>
      <w:r>
        <w:rPr>
          <w:rFonts w:ascii="Times New Roman" w:cs="Times New Roman" w:eastAsia="Times New Roman" w:hAnsi="Times New Roman"/>
          <w:sz w:val="17"/>
          <w:szCs w:val="17"/>
          <w:color w:val="auto"/>
        </w:rPr>
        <w:t>During the second quarter of 2022, the Company formed a JV to support the growth and expansion of a multi-asset request-for-quote communication platform. As of December 31, 2022, the Company held a 51% controlling interest in this entity. Based on the standard for control set forth above, this JV meets the criteria to be considered a VIE, and the Company consolidates this entity and records the interest that the Company does not own as noncontrolling interest in the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Revenues from Contracts with Customers</w:t>
      </w:r>
    </w:p>
    <w:p>
      <w:pPr>
        <w:spacing w:after="0" w:line="25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i w:val="1"/>
          <w:iCs w:val="1"/>
          <w:color w:val="auto"/>
        </w:rPr>
        <w:t>Commissions, net</w:t>
      </w:r>
      <w:r>
        <w:rPr>
          <w:rFonts w:ascii="Times New Roman" w:cs="Times New Roman" w:eastAsia="Times New Roman" w:hAnsi="Times New Roman"/>
          <w:sz w:val="17"/>
          <w:szCs w:val="17"/>
          <w:color w:val="auto"/>
        </w:rPr>
        <w:t>. The Company earns commission revenue by acting as an agent on behalf of customers. The Company’s performance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 of trade execution and clearing services and are satisfied on the trade date; accordingly, commission revenues are recorded on the trade date. Commission revenues are received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198" w:lineRule="exact"/>
        <w:rPr>
          <w:sz w:val="20"/>
          <w:szCs w:val="20"/>
          <w:color w:val="auto"/>
        </w:rPr>
      </w:pPr>
    </w:p>
    <w:p>
      <w:pPr>
        <w:ind w:right="88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Workflow technology</w:t>
      </w:r>
      <w:r>
        <w:rPr>
          <w:rFonts w:ascii="Times New Roman" w:cs="Times New Roman" w:eastAsia="Times New Roman" w:hAnsi="Times New Roman"/>
          <w:sz w:val="17"/>
          <w:szCs w:val="17"/>
          <w:color w:val="auto"/>
        </w:rPr>
        <w:t>. Through its front-end workflow solutions and network capabilities, the Company provides order and trade execution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and order routing services.</w:t>
      </w:r>
    </w:p>
    <w:p>
      <w:pPr>
        <w:spacing w:after="0" w:line="170"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9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participates in commission sharing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9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2"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i w:val="1"/>
          <w:iCs w:val="1"/>
          <w:color w:val="auto"/>
        </w:rPr>
        <w:t>Analytics</w:t>
      </w:r>
      <w:r>
        <w:rPr>
          <w:rFonts w:ascii="Times New Roman" w:cs="Times New Roman" w:eastAsia="Times New Roman" w:hAnsi="Times New Roman"/>
          <w:sz w:val="17"/>
          <w:szCs w:val="17"/>
          <w:color w:val="auto"/>
        </w:rPr>
        <w:t>. The Company provides customers with analytics products and services, including trading and portfolio analytics tools.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14" w:name="page115"/>
    <w:bookmarkEnd w:id="114"/>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90" w:lineRule="exact"/>
        <w:rPr>
          <w:sz w:val="20"/>
          <w:szCs w:val="20"/>
          <w:color w:val="auto"/>
        </w:rPr>
      </w:pPr>
    </w:p>
    <w:p>
      <w:pPr>
        <w:ind w:firstLine="634"/>
        <w:spacing w:after="0" w:line="296" w:lineRule="auto"/>
        <w:tabs>
          <w:tab w:leader="none" w:pos="83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spacing w:after="0" w:line="172" w:lineRule="exact"/>
        <w:rPr>
          <w:rFonts w:ascii="Times New Roman" w:cs="Times New Roman" w:eastAsia="Times New Roman" w:hAnsi="Times New Roman"/>
          <w:sz w:val="17"/>
          <w:szCs w:val="17"/>
          <w:color w:val="auto"/>
        </w:rPr>
      </w:pPr>
    </w:p>
    <w:p>
      <w:pPr>
        <w:ind w:left="900" w:hanging="266"/>
        <w:spacing w:after="0"/>
        <w:tabs>
          <w:tab w:leader="none" w:pos="9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25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by timing of revenue recognition, reconciled to the Company’s segments,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356,090</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398,270</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91,667</w:t>
            </w: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39,908</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487,665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529,845</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1,770,659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1,834,967</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444,483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2,295,054</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69,758</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514,241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5" w:name="page116"/>
    <w:bookmarkEnd w:id="115"/>
    <w:tbl>
      <w:tblPr>
        <w:tblLayout w:type="fixed"/>
        <w:tblInd w:w="6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433,755</w:t>
            </w:r>
          </w:p>
        </w:tc>
        <w:tc>
          <w:tcPr>
            <w:tcW w:w="100" w:type="dxa"/>
            <w:vAlign w:val="bottom"/>
          </w:tcPr>
          <w:p>
            <w:pPr>
              <w:spacing w:after="0"/>
              <w:rPr>
                <w:sz w:val="16"/>
                <w:szCs w:val="16"/>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474,710</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98,486</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41,293</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573,534</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614,489</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2,162,091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8,224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2,196,996</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600,215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8,224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2,811,485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525,960</w:t>
            </w:r>
          </w:p>
        </w:tc>
        <w:tc>
          <w:tcPr>
            <w:tcW w:w="100" w:type="dxa"/>
            <w:vAlign w:val="bottom"/>
          </w:tcPr>
          <w:p>
            <w:pPr>
              <w:spacing w:after="0"/>
              <w:rPr>
                <w:sz w:val="16"/>
                <w:szCs w:val="16"/>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8,224</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2,737,230</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74,255</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600,215</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8,224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2,811,485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405,698</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458,151</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41,148</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548,057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600,510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2,540,889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2,638,821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575,846</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3,165,034</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74,297</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520" w:firstLine="629"/>
        <w:spacing w:after="0" w:line="296" w:lineRule="auto"/>
        <w:rPr>
          <w:sz w:val="20"/>
          <w:szCs w:val="20"/>
          <w:color w:val="auto"/>
        </w:rPr>
      </w:pPr>
      <w:r>
        <w:rPr>
          <w:rFonts w:ascii="Times New Roman" w:cs="Times New Roman" w:eastAsia="Times New Roman" w:hAnsi="Times New Roman"/>
          <w:sz w:val="17"/>
          <w:szCs w:val="17"/>
          <w:color w:val="auto"/>
        </w:rPr>
        <w:t>As of December 31, 2022 and 2021,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$56.1 million and $51.5 million as of December 31, 2022 and December 31, 2021, respectively. The Company did not identify any contract assets. There were no impairment losses on receivables as of December 31, 2022.</w:t>
      </w:r>
    </w:p>
    <w:p>
      <w:pPr>
        <w:spacing w:after="0" w:line="173"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$9.6 million and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116" w:name="page117"/>
    <w:bookmarkEnd w:id="116"/>
    <w:p>
      <w:pPr>
        <w:spacing w:after="0" w:line="296" w:lineRule="auto"/>
        <w:rPr>
          <w:sz w:val="20"/>
          <w:szCs w:val="20"/>
          <w:color w:val="auto"/>
        </w:rPr>
      </w:pPr>
      <w:r>
        <w:rPr>
          <w:rFonts w:ascii="Times New Roman" w:cs="Times New Roman" w:eastAsia="Times New Roman" w:hAnsi="Times New Roman"/>
          <w:sz w:val="17"/>
          <w:szCs w:val="17"/>
          <w:color w:val="auto"/>
        </w:rPr>
        <w:t>$9.2 million as of December 31, 2022 and December 31, 2021, respectively. The Company recognized the full amount of revenue during the years ended December 31, 2022 and 2021, that had been recorded as deferred revenue in the respective prior year.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Income before income taxes and noncontrolling interest is as follows for the years ended December 31, 2022, 2021, and 2020:</w:t>
      </w:r>
    </w:p>
    <w:p>
      <w:pPr>
        <w:spacing w:after="0" w:line="4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44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9"/>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U.S. operations</w:t>
            </w:r>
          </w:p>
        </w:tc>
        <w:tc>
          <w:tcPr>
            <w:tcW w:w="9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426,902</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804,358</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1,214,282</w:t>
            </w:r>
          </w:p>
        </w:tc>
      </w:tr>
      <w:tr>
        <w:trPr>
          <w:trHeight w:val="20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operations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168,555</w:t>
            </w:r>
          </w:p>
        </w:tc>
      </w:tr>
      <w:tr>
        <w:trPr>
          <w:trHeight w:val="183"/>
        </w:trPr>
        <w:tc>
          <w:tcPr>
            <w:tcW w:w="4440" w:type="dxa"/>
            <w:vAlign w:val="bottom"/>
          </w:tcPr>
          <w:p>
            <w:pPr>
              <w:spacing w:after="0"/>
              <w:rPr>
                <w:sz w:val="15"/>
                <w:szCs w:val="15"/>
                <w:color w:val="auto"/>
              </w:rPr>
            </w:pPr>
          </w:p>
        </w:tc>
        <w:tc>
          <w:tcPr>
            <w:tcW w:w="9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556,798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996,904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1,382,837</w:t>
            </w:r>
          </w:p>
        </w:tc>
      </w:tr>
      <w:tr>
        <w:trPr>
          <w:trHeight w:val="26"/>
        </w:trPr>
        <w:tc>
          <w:tcPr>
            <w:tcW w:w="4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provision for income taxes consists of the following for the years ended December 31, 2022, 2021, and 2020:</w:t>
      </w:r>
    </w:p>
    <w:p>
      <w:pPr>
        <w:spacing w:after="0" w:line="47"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2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 (benefit)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40,887</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80,203</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148,034</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 and Local</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52,040</w:t>
            </w:r>
          </w:p>
        </w:tc>
        <w:tc>
          <w:tcPr>
            <w:tcW w:w="0" w:type="dxa"/>
            <w:vAlign w:val="bottom"/>
          </w:tcPr>
          <w:p>
            <w:pPr>
              <w:spacing w:after="0"/>
              <w:rPr>
                <w:sz w:val="1"/>
                <w:szCs w:val="1"/>
                <w:color w:val="auto"/>
              </w:rPr>
            </w:pPr>
          </w:p>
        </w:tc>
      </w:tr>
      <w:tr>
        <w:trPr>
          <w:trHeight w:val="189"/>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37,474</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provision (benefit)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26,255</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 and Local</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260" w:firstLine="629"/>
        <w:spacing w:after="0" w:line="277" w:lineRule="auto"/>
        <w:rPr>
          <w:sz w:val="20"/>
          <w:szCs w:val="20"/>
          <w:color w:val="auto"/>
        </w:rPr>
      </w:pPr>
      <w:r>
        <w:rPr>
          <w:rFonts w:ascii="Times New Roman" w:cs="Times New Roman" w:eastAsia="Times New Roman" w:hAnsi="Times New Roman"/>
          <w:sz w:val="17"/>
          <w:szCs w:val="17"/>
          <w:color w:val="auto"/>
        </w:rPr>
        <w:t>The reconciliation of the tax provision at the U.S. federal statutory rate to the provision for income taxes for the years ended December 31, 2022, 2021, and 2020 is as follows:</w:t>
      </w:r>
    </w:p>
    <w:p>
      <w:pPr>
        <w:spacing w:after="0" w:line="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7"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3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provision at the U.S. federal statutory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204"/>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rate attributable to noncontrolling interest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and local taxes, net of federal benefit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204"/>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Excess tax benefit(deficiency) from share based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tax credits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18.9 %</w:t>
            </w:r>
          </w:p>
        </w:tc>
      </w:tr>
      <w:tr>
        <w:trPr>
          <w:trHeight w:val="20"/>
        </w:trPr>
        <w:tc>
          <w:tcPr>
            <w:tcW w:w="4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the deferred tax assets and liabilities as of December 31, 2022, and 2021 are as follows:</w:t>
      </w:r>
    </w:p>
    <w:p>
      <w:pPr>
        <w:spacing w:after="0" w:line="200" w:lineRule="exact"/>
        <w:rPr>
          <w:sz w:val="20"/>
          <w:szCs w:val="20"/>
          <w:color w:val="auto"/>
        </w:rPr>
      </w:pPr>
    </w:p>
    <w:p>
      <w:pPr>
        <w:spacing w:after="0" w:line="35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320" w:top="868" w:right="879" w:bottom="1440" w:gutter="0" w:footer="0" w:header="0"/>
        </w:sectPr>
      </w:pPr>
    </w:p>
    <w:bookmarkStart w:id="117" w:name="page118"/>
    <w:bookmarkEnd w:id="117"/>
    <w:tbl>
      <w:tblPr>
        <w:tblLayout w:type="fixed"/>
        <w:tblInd w:w="110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income tax 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Tax Receivable Agreement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162,098</w:t>
            </w:r>
          </w:p>
        </w:tc>
        <w:tc>
          <w:tcPr>
            <w:tcW w:w="100" w:type="dxa"/>
            <w:vAlign w:val="bottom"/>
          </w:tcPr>
          <w:p>
            <w:pPr>
              <w:spacing w:after="0"/>
              <w:rPr>
                <w:sz w:val="16"/>
                <w:szCs w:val="16"/>
                <w:color w:val="auto"/>
              </w:rPr>
            </w:pPr>
          </w:p>
        </w:tc>
        <w:tc>
          <w:tcPr>
            <w:tcW w:w="4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180,376</w:t>
            </w: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15,934</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and other</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12,989</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Tax credits and net operating loss carryforwards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58,801</w:t>
            </w: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Valuation allowance on net operating loss carryforwards and tax credits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190,809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211,559</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income tax liabilities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53,106</w:t>
            </w: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Fixed assets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years ended December 31, 2022, 2021 and 2020,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spacing w:after="0" w:line="200" w:lineRule="exact"/>
        <w:rPr>
          <w:sz w:val="20"/>
          <w:szCs w:val="20"/>
          <w:color w:val="auto"/>
        </w:rPr>
      </w:pPr>
    </w:p>
    <w:p>
      <w:pPr>
        <w:spacing w:after="0" w:line="210"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Included in Other assets on the Consolidated Statements of Financial Condition at December 31, 2022 and December 31, 2021 are current income tax receivables of $54.1 million and $37.2 million, respectively. These balances primarily comprise income tax benefits due to the Company from federal, state and local, and foreign tax jurisdictions based on income before taxes. Included in Accounts payable, accrued expenses and other liabilities on the Consolidated Statements of Financial Condition at December 31, 2022 and December 31, 2021 are current tax liabilities of $13.4 million and $16.8 million, respectively. These balances primarily comprise income taxes owed to federal, state and local, and foreign tax jurisdictions based on income before taxes.</w:t>
      </w:r>
    </w:p>
    <w:p>
      <w:pPr>
        <w:spacing w:after="0" w:line="196"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5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90"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December 31, 2022, the Company did not have any U.S. federal net operating loss carryforwards and therefore the Company did not record a deferred tax asset related to any federal net operating loss carryforwards. At December 31, 2022,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203"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As a result of the ITG Acquisition, the Company has non-U.S. net operating losses at December 31, 2022, 2021 and of $64.6 million and $67.2 million, respectively, and has recorded a related deferred tax asset of $12.4 million and $13.4 million, respectively. A valuation allowance of $12.4 million and</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$13.3 million was recorded against this deferred tax asset at December 31, 2022 and 2021, respectively, as it is more likely than not that a portion of this deferred tax asset will not be realized. As a result of the Acquisition of KCG, the Company has non-U.S. net operating losses at December 31, 2022 and 2021 of $239.3 million and $239.3 million, respectively, and recorded a related deferred tax asset of $44.9 million in both years. A full valuation allowance was also recorded against this deferred tax asset at December 31, 2022 and 2021 as it is more likely than not that this deferred tax asset will not be realized. No valuation allowance against the remaining deferred taxes was recorded as of December 31, 2022 and 2021 because it is more likely than not that these deferred tax assets will be fully realized.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18" w:name="page119"/>
    <w:bookmarkEnd w:id="118"/>
    <w:p>
      <w:pPr>
        <w:ind w:firstLine="629"/>
        <w:spacing w:after="0" w:line="266"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a result of the ITG Acquisition and the Acquisition of KCG, the Company has assumed any ITG and KCG tax exposures. As of December 31, 2022, the Company’s tax years for 2015 through 2021 and 2017 through 2021 are subject to examination by U.S. and non-U.S. tax authorities, respectively. In addition, the Company is subject to state and local income tax examinations in various jurisdictions for the tax years 2013 through 2021. The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Statements of Comprehensive Income.</w:t>
      </w:r>
    </w:p>
    <w:p>
      <w:pPr>
        <w:spacing w:after="0" w:line="190"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$6.6 million of unrecognized tax benefits as of December 31, 2022, all of which would affect the Company’s effective tax rate if recognized. The Company has determined that there are no uncertain tax positions that would have a material impact on the Company’s financial position as of December 31, 2022.</w:t>
      </w:r>
    </w:p>
    <w:p>
      <w:pPr>
        <w:spacing w:after="0" w:line="190" w:lineRule="exact"/>
        <w:rPr>
          <w:sz w:val="20"/>
          <w:szCs w:val="20"/>
          <w:color w:val="auto"/>
        </w:rPr>
      </w:pPr>
    </w:p>
    <w:p>
      <w:pPr>
        <w:jc w:val="both"/>
        <w:ind w:right="80" w:firstLine="629"/>
        <w:spacing w:after="0" w:line="277" w:lineRule="auto"/>
        <w:rPr>
          <w:sz w:val="20"/>
          <w:szCs w:val="20"/>
          <w:color w:val="auto"/>
        </w:rPr>
      </w:pPr>
      <w:r>
        <w:rPr>
          <w:rFonts w:ascii="Times New Roman" w:cs="Times New Roman" w:eastAsia="Times New Roman" w:hAnsi="Times New Roman"/>
          <w:sz w:val="17"/>
          <w:szCs w:val="17"/>
          <w:color w:val="auto"/>
        </w:rPr>
        <w:t>The table below presents the changes in the liability for unrecognized tax benefits. This liability is included in Accounts payable and accrued expenses and other liabilities on the Consolidated Statements of Financial Condition.</w:t>
      </w:r>
    </w:p>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184"/>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r>
      <w:tr>
        <w:trPr>
          <w:trHeight w:val="189"/>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204"/>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8,577</w:t>
            </w:r>
          </w:p>
        </w:tc>
      </w:tr>
      <w:tr>
        <w:trPr>
          <w:trHeight w:val="204"/>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90"/>
        </w:trPr>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6,297</w:t>
            </w:r>
          </w:p>
        </w:tc>
      </w:tr>
      <w:tr>
        <w:trPr>
          <w:trHeight w:val="189"/>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96"/>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6,614</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Proceedings</w:t>
      </w:r>
    </w:p>
    <w:p>
      <w:pPr>
        <w:spacing w:after="0" w:line="254" w:lineRule="exact"/>
        <w:rPr>
          <w:sz w:val="20"/>
          <w:szCs w:val="20"/>
          <w:color w:val="auto"/>
        </w:rPr>
      </w:pPr>
    </w:p>
    <w:p>
      <w:pPr>
        <w:jc w:val="both"/>
        <w:ind w:right="60" w:firstLine="629"/>
        <w:spacing w:after="0" w:line="267"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including, among others, a matter in which the Company has been responding to requests for information from the U.S. Securities and Exchange Commission in connection with an investigation of aspects of the Company’s information access barriers. The Company is cooperating with this civil investigation.</w:t>
      </w:r>
    </w:p>
    <w:p>
      <w:pPr>
        <w:spacing w:after="0" w:line="183" w:lineRule="exact"/>
        <w:rPr>
          <w:sz w:val="20"/>
          <w:szCs w:val="20"/>
          <w:color w:val="auto"/>
        </w:rPr>
      </w:pPr>
    </w:p>
    <w:p>
      <w:pPr>
        <w:ind w:right="80" w:firstLine="629"/>
        <w:spacing w:after="0" w:line="243" w:lineRule="auto"/>
        <w:rPr>
          <w:sz w:val="20"/>
          <w:szCs w:val="20"/>
          <w:color w:val="auto"/>
        </w:rPr>
      </w:pPr>
      <w:r>
        <w:rPr>
          <w:rFonts w:ascii="Times New Roman" w:cs="Times New Roman" w:eastAsia="Times New Roman" w:hAnsi="Times New Roman"/>
          <w:sz w:val="17"/>
          <w:szCs w:val="17"/>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9" w:name="page120"/>
    <w:bookmarkEnd w:id="119"/>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spacing w:after="0" w:line="185" w:lineRule="exact"/>
        <w:rPr>
          <w:sz w:val="20"/>
          <w:szCs w:val="20"/>
          <w:color w:val="auto"/>
        </w:rPr>
      </w:pPr>
    </w:p>
    <w:p>
      <w:pPr>
        <w:ind w:right="20" w:firstLine="629"/>
        <w:spacing w:after="0" w:line="249"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On October 17, 2022, the Company’s subsidiary, along with several other parties, was named as a defendant in </w:t>
      </w:r>
      <w:r>
        <w:rPr>
          <w:rFonts w:ascii="Times New Roman" w:cs="Times New Roman" w:eastAsia="Times New Roman" w:hAnsi="Times New Roman"/>
          <w:sz w:val="17"/>
          <w:szCs w:val="17"/>
          <w:i w:val="1"/>
          <w:iCs w:val="1"/>
          <w:color w:val="auto"/>
        </w:rPr>
        <w:t>Mallinckrodt PLC, et al. (Reorganized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Debtors); Opiod Master Disbursement Trust II v. Argos Capital Appreciation Master Fund LP et al </w:t>
      </w:r>
      <w:r>
        <w:rPr>
          <w:rFonts w:ascii="Times New Roman" w:cs="Times New Roman" w:eastAsia="Times New Roman" w:hAnsi="Times New Roman"/>
          <w:sz w:val="17"/>
          <w:szCs w:val="17"/>
          <w:color w:val="auto"/>
        </w:rPr>
        <w:t>No. 20-12522. The complaint alleges that Mallinckrodt PLC</w:t>
      </w:r>
    </w:p>
    <w:p>
      <w:pPr>
        <w:spacing w:after="0" w:line="1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engaged in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that the claims are without merit and is defending itself vigorously.</w:t>
      </w:r>
    </w:p>
    <w:p>
      <w:pPr>
        <w:spacing w:after="0" w:line="186" w:lineRule="exact"/>
        <w:rPr>
          <w:sz w:val="20"/>
          <w:szCs w:val="20"/>
          <w:color w:val="auto"/>
        </w:rPr>
      </w:pPr>
    </w:p>
    <w:p>
      <w:pPr>
        <w:ind w:right="20" w:firstLine="629"/>
        <w:spacing w:after="0" w:line="248" w:lineRule="auto"/>
        <w:rPr>
          <w:sz w:val="20"/>
          <w:szCs w:val="20"/>
          <w:color w:val="auto"/>
        </w:rPr>
      </w:pPr>
      <w:r>
        <w:rPr>
          <w:rFonts w:ascii="Times New Roman" w:cs="Times New Roman" w:eastAsia="Times New Roman" w:hAnsi="Times New Roman"/>
          <w:sz w:val="17"/>
          <w:szCs w:val="17"/>
          <w:color w:val="auto"/>
        </w:rPr>
        <w:t>On December 1, 2022, the Company’s subsidiary, along with several other parties, was named as a defendant in Northwest Biotherapeutics, Inc. v. Canaccord Genuity LLC, et al No. 1:22-cv-10185. The complaint alleges that defendants engaged in market manipulation in the plaintiff’s stock during a period from 2018 to 2022. The complaint did not specify the amount of alleged damages.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right="40" w:firstLine="629"/>
        <w:spacing w:after="0" w:line="241"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the SEC has proposed several rule changes focused on equity market structure reform in 2022.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If adopted, these or other potential rule changes could adversely affect the Company’s business or the Company’s industry.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27"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spacing w:after="0" w:line="198"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16. Leases</w:t>
      </w:r>
    </w:p>
    <w:p>
      <w:pPr>
        <w:spacing w:after="0" w:line="25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Company's leases are primarily for corporate office space, datacenters, and technology equipment. The leases have remaining terms of 1 to 10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98" w:lineRule="exact"/>
        <w:rPr>
          <w:sz w:val="20"/>
          <w:szCs w:val="20"/>
          <w:color w:val="auto"/>
        </w:rPr>
      </w:pPr>
    </w:p>
    <w:p>
      <w:pPr>
        <w:ind w:right="400" w:firstLine="629"/>
        <w:spacing w:after="0" w:line="276" w:lineRule="auto"/>
        <w:rPr>
          <w:sz w:val="20"/>
          <w:szCs w:val="20"/>
          <w:color w:val="auto"/>
        </w:rPr>
      </w:pPr>
      <w:r>
        <w:rPr>
          <w:rFonts w:ascii="Times New Roman" w:cs="Times New Roman" w:eastAsia="Times New Roman" w:hAnsi="Times New Roman"/>
          <w:sz w:val="17"/>
          <w:szCs w:val="17"/>
          <w:color w:val="auto"/>
        </w:rPr>
        <w:t>The Company also subleases certain office space and facilities to third parties. The subleases have remaining terms of 1 to 9 years. The Company recognizes amounts received from subleases on a straight-line basis over the term of the sublease within Operations and administrative expense on the Consolidated Statements of Comprehensive Income.</w:t>
      </w:r>
    </w:p>
    <w:p>
      <w:pPr>
        <w:spacing w:after="0" w:line="190"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As the implied discount rate for most of the Company's leases is not readily determinable, the Company uses its incremental borrowing rate on its secured borrowings in determining the present value of lease payments.</w:t>
      </w:r>
    </w:p>
    <w:p>
      <w:pPr>
        <w:spacing w:after="0" w:line="173"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2021, the company ceased use of certain office lease premises as part of efforts to consolidate office space. For the year ended December 31, 2021, the Company recognized $28.1 million in Termination of office leases on the Consolidated Statement of Comprehensive Income, primarily related to the move of our global headquarters, comprising $9.6 million impairments of ROU assets, $17.6 million of write-off of leasehold improvements and fixed assets, and $1 million of dilapidation charges.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200"/>
          </w:cols>
          <w:pgMar w:left="320" w:top="970" w:right="37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8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0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187,442</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225,328</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278,745</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-774700</wp:posOffset>
            </wp:positionV>
            <wp:extent cx="7028180" cy="1244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-483235</wp:posOffset>
            </wp:positionV>
            <wp:extent cx="7028180" cy="1244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-233680</wp:posOffset>
            </wp:positionV>
            <wp:extent cx="7028180" cy="1244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-1032510</wp:posOffset>
            </wp:positionV>
            <wp:extent cx="702818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40"/>
          </w:cols>
          <w:pgMar w:left="320" w:top="970" w:right="37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6.21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years</w:t>
            </w: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2.84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years</w:t>
            </w: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r>
      <w:tr>
        <w:trPr>
          <w:trHeight w:val="182"/>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type w:val="continuous"/>
        </w:sectPr>
      </w:pPr>
    </w:p>
    <w:bookmarkStart w:id="122" w:name="page123"/>
    <w:bookmarkEnd w:id="122"/>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283"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72,749</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74,699</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73,624</w:t>
            </w:r>
          </w:p>
        </w:tc>
        <w:tc>
          <w:tcPr>
            <w:tcW w:w="0" w:type="dxa"/>
            <w:vAlign w:val="bottom"/>
          </w:tcPr>
          <w:p>
            <w:pPr>
              <w:spacing w:after="0"/>
              <w:rPr>
                <w:sz w:val="1"/>
                <w:szCs w:val="1"/>
                <w:color w:val="auto"/>
              </w:rPr>
            </w:pPr>
          </w:p>
        </w:tc>
      </w:tr>
      <w:tr>
        <w:trPr>
          <w:trHeight w:val="204"/>
        </w:trPr>
        <w:tc>
          <w:tcPr>
            <w:tcW w:w="3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190"/>
        </w:trPr>
        <w:tc>
          <w:tcPr>
            <w:tcW w:w="3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Impairment of ROU Asset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84,098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90,552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19,679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16,437</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cost: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7,685</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0" w:type="dxa"/>
            <w:vAlign w:val="bottom"/>
          </w:tcPr>
          <w:p>
            <w:pPr>
              <w:spacing w:after="0"/>
              <w:rPr>
                <w:sz w:val="1"/>
                <w:szCs w:val="1"/>
                <w:color w:val="auto"/>
              </w:rPr>
            </w:pPr>
          </w:p>
        </w:tc>
      </w:tr>
      <w:tr>
        <w:trPr>
          <w:trHeight w:val="204"/>
        </w:trPr>
        <w:tc>
          <w:tcPr>
            <w:tcW w:w="3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8,051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See Note 2 "Summary of Significant Accounting Policies" in Part II Item 8 “Financial Statements and Supplementary Data” of this Form 10-K for details on the classification of these expenses in the Consolidated Statements of Comprehensive Income.</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December 31, 2022,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71,193</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284,405</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16,406</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239,202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15,323</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color w:val="auto"/>
        </w:rPr>
        <w:t>as reported within the Consolidated Statements of Financial Condition to the sum of the same such amounts shown in the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1,071,463</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49,490</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1,120,953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18. Capital Structure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85.2% of the combined voting power of our common stock as a result of its ownership of our Class A, Class C and Class D Common Stock. The Company holds approximately a 59.7% interest in Virtu Financial at December 31, 2022.</w:t>
      </w:r>
    </w:p>
    <w:p>
      <w:pPr>
        <w:spacing w:after="0" w:line="196"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December 31, 2022 and December 31, 2021, there were 4,462,840 and 4,791,839 Virtu Financial Units outstanding held by Employee Holdco (as defined below), respectively, and 328,999, 467,874 and 2,660,239 of such Virtu Financial Units and corresponding Class C Common Stock were exchanged into Class A Common Stock, forfeited or repurchased during the years ended December 31, 2022, 2021 and 2020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196"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2022, the Company repurchased approximately 32.3 million shares of Class A Common Stock and Virtu Financial Units for approximately $899.6 million. As of December 31, 2022, the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124" w:name="page125"/>
    <w:bookmarkEnd w:id="124"/>
    <w:p>
      <w:pPr>
        <w:ind w:right="220"/>
        <w:spacing w:after="0" w:line="296" w:lineRule="auto"/>
        <w:rPr>
          <w:sz w:val="20"/>
          <w:szCs w:val="20"/>
          <w:color w:val="auto"/>
        </w:rPr>
      </w:pPr>
      <w:r>
        <w:rPr>
          <w:rFonts w:ascii="Times New Roman" w:cs="Times New Roman" w:eastAsia="Times New Roman" w:hAnsi="Times New Roman"/>
          <w:sz w:val="17"/>
          <w:szCs w:val="17"/>
          <w:color w:val="auto"/>
        </w:rPr>
        <w:t>Company has approximately $320.4 million remaining capacity for future purchases of shares of Class A Common Stock and Virtu Financial Units under the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During the years ended December 31, 2022, 2021 and 2020, pursuant to the exchange agreement by and among the Company, Virtu Financial and holders of Virtu Financial Units, certain current and former employees elected to exchange 92,930, 747,849 and 2,660,239 units, respectively in Virtu Financial held directly or on their behalf by Virtu Employee Holdco LLC (“Employee Holdco”) on a one-for-one basis for shares of Class 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Issuance</w:t>
      </w:r>
    </w:p>
    <w:p>
      <w:pPr>
        <w:spacing w:after="0" w:line="25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(as described in Note 9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The Founder Member Loan Facility Term expired on September 20, 2020 without the Company having borrowed any Founder Member Loans thereunder (as described in Note 9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Upon issuance, the fair value of the Warrant was determined using a Black-Scholes-Merton model, and was recorded as a debt issuance cost within Other assets on the Consolidated Statements of Financial Condition and as an increase to Additional paid-in capital on the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25" w:name="page126"/>
    <w:bookmarkEnd w:id="125"/>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55,955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44,925</w:t>
            </w:r>
          </w:p>
        </w:tc>
        <w:tc>
          <w:tcPr>
            <w:tcW w:w="0" w:type="dxa"/>
            <w:vAlign w:val="bottom"/>
          </w:tcPr>
          <w:p>
            <w:pPr>
              <w:spacing w:after="0"/>
              <w:rPr>
                <w:sz w:val="1"/>
                <w:szCs w:val="1"/>
                <w:color w:val="auto"/>
              </w:rPr>
            </w:pPr>
          </w:p>
        </w:tc>
      </w:tr>
      <w:tr>
        <w:trPr>
          <w:trHeight w:val="190"/>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rPr>
              <w:t>(13,605)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(13,321)</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42,350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31,604</w:t>
            </w:r>
          </w:p>
        </w:tc>
        <w:tc>
          <w:tcPr>
            <w:tcW w:w="0" w:type="dxa"/>
            <w:vAlign w:val="bottom"/>
          </w:tcPr>
          <w:p>
            <w:pPr>
              <w:spacing w:after="0"/>
              <w:rPr>
                <w:sz w:val="1"/>
                <w:szCs w:val="1"/>
                <w:color w:val="auto"/>
              </w:rPr>
            </w:pPr>
          </w:p>
        </w:tc>
      </w:tr>
    </w:tbl>
    <w:p>
      <w:pPr>
        <w:ind w:left="720" w:right="840" w:firstLine="9"/>
        <w:spacing w:after="0" w:line="233" w:lineRule="auto"/>
        <w:tabs>
          <w:tab w:leader="none" w:pos="893"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 As of December 31, 2022, the Company expects approximately $13.6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-246380</wp:posOffset>
            </wp:positionV>
            <wp:extent cx="38842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84295"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(10,480)</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bl>
    <w:p>
      <w:pPr>
        <w:ind w:left="900" w:hanging="171"/>
        <w:spacing w:after="0"/>
        <w:tabs>
          <w:tab w:leader="none" w:pos="9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w:t>
      </w:r>
    </w:p>
    <w:p>
      <w:pPr>
        <w:spacing w:after="0" w:line="20" w:lineRule="exact"/>
        <w:rPr>
          <w:rFonts w:ascii="Times New Roman" w:cs="Times New Roman" w:eastAsia="Times New Roman" w:hAnsi="Times New Roman"/>
          <w:sz w:val="12"/>
          <w:szCs w:val="12"/>
          <w:color w:val="auto"/>
        </w:rPr>
      </w:pPr>
    </w:p>
    <w:p>
      <w:pPr>
        <w:ind w:left="6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-194310</wp:posOffset>
            </wp:positionV>
            <wp:extent cx="38842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84295" cy="8255"/>
                    </a:xfrm>
                    <a:prstGeom prst="rect">
                      <a:avLst/>
                    </a:prstGeom>
                    <a:noFill/>
                  </pic:spPr>
                </pic:pic>
              </a:graphicData>
            </a:graphic>
          </wp:anchor>
        </w:drawing>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146"/>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Share-based Compensation</w:t>
      </w:r>
    </w:p>
    <w:p>
      <w:pPr>
        <w:spacing w:after="0" w:line="252" w:lineRule="exact"/>
        <w:rPr>
          <w:sz w:val="20"/>
          <w:szCs w:val="20"/>
          <w:color w:val="auto"/>
        </w:rPr>
      </w:pPr>
    </w:p>
    <w:p>
      <w:pPr>
        <w:jc w:val="both"/>
        <w:ind w:right="120" w:firstLine="629"/>
        <w:spacing w:after="0" w:line="27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years ended December 31, 2022, 2021, and 2020:</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3,233,779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5.24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4.24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60" w:firstLine="629"/>
        <w:spacing w:after="0" w:line="29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126" w:name="page127"/>
    <w:bookmarkEnd w:id="126"/>
    <w:p>
      <w:pPr>
        <w:ind w:right="60"/>
        <w:spacing w:after="0" w:line="296" w:lineRule="auto"/>
        <w:rPr>
          <w:sz w:val="20"/>
          <w:szCs w:val="20"/>
          <w:color w:val="auto"/>
        </w:rPr>
      </w:pPr>
      <w:r>
        <w:rPr>
          <w:rFonts w:ascii="Times New Roman" w:cs="Times New Roman" w:eastAsia="Times New Roman" w:hAnsi="Times New Roman"/>
          <w:sz w:val="17"/>
          <w:szCs w:val="17"/>
          <w:color w:val="auto"/>
        </w:rPr>
        <w:t>determined based on historical volatilities of comparable companies. The expected dividend yield was determined based on estimated future dividend payments divided by the IPO stock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years ended December 31, 2022, 2021, and 2020 respectively, there were 580,710, 633,938 and 967,526 shares of immediately vested Class A Common Stock granted as part of year-end compensation. In addition, the Company accrued compensation expense of $31.9 million, $29.4 million and $25.2 million for the years ended December 31, 2022, 2021, and 2020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RSUs (including the Assumed Awards) and RSAs for the years ended December 31, 2022, 2021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91"/>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2019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2,993,489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3,393,084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(2,434,251)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line="20" w:lineRule="exact"/>
              <w:rPr>
                <w:sz w:val="1"/>
                <w:szCs w:val="1"/>
                <w:color w:val="auto"/>
              </w:rPr>
            </w:pPr>
          </w:p>
        </w:tc>
      </w:tr>
      <w:tr>
        <w:trPr>
          <w:trHeight w:val="162"/>
        </w:trPr>
        <w:tc>
          <w:tcPr>
            <w:tcW w:w="860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3,046,623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(1,897,030)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3,954,833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Excluded in the number of RSUs and RSAs are 75,000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4"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The Company recognized $36.2 million, $26.4 million and $37.4 million for the years ended December 31, 2022, and 2021, respectively, of compensation expense in relation to RSUs. As of December 31, 2022 and December 31, 2021, total unrecognized share-based compensation expense related to unvested RSUs was $54.6 million and $41.9 million, respectively, and this amount is to be recognized over a weighted average period of 0.9 years and 0.9 years, respectively. Awards in which the specific performance conditions have not been met are not included in unrecognized share-based compensation expense.</w:t>
      </w:r>
    </w:p>
    <w:p>
      <w:pPr>
        <w:spacing w:after="0" w:line="200" w:lineRule="exact"/>
        <w:rPr>
          <w:sz w:val="20"/>
          <w:szCs w:val="20"/>
          <w:color w:val="auto"/>
        </w:rPr>
      </w:pPr>
    </w:p>
    <w:p>
      <w:pPr>
        <w:spacing w:after="0" w:line="210"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7" w:name="page128"/>
    <w:bookmarkEnd w:id="127"/>
    <w:p>
      <w:pPr>
        <w:ind w:right="140"/>
        <w:spacing w:after="0" w:line="276" w:lineRule="auto"/>
        <w:rPr>
          <w:sz w:val="20"/>
          <w:szCs w:val="20"/>
          <w:color w:val="auto"/>
        </w:rPr>
      </w:pPr>
      <w:r>
        <w:rPr>
          <w:rFonts w:ascii="Times New Roman" w:cs="Times New Roman" w:eastAsia="Times New Roman" w:hAnsi="Times New Roman"/>
          <w:sz w:val="17"/>
          <w:szCs w:val="17"/>
          <w:color w:val="auto"/>
        </w:rPr>
        <w:t>also be directed to notional investments in certain of the employee investment opportunities. The Company had $10.1 million and $5.0 million accrued under the DCP as of December 31, 2022 and December 31, 2021, respectively, recorded within Accounts payable, accrued expenses and other liabilities on the Consolidated Statements of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Property, Equipment and Capitalized Software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Property, equipment and capitalized software consisted of the following at December 31, 2022 and December 31, 2021:</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 costs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210,647</w:t>
            </w:r>
          </w:p>
        </w:tc>
      </w:tr>
      <w:tr>
        <w:trPr>
          <w:trHeight w:val="208"/>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17,773</w:t>
            </w:r>
          </w:p>
        </w:tc>
      </w:tr>
      <w:tr>
        <w:trPr>
          <w:trHeight w:val="21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333,330</w:t>
            </w:r>
          </w:p>
        </w:tc>
      </w:tr>
      <w:tr>
        <w:trPr>
          <w:trHeight w:val="20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561,750</w:t>
            </w:r>
          </w:p>
        </w:tc>
      </w:tr>
      <w:tr>
        <w:trPr>
          <w:trHeight w:val="21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(472,155)</w:t>
            </w:r>
          </w:p>
        </w:tc>
      </w:tr>
      <w:tr>
        <w:trPr>
          <w:trHeight w:val="20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property, equipment and capitalized software, net</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85,194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89,595</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Depreciation expense for property and equipment for the years ended December 31, 2022, 2021, and 2020 was approximately $26.1 million, $28.4 million, and $37.4 million, respectively, and is included within depreciation and amortization expense in the Consolidated Statements of Comprehensive Income.</w:t>
      </w:r>
    </w:p>
    <w:p>
      <w:pPr>
        <w:spacing w:after="0" w:line="190"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The Company’s capitalized software development costs were approximately $35.5 million, $35.8 million, and $37.0 million for the years ended December 31, 2022, 2021, and 2020, respectively. The related amortization expense was approximately $40.2 million, $39.4 million, and $29.3 million for the years ended December 31, 2022, 2021, and 2020, respectively, and is included within Depreciation and amortization in the Consolidated Statements of Comprehensive Income.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December 31, 2022. The required amount is determined under the exchange rules as the greater of (i) $1 million or (ii) $75,000 for every 0.1% of NYSE transaction dollar volume in each of the securities for which the Company is registered as the DMM.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December 31, 2022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553,550</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December 31, 2022, VAL had $50.2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December 31, 2021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535,453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6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2021, VAL had $43.0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52"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94"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2022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50,332</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75,141</w:t>
            </w:r>
          </w:p>
        </w:tc>
        <w:tc>
          <w:tcPr>
            <w:tcW w:w="0" w:type="dxa"/>
            <w:vAlign w:val="bottom"/>
          </w:tcPr>
          <w:p>
            <w:pPr>
              <w:spacing w:after="0"/>
              <w:rPr>
                <w:sz w:val="1"/>
                <w:szCs w:val="1"/>
                <w:color w:val="auto"/>
              </w:rPr>
            </w:pPr>
          </w:p>
        </w:tc>
      </w:tr>
      <w:tr>
        <w:trPr>
          <w:trHeight w:val="159"/>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2022, Virtu ITG Europe Limited and Virtu ITG Canada Corp had $0.1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0"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2021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82"/>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2021, Virtu ITG Europe Limited and Virtu ITG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22. Geographic Information and Business Segments</w:t>
      </w:r>
    </w:p>
    <w:p>
      <w:pPr>
        <w:spacing w:after="0" w:line="252"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2022, 2021, and 2020</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1,914,223</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2,260,750</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2,569,147</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323,519</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176,665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0" w:type="dxa"/>
            <w:vAlign w:val="bottom"/>
          </w:tcPr>
          <w:p>
            <w:pPr>
              <w:spacing w:after="0"/>
              <w:rPr>
                <w:sz w:val="1"/>
                <w:szCs w:val="1"/>
                <w:color w:val="auto"/>
              </w:rPr>
            </w:pPr>
          </w:p>
        </w:tc>
      </w:tr>
      <w:tr>
        <w:trPr>
          <w:trHeight w:val="19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2,364,812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2,811,485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years ended December 31, 2022, 2021, and 2020 and are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70" w:right="399" w:bottom="1440" w:gutter="0" w:footer="0" w:header="0"/>
        </w:sectPr>
      </w:pPr>
    </w:p>
    <w:bookmarkStart w:id="130" w:name="page131"/>
    <w:bookmarkEnd w:id="130"/>
    <w:p>
      <w:pPr>
        <w:ind w:left="640"/>
        <w:spacing w:after="0"/>
        <w:rPr>
          <w:sz w:val="20"/>
          <w:szCs w:val="20"/>
          <w:color w:val="auto"/>
        </w:rPr>
      </w:pPr>
      <w:r>
        <w:rPr>
          <w:rFonts w:ascii="Times New Roman" w:cs="Times New Roman" w:eastAsia="Times New Roman" w:hAnsi="Times New Roman"/>
          <w:sz w:val="17"/>
          <w:szCs w:val="17"/>
          <w:color w:val="auto"/>
        </w:rPr>
        <w:t>The Company's Pre-tax earnings by segment for the year ended December 31, 2022, and 2021 are summarized in the following table:</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4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1,812,839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2,364,812</w:t>
            </w:r>
          </w:p>
        </w:tc>
      </w:tr>
      <w:tr>
        <w:trPr>
          <w:trHeight w:val="189"/>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556,798</w:t>
            </w:r>
          </w:p>
        </w:tc>
      </w:tr>
      <w:tr>
        <w:trPr>
          <w:trHeight w:val="217"/>
        </w:trPr>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2,203,046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2,811,485</w:t>
            </w:r>
          </w:p>
        </w:tc>
      </w:tr>
      <w:tr>
        <w:trPr>
          <w:trHeight w:val="189"/>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996,904</w:t>
            </w:r>
          </w:p>
        </w:tc>
      </w:tr>
      <w:tr>
        <w:trPr>
          <w:trHeight w:val="217"/>
        </w:trPr>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3,239,331</w:t>
            </w:r>
          </w:p>
        </w:tc>
      </w:tr>
      <w:tr>
        <w:trPr>
          <w:trHeight w:val="182"/>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1,382,837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Related Party Transactions</w:t>
      </w:r>
    </w:p>
    <w:p>
      <w:pPr>
        <w:spacing w:after="0" w:line="226"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December 31, 2022, and December 31, 2021, the Company had a net receivables from its affiliates of $0.5 million and a net receivables from its affiliates of $2.2 million, respectively.</w:t>
      </w:r>
    </w:p>
    <w:p>
      <w:pPr>
        <w:spacing w:after="0" w:line="173"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10 "Financial Assets and Liabilities"). The Company pays exchange fees to JNX for the trading activities conducted on its proprietary trading system. The Company paid $13.8 million, $12.5 million and $16.7 million for the years ended December 31, 2022, 2021 and 2020, respectively, to JNX for these trading activities.</w:t>
      </w:r>
    </w:p>
    <w:p>
      <w:pPr>
        <w:spacing w:after="0" w:line="164"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$27.7 million, $25.3 million and $18.7 million to the JVs for the years ended December 31, 2022, 2021 and 2020, respectively.</w:t>
      </w:r>
    </w:p>
    <w:p>
      <w:pPr>
        <w:spacing w:after="0" w:line="19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consulting fees from American Continental Group, an affiliate of a director. The Company paid $0.1 million to American Continental Group for the years ending December 31, 2022, 2021 and 2020.</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received $16.0 million, $3.6 million, and $0.6 million for the years ended December 31, 2022, 2021 and 2020.</w:t>
      </w:r>
    </w:p>
    <w:p>
      <w:pPr>
        <w:spacing w:after="0" w:line="190" w:lineRule="exact"/>
        <w:rPr>
          <w:sz w:val="20"/>
          <w:szCs w:val="20"/>
          <w:color w:val="auto"/>
        </w:rPr>
      </w:pPr>
    </w:p>
    <w:p>
      <w:pPr>
        <w:jc w:val="both"/>
        <w:ind w:right="40" w:firstLine="629"/>
        <w:spacing w:after="0" w:line="276" w:lineRule="auto"/>
        <w:rPr>
          <w:sz w:val="20"/>
          <w:szCs w:val="20"/>
          <w:color w:val="auto"/>
        </w:rPr>
      </w:pPr>
      <w:r>
        <w:rPr>
          <w:rFonts w:ascii="Times New Roman" w:cs="Times New Roman" w:eastAsia="Times New Roman" w:hAnsi="Times New Roman"/>
          <w:sz w:val="17"/>
          <w:szCs w:val="17"/>
          <w:color w:val="auto"/>
        </w:rPr>
        <w:t>On August 12, 2021, the Company entered into a Purchase Agreement with Ordinal Holdings I, LP to repurchase 1.5 million shares of the Company's Class A common stock for $39.2 million in accordance with the Company's previously disclosed share repurchase program. See Note 18 "Capital Structure" for a further discussion of the Company's share repurchase program.</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 described in Note 9 "Borrowings" and Note 18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 The Founder Member Loan Term expired as of September 20, 2020. On December 17, 2021, the Founder Member exercised in full its Warrant to purchase 3,000,000 shares of the Company's Class A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Parent Company</w:t>
      </w:r>
    </w:p>
    <w:p>
      <w:pPr>
        <w:spacing w:after="0" w:line="252" w:lineRule="exact"/>
        <w:rPr>
          <w:sz w:val="20"/>
          <w:szCs w:val="20"/>
          <w:color w:val="auto"/>
        </w:rPr>
      </w:pPr>
    </w:p>
    <w:p>
      <w:pPr>
        <w:ind w:right="160" w:firstLine="486"/>
        <w:spacing w:after="0" w:line="276" w:lineRule="auto"/>
        <w:rPr>
          <w:sz w:val="20"/>
          <w:szCs w:val="20"/>
          <w:color w:val="auto"/>
        </w:rPr>
      </w:pPr>
      <w:r>
        <w:rPr>
          <w:rFonts w:ascii="Times New Roman" w:cs="Times New Roman" w:eastAsia="Times New Roman" w:hAnsi="Times New Roman"/>
          <w:sz w:val="17"/>
          <w:szCs w:val="17"/>
          <w:color w:val="auto"/>
        </w:rPr>
        <w:t>VFI is the sole managing member of Virtu Financial, which guarantees the indebtedness of its direct subsidiary under the First Lien Term Loan Facility (see Note 9 "Borrowings"). VFI is limited to its ability to receive distributions (including for purposes of paying corporate and other overhead expenses and dividends) from Virtu Financial under the Credit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31" w:name="page132"/>
    <w:bookmarkEnd w:id="131"/>
    <w:p>
      <w:pPr>
        <w:ind w:right="60"/>
        <w:spacing w:after="0" w:line="296" w:lineRule="auto"/>
        <w:rPr>
          <w:sz w:val="20"/>
          <w:szCs w:val="20"/>
          <w:color w:val="auto"/>
        </w:rPr>
      </w:pPr>
      <w:r>
        <w:rPr>
          <w:rFonts w:ascii="Times New Roman" w:cs="Times New Roman" w:eastAsia="Times New Roman" w:hAnsi="Times New Roman"/>
          <w:sz w:val="17"/>
          <w:szCs w:val="17"/>
          <w:color w:val="auto"/>
        </w:rPr>
        <w:t>Agreement. The following financial statements (the “Parent Company Only Financial Statements”) should be read in conjunction with the Consolidated Financial Statements of the Company and the foregoing.</w:t>
      </w:r>
    </w:p>
    <w:p>
      <w:pPr>
        <w:spacing w:after="0" w:line="17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Virtu Financial, Inc.</w:t>
      </w:r>
    </w:p>
    <w:p>
      <w:pPr>
        <w:spacing w:after="0" w:line="3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(Parent Company Only)</w:t>
      </w:r>
    </w:p>
    <w:p>
      <w:pPr>
        <w:spacing w:after="0" w:line="1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Statements of Financial Condition</w:t>
      </w:r>
    </w:p>
    <w:p>
      <w:pPr>
        <w:spacing w:after="0" w:line="29"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interest data)</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7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129,229</w:t>
            </w: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139,139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149,742</w:t>
            </w: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in subsidiary</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3,119,418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3,221,605</w:t>
            </w: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52,153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40,183</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3,316,974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3,540,759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membership interest and equity</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affiliate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1,733,429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1,729,320</w:t>
            </w: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 and other liabilities</w:t>
            </w:r>
          </w:p>
        </w:tc>
        <w:tc>
          <w:tcPr>
            <w:tcW w:w="3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238,758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259,282</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1,975,075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1,991,371</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Inc. Stockholders' equity</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$0.00001), Authorized — 1,000,000,000 and 1,000,000,000 shares, Issued — 133,071,754 and</w:t>
            </w:r>
          </w:p>
        </w:tc>
        <w:tc>
          <w:tcPr>
            <w:tcW w:w="32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131,497,645 shares, Outstanding — 98,549,464 and 113,170,782 shares at December 31, 2022 and December 31, 2021, respectively</w:t>
            </w: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6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w w:val="99"/>
              </w:rPr>
              <w:t>Class B common stock (par value $0.00001), Authorized — 175,000,000 and 175,000,000 shares, Issued and Outstanding — 0 and 0</w:t>
            </w:r>
          </w:p>
        </w:tc>
        <w:tc>
          <w:tcPr>
            <w:tcW w:w="3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at December 31, 2022 and December 31, 2021, respectively</w:t>
            </w:r>
          </w:p>
        </w:tc>
        <w:tc>
          <w:tcPr>
            <w:tcW w:w="3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w w:val="99"/>
              </w:rPr>
              <w:t>Class C common stock (par value $0.00001), Authorized — 90,000,000 and 90,000,000 shares, Issued and Outstanding — 9,030,066</w:t>
            </w:r>
          </w:p>
        </w:tc>
        <w:tc>
          <w:tcPr>
            <w:tcW w:w="3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9,359,065 shares at December 31, 2022 and December 31, 2021, respectively</w:t>
            </w:r>
          </w:p>
        </w:tc>
        <w:tc>
          <w:tcPr>
            <w:tcW w:w="3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6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Class D common stock (par value $0.00001), Authorized — 175,000,000 and 175,000,000 shares, Issued and Outstanding —</w:t>
            </w:r>
          </w:p>
        </w:tc>
        <w:tc>
          <w:tcPr>
            <w:tcW w:w="3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60,091,740 and 60,091,740 shares at December 31, 2022 and December 31, 2021, respectively</w:t>
            </w: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at cost, 34,522,290 and 18,326,863 shares at December 31, 2022 and December 31, 2021, respectively</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(494,075)</w:t>
            </w: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1,292,613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1,223,119</w:t>
            </w: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3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972,317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830,538</w:t>
            </w:r>
          </w:p>
        </w:tc>
        <w:tc>
          <w:tcPr>
            <w:tcW w:w="0" w:type="dxa"/>
            <w:vAlign w:val="bottom"/>
          </w:tcPr>
          <w:p>
            <w:pPr>
              <w:spacing w:after="0"/>
              <w:rPr>
                <w:sz w:val="1"/>
                <w:szCs w:val="1"/>
                <w:color w:val="auto"/>
              </w:rPr>
            </w:pPr>
          </w:p>
        </w:tc>
      </w:tr>
      <w:tr>
        <w:trPr>
          <w:trHeight w:val="204"/>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31,604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Virtu Financial Inc. stockholders' equity</w:t>
            </w:r>
          </w:p>
        </w:tc>
        <w:tc>
          <w:tcPr>
            <w:tcW w:w="32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1,341,899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1,549,388</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3,316,974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3,540,759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868" w:right="89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Virtu Financial,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(Parent Company Only)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Statements of Comprehensive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7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equity in income of subsidiary</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income (loss) of subsidiary, net of tax</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827,968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1,121,084</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 net of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8,604</w:t>
            </w: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change in unrealized cash flow hedges gains (losses), net of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55,404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1,096,073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866" w:right="37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Virtu Financial,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(Parent Company Only)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1,120,913</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income of subsidiary, net of tax</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(543,992)</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receivable agreement obligation reduction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15,169</w:t>
            </w:r>
          </w:p>
        </w:tc>
        <w:tc>
          <w:tcPr>
            <w:tcW w:w="0" w:type="dxa"/>
            <w:vAlign w:val="bottom"/>
          </w:tcPr>
          <w:p>
            <w:pPr>
              <w:spacing w:after="0"/>
              <w:rPr>
                <w:sz w:val="1"/>
                <w:szCs w:val="1"/>
                <w:color w:val="auto"/>
              </w:rPr>
            </w:pPr>
          </w:p>
        </w:tc>
      </w:tr>
      <w:tr>
        <w:trPr>
          <w:trHeight w:val="189"/>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14,243</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w:t>
            </w:r>
          </w:p>
        </w:tc>
        <w:tc>
          <w:tcPr>
            <w:tcW w:w="0" w:type="dxa"/>
            <w:vAlign w:val="bottom"/>
          </w:tcPr>
          <w:p>
            <w:pPr>
              <w:spacing w:after="0"/>
              <w:rPr>
                <w:sz w:val="1"/>
                <w:szCs w:val="1"/>
                <w:color w:val="auto"/>
              </w:rPr>
            </w:pPr>
          </w:p>
        </w:tc>
      </w:tr>
      <w:tr>
        <w:trPr>
          <w:trHeight w:val="183"/>
        </w:trPr>
        <w:tc>
          <w:tcPr>
            <w:tcW w:w="7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707,710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557,767</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subsidiaries, equity basis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56,629</w:t>
            </w:r>
          </w:p>
        </w:tc>
        <w:tc>
          <w:tcPr>
            <w:tcW w:w="0" w:type="dxa"/>
            <w:vAlign w:val="bottom"/>
          </w:tcPr>
          <w:p>
            <w:pPr>
              <w:spacing w:after="0"/>
              <w:rPr>
                <w:sz w:val="1"/>
                <w:szCs w:val="1"/>
                <w:color w:val="auto"/>
              </w:rPr>
            </w:pPr>
          </w:p>
        </w:tc>
      </w:tr>
      <w:tr>
        <w:trPr>
          <w:trHeight w:val="183"/>
        </w:trPr>
        <w:tc>
          <w:tcPr>
            <w:tcW w:w="7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56,629</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(484,415)</w:t>
            </w:r>
          </w:p>
        </w:tc>
        <w:tc>
          <w:tcPr>
            <w:tcW w:w="0" w:type="dxa"/>
            <w:vAlign w:val="bottom"/>
          </w:tcPr>
          <w:p>
            <w:pPr>
              <w:spacing w:after="0"/>
              <w:rPr>
                <w:sz w:val="1"/>
                <w:szCs w:val="1"/>
                <w:color w:val="auto"/>
              </w:rPr>
            </w:pP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0" w:type="dxa"/>
            <w:vAlign w:val="bottom"/>
          </w:tcPr>
          <w:p>
            <w:pPr>
              <w:spacing w:after="0"/>
              <w:rPr>
                <w:sz w:val="1"/>
                <w:szCs w:val="1"/>
                <w:color w:val="auto"/>
              </w:rPr>
            </w:pP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 with secondary offering, net of offering costs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7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(885,427)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(995,430)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(547,565)</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66,831</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129,228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end of period</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71,481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203,031</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receivable agreement described in Note 6</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Subsequent Events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9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On January 26, 2023, the Company’s Board of Directors declared a dividend of $0.24 per share of Class A Common Stock and Class B Common Stock and per participating Restricted Stock Unit and Restricted Stock Award that will be paid on March 15, 2023 to holders of record as of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2022. Based upon that evaluation, our Chief Executive Officer and Chief Financial Officer concluded that, as of December 31, 2022,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3"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5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94" w:lineRule="exact"/>
        <w:rPr>
          <w:sz w:val="20"/>
          <w:szCs w:val="20"/>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assets;</w:t>
      </w:r>
    </w:p>
    <w:p>
      <w:pPr>
        <w:spacing w:after="0" w:line="249"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w:t>
      </w:r>
    </w:p>
    <w:p>
      <w:pPr>
        <w:spacing w:after="0" w:line="17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receipts and expenditures are being made only in accordance with management and director authorization; and</w:t>
      </w:r>
    </w:p>
    <w:p>
      <w:pPr>
        <w:spacing w:after="0" w:line="249" w:lineRule="exact"/>
        <w:rPr>
          <w:rFonts w:ascii="Times New Roman" w:cs="Times New Roman" w:eastAsia="Times New Roman" w:hAnsi="Times New Roman"/>
          <w:sz w:val="17"/>
          <w:szCs w:val="17"/>
          <w:color w:val="auto"/>
        </w:rPr>
      </w:pPr>
    </w:p>
    <w:p>
      <w:pPr>
        <w:ind w:left="640" w:right="540" w:hanging="321"/>
        <w:spacing w:after="0" w:line="296"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assets that could have a material effect on the consolidated financial statements.</w:t>
      </w:r>
    </w:p>
    <w:p>
      <w:pPr>
        <w:spacing w:after="0" w:line="173"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220" w:firstLine="629"/>
        <w:spacing w:after="0" w:line="276" w:lineRule="auto"/>
        <w:rPr>
          <w:sz w:val="20"/>
          <w:szCs w:val="20"/>
          <w:color w:val="auto"/>
        </w:rPr>
      </w:pPr>
      <w:r>
        <w:rPr>
          <w:rFonts w:ascii="Times New Roman" w:cs="Times New Roman" w:eastAsia="Times New Roman" w:hAnsi="Times New Roman"/>
          <w:sz w:val="17"/>
          <w:szCs w:val="17"/>
          <w:color w:val="auto"/>
        </w:rPr>
        <w:t xml:space="preserve">Management assessed the effectiveness of our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Framework (2013)</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Based on this assessment, management determined that as of December 31, 2022, internal control over financial reporting is effective.</w:t>
      </w:r>
    </w:p>
    <w:p>
      <w:pPr>
        <w:spacing w:after="0" w:line="250" w:lineRule="exact"/>
        <w:rPr>
          <w:sz w:val="20"/>
          <w:szCs w:val="20"/>
          <w:color w:val="auto"/>
        </w:rPr>
      </w:pPr>
    </w:p>
    <w:p>
      <w:pPr>
        <w:ind w:right="120" w:firstLine="175"/>
        <w:spacing w:after="0" w:line="296" w:lineRule="auto"/>
        <w:rPr>
          <w:sz w:val="20"/>
          <w:szCs w:val="20"/>
          <w:color w:val="auto"/>
        </w:rPr>
      </w:pPr>
      <w:r>
        <w:rPr>
          <w:rFonts w:ascii="Times New Roman" w:cs="Times New Roman" w:eastAsia="Times New Roman" w:hAnsi="Times New Roman"/>
          <w:sz w:val="17"/>
          <w:szCs w:val="17"/>
          <w:color w:val="auto"/>
        </w:rPr>
        <w:t>PricewaterhouseCoopers LLP has audited our internal control over financial reporting as of December 31, 2022; their report is included in Item 8 “Financial Statements and Supplementary Data” of this Annual Report on Form 10-K.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December 31, 2022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ectPr>
          <w:pgSz w:w="11900" w:h="16838" w:orient="portrait"/>
          <w:cols w:equalWidth="0" w:num="1">
            <w:col w:w="10139"/>
          </w:cols>
          <w:pgMar w:left="320" w:top="866" w:right="1440" w:bottom="1440" w:gutter="0" w:footer="0" w:header="0"/>
        </w:sectPr>
      </w:pP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ectPr>
          <w:pgSz w:w="11900" w:h="16838" w:orient="portrait"/>
          <w:cols w:equalWidth="0" w:num="1">
            <w:col w:w="9019"/>
          </w:cols>
          <w:pgMar w:left="1440" w:top="10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74295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075" w:right="1440"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5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10, the 2023 Proxy Statement is incorporated herein by this reference. All references to the 2023 Proxy Statement in this Part III are exclusive of the information set forth under the caption “Audit Committee Report.”</w:t>
      </w:r>
    </w:p>
    <w:p>
      <w:pPr>
        <w:spacing w:after="0" w:line="194" w:lineRule="exact"/>
        <w:rPr>
          <w:sz w:val="20"/>
          <w:szCs w:val="20"/>
          <w:color w:val="auto"/>
        </w:rPr>
      </w:pPr>
    </w:p>
    <w:p>
      <w:pPr>
        <w:ind w:right="60" w:firstLine="629"/>
        <w:spacing w:after="0" w:line="274" w:lineRule="auto"/>
        <w:rPr>
          <w:sz w:val="20"/>
          <w:szCs w:val="20"/>
          <w:color w:val="auto"/>
        </w:rPr>
      </w:pPr>
      <w:r>
        <w:rPr>
          <w:rFonts w:ascii="Times New Roman" w:cs="Times New Roman" w:eastAsia="Times New Roman" w:hAnsi="Times New Roman"/>
          <w:sz w:val="17"/>
          <w:szCs w:val="17"/>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75" w:right="3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11, the 2023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075" w:right="479" w:bottom="1440" w:gutter="0" w:footer="0" w:header="0"/>
        </w:sectPr>
      </w:pPr>
    </w:p>
    <w:bookmarkStart w:id="141" w:name="page142"/>
    <w:bookmarkEnd w:id="141"/>
    <w:p>
      <w:pPr>
        <w:ind w:left="640" w:right="740" w:hanging="628"/>
        <w:spacing w:after="0" w:line="299"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70"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12, the 2023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07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13, the 2023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07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14, the 2023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866" w:right="47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4"/>
          </w:tcPr>
          <w:p>
            <w:pPr>
              <w:ind w:left="78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0" w:type="dxa"/>
            <w:vAlign w:val="bottom"/>
          </w:tcPr>
          <w:p>
            <w:pPr>
              <w:spacing w:after="0"/>
              <w:rPr>
                <w:sz w:val="1"/>
                <w:szCs w:val="1"/>
                <w:color w:val="auto"/>
              </w:rPr>
            </w:pPr>
          </w:p>
        </w:tc>
      </w:tr>
      <w:tr>
        <w:trPr>
          <w:trHeight w:val="550"/>
        </w:trPr>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15. EXHIBITS</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32"/>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FEFEFE"/>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FEFEFE"/>
            </w:tcBorders>
            <w:shd w:val="clear" w:color="auto" w:fill="FEFEFE"/>
          </w:tcPr>
          <w:p>
            <w:pPr>
              <w:ind w:left="20"/>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540" w:type="dxa"/>
            <w:vAlign w:val="bottom"/>
            <w:tcBorders>
              <w:bottom w:val="single" w:sz="8" w:color="FEFEFE"/>
              <w:right w:val="single" w:sz="8" w:color="FEFEFE"/>
            </w:tcBorders>
            <w:shd w:val="clear" w:color="auto" w:fill="FEFEFE"/>
          </w:tcPr>
          <w:p>
            <w:pPr>
              <w:spacing w:after="0"/>
              <w:rPr>
                <w:sz w:val="15"/>
                <w:szCs w:val="15"/>
                <w:color w:val="auto"/>
              </w:rPr>
            </w:pPr>
          </w:p>
        </w:tc>
        <w:tc>
          <w:tcPr>
            <w:tcW w:w="8780" w:type="dxa"/>
            <w:vAlign w:val="bottom"/>
            <w:tcBorders>
              <w:bottom w:val="single" w:sz="8" w:color="0000FF"/>
            </w:tcBorders>
            <w:gridSpan w:val="15"/>
            <w:shd w:val="clear" w:color="auto" w:fill="FEFEFE"/>
          </w:tcPr>
          <w:p>
            <w:pPr>
              <w:spacing w:after="0" w:line="176"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Reorganization Agreement, dated April 15, 2015, by and among Virtu Financial, Inc., Virtu Financial Merger Sub LLC, Virtu</w:t>
              </w:r>
            </w:hyperlink>
          </w:p>
        </w:tc>
        <w:tc>
          <w:tcPr>
            <w:tcW w:w="500" w:type="dxa"/>
            <w:vAlign w:val="bottom"/>
            <w:tcBorders>
              <w:bottom w:val="single" w:sz="8" w:color="FEFEFE"/>
            </w:tcBorders>
            <w:gridSpan w:val="22"/>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440" w:type="dxa"/>
            <w:vAlign w:val="bottom"/>
            <w:shd w:val="clear" w:color="auto" w:fill="FEFEFE"/>
          </w:tcPr>
          <w:p>
            <w:pPr>
              <w:spacing w:after="0"/>
              <w:rPr>
                <w:sz w:val="13"/>
                <w:szCs w:val="13"/>
                <w:color w:val="auto"/>
              </w:rPr>
            </w:pPr>
          </w:p>
        </w:tc>
        <w:tc>
          <w:tcPr>
            <w:tcW w:w="540" w:type="dxa"/>
            <w:vAlign w:val="bottom"/>
            <w:tcBorders>
              <w:right w:val="single" w:sz="8" w:color="FEFEFE"/>
            </w:tcBorders>
            <w:shd w:val="clear" w:color="auto" w:fill="FEFEFE"/>
          </w:tcPr>
          <w:p>
            <w:pPr>
              <w:spacing w:after="0"/>
              <w:rPr>
                <w:sz w:val="13"/>
                <w:szCs w:val="13"/>
                <w:color w:val="auto"/>
              </w:rPr>
            </w:pPr>
          </w:p>
        </w:tc>
        <w:tc>
          <w:tcPr>
            <w:tcW w:w="9280" w:type="dxa"/>
            <w:vAlign w:val="bottom"/>
            <w:gridSpan w:val="37"/>
            <w:shd w:val="clear" w:color="auto" w:fill="FEFEFE"/>
          </w:tcPr>
          <w:p>
            <w:pPr>
              <w:spacing w:after="0" w:line="150"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Financial Intermediate Holdings LLC, Virtu Financial Merger Sub II LLC, Virtu Financial Intermediate Holdings II LLC, Virtu</w:t>
              </w:r>
            </w:hyperlink>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bottom w:val="single" w:sz="8" w:color="FEFEFE"/>
            </w:tcBorders>
            <w:shd w:val="clear" w:color="auto" w:fill="FEFEFE"/>
          </w:tcPr>
          <w:p>
            <w:pPr>
              <w:spacing w:after="0"/>
              <w:rPr>
                <w:sz w:val="14"/>
                <w:szCs w:val="14"/>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4"/>
                <w:szCs w:val="14"/>
                <w:color w:val="auto"/>
              </w:rPr>
            </w:pPr>
          </w:p>
        </w:tc>
        <w:tc>
          <w:tcPr>
            <w:tcW w:w="8920" w:type="dxa"/>
            <w:vAlign w:val="bottom"/>
            <w:tcBorders>
              <w:top w:val="single" w:sz="8" w:color="0000FF"/>
              <w:bottom w:val="single" w:sz="8" w:color="0000FF"/>
            </w:tcBorders>
            <w:gridSpan w:val="22"/>
            <w:shd w:val="clear" w:color="auto" w:fill="FEFEFE"/>
          </w:tcPr>
          <w:p>
            <w:pPr>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Financial LLC, VFH Parent LLC, SLP Virtu Investors, LLC, SLP III EW Feeder I, L.P., SLP III EW Feeder II, L.P., Silver Lake</w:t>
              </w:r>
            </w:hyperlink>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8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40" w:type="dxa"/>
            <w:vAlign w:val="bottom"/>
            <w:shd w:val="clear" w:color="auto" w:fill="FEFEFE"/>
          </w:tcPr>
          <w:p>
            <w:pPr>
              <w:spacing w:after="0"/>
              <w:rPr>
                <w:sz w:val="13"/>
                <w:szCs w:val="13"/>
                <w:color w:val="auto"/>
              </w:rPr>
            </w:pPr>
          </w:p>
        </w:tc>
        <w:tc>
          <w:tcPr>
            <w:tcW w:w="540" w:type="dxa"/>
            <w:vAlign w:val="bottom"/>
            <w:tcBorders>
              <w:right w:val="single" w:sz="8" w:color="FEFEFE"/>
            </w:tcBorders>
            <w:shd w:val="clear" w:color="auto" w:fill="FEFEFE"/>
          </w:tcPr>
          <w:p>
            <w:pPr>
              <w:spacing w:after="0"/>
              <w:rPr>
                <w:sz w:val="13"/>
                <w:szCs w:val="13"/>
                <w:color w:val="auto"/>
              </w:rPr>
            </w:pPr>
          </w:p>
        </w:tc>
        <w:tc>
          <w:tcPr>
            <w:tcW w:w="9000" w:type="dxa"/>
            <w:vAlign w:val="bottom"/>
            <w:gridSpan w:val="26"/>
            <w:shd w:val="clear" w:color="auto" w:fill="FEFEFE"/>
          </w:tcPr>
          <w:p>
            <w:pPr>
              <w:spacing w:after="0" w:line="150"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Technology Associates III, L.P., SLP III EW Feeder LLC, Havelock Fund Investments Pte Ltd., Wilbur Investments LLC, VV</w:t>
              </w:r>
            </w:hyperlink>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860" w:type="dxa"/>
            <w:vAlign w:val="bottom"/>
            <w:tcBorders>
              <w:top w:val="single" w:sz="8" w:color="0000FF"/>
            </w:tcBorders>
            <w:gridSpan w:val="19"/>
            <w:shd w:val="clear" w:color="auto" w:fill="FEFEFE"/>
          </w:tcPr>
          <w:p>
            <w:pPr>
              <w:spacing w:after="0" w:line="150"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Investment LLC, Virtu East MIP LLC, Virtu Employee Holdco LLC, TJMT Holdings LLC (f/k/a Virtu Holdings LLC), Virtu</w:t>
              </w:r>
            </w:hyperlink>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shd w:val="clear" w:color="auto" w:fill="FEFEFE"/>
          </w:tcPr>
          <w:p>
            <w:pPr>
              <w:spacing w:after="0"/>
              <w:rPr>
                <w:sz w:val="14"/>
                <w:szCs w:val="14"/>
                <w:color w:val="auto"/>
              </w:rPr>
            </w:pPr>
          </w:p>
        </w:tc>
        <w:tc>
          <w:tcPr>
            <w:tcW w:w="540" w:type="dxa"/>
            <w:vAlign w:val="bottom"/>
            <w:tcBorders>
              <w:right w:val="single" w:sz="8" w:color="FEFEFE"/>
            </w:tcBorders>
            <w:shd w:val="clear" w:color="auto" w:fill="FEFEFE"/>
          </w:tcPr>
          <w:p>
            <w:pPr>
              <w:spacing w:after="0"/>
              <w:rPr>
                <w:sz w:val="14"/>
                <w:szCs w:val="14"/>
                <w:color w:val="auto"/>
              </w:rPr>
            </w:pPr>
          </w:p>
        </w:tc>
        <w:tc>
          <w:tcPr>
            <w:tcW w:w="9280" w:type="dxa"/>
            <w:vAlign w:val="bottom"/>
            <w:gridSpan w:val="37"/>
            <w:shd w:val="clear" w:color="auto" w:fill="FEFEFE"/>
          </w:tcPr>
          <w:p>
            <w:pPr>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Financial Holdings LLC and the Other Class A Members named therein (incorporated herein by reference to Exhibit 2.1 to the</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900" w:type="dxa"/>
            <w:vAlign w:val="bottom"/>
            <w:tcBorders>
              <w:top w:val="single" w:sz="8" w:color="0000FF"/>
            </w:tcBorders>
            <w:gridSpan w:val="21"/>
            <w:shd w:val="clear" w:color="auto" w:fill="FEFEFE"/>
          </w:tcPr>
          <w:p>
            <w:pPr>
              <w:spacing w:after="0" w:line="150"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Company’s Quarterly Report on Form 10-Q, as amended (File No. 001-37352), filed on May 29, 2015).</w:t>
              </w:r>
            </w:hyperlink>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540" w:type="dxa"/>
            <w:vAlign w:val="bottom"/>
            <w:tcBorders>
              <w:right w:val="single" w:sz="8" w:color="FEFEFE"/>
            </w:tcBorders>
            <w:shd w:val="clear" w:color="auto" w:fill="FEFEFE"/>
          </w:tcPr>
          <w:p>
            <w:pPr>
              <w:spacing w:after="0"/>
              <w:rPr>
                <w:sz w:val="17"/>
                <w:szCs w:val="17"/>
                <w:color w:val="auto"/>
              </w:rPr>
            </w:pPr>
          </w:p>
        </w:tc>
        <w:tc>
          <w:tcPr>
            <w:tcW w:w="9280" w:type="dxa"/>
            <w:vAlign w:val="bottom"/>
            <w:gridSpan w:val="37"/>
            <w:shd w:val="clear" w:color="auto" w:fill="FEFEFE"/>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Merger Agreement, dated April 15, 2015, by and among Virtu Financial, Inc., Virtu Financial Merger Sub LLC, Virtu Financial</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940" w:type="dxa"/>
            <w:vAlign w:val="bottom"/>
            <w:tcBorders>
              <w:top w:val="single" w:sz="8" w:color="0000FF"/>
            </w:tcBorders>
            <w:gridSpan w:val="23"/>
            <w:shd w:val="clear" w:color="auto" w:fill="FEFEFE"/>
          </w:tcPr>
          <w:p>
            <w:pPr>
              <w:spacing w:after="0" w:line="150"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Intermediate Holdings LLC, SLP III EW Feeder Corp., SLP III EW Feeder I, L.P. and Havelock Fund Investments Pte</w:t>
              </w:r>
            </w:hyperlink>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shd w:val="clear" w:color="auto" w:fill="FEFEFE"/>
          </w:tcPr>
          <w:p>
            <w:pPr>
              <w:spacing w:after="0"/>
              <w:rPr>
                <w:sz w:val="14"/>
                <w:szCs w:val="14"/>
                <w:color w:val="auto"/>
              </w:rPr>
            </w:pPr>
          </w:p>
        </w:tc>
        <w:tc>
          <w:tcPr>
            <w:tcW w:w="540" w:type="dxa"/>
            <w:vAlign w:val="bottom"/>
            <w:tcBorders>
              <w:top w:val="single" w:sz="8" w:color="FEFEFE"/>
              <w:right w:val="single" w:sz="8" w:color="FEFEFE"/>
            </w:tcBorders>
            <w:shd w:val="clear" w:color="auto" w:fill="FEFEFE"/>
          </w:tcPr>
          <w:p>
            <w:pPr>
              <w:spacing w:after="0"/>
              <w:rPr>
                <w:sz w:val="14"/>
                <w:szCs w:val="14"/>
                <w:color w:val="auto"/>
              </w:rPr>
            </w:pPr>
          </w:p>
        </w:tc>
        <w:tc>
          <w:tcPr>
            <w:tcW w:w="8280" w:type="dxa"/>
            <w:vAlign w:val="bottom"/>
            <w:tcBorders>
              <w:top w:val="single" w:sz="8" w:color="0000FF"/>
            </w:tcBorders>
            <w:gridSpan w:val="11"/>
            <w:shd w:val="clear" w:color="auto" w:fill="FEFEFE"/>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Ltd(incorporated herein by reference to Exhibit 2.2 to the Company’s quarterly report on Form 10-Q, as amended (File</w:t>
              </w:r>
            </w:hyperlink>
          </w:p>
        </w:tc>
        <w:tc>
          <w:tcPr>
            <w:tcW w:w="1000" w:type="dxa"/>
            <w:vAlign w:val="bottom"/>
            <w:tcBorders>
              <w:top w:val="single" w:sz="8" w:color="FEFEFE"/>
            </w:tcBorders>
            <w:gridSpan w:val="26"/>
            <w:shd w:val="clear" w:color="auto" w:fill="FEFEFE"/>
          </w:tcPr>
          <w:p>
            <w:pPr>
              <w:ind w:left="80"/>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No. 001-</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980" w:type="dxa"/>
            <w:vAlign w:val="bottom"/>
            <w:tcBorders>
              <w:top w:val="single" w:sz="8" w:color="0000FF"/>
            </w:tcBorders>
            <w:gridSpan w:val="25"/>
            <w:shd w:val="clear" w:color="auto" w:fill="FEFEFE"/>
          </w:tcPr>
          <w:p>
            <w:pPr>
              <w:spacing w:after="0" w:line="150"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37352)</w:t>
              </w:r>
              <w:r>
                <w:rPr>
                  <w:rFonts w:ascii="Times New Roman" w:cs="Times New Roman" w:eastAsia="Times New Roman" w:hAnsi="Times New Roman"/>
                  <w:sz w:val="17"/>
                  <w:szCs w:val="17"/>
                  <w:u w:val="single" w:color="auto"/>
                  <w:color w:val="0000FF"/>
                </w:rPr>
                <w:t>,filed</w:t>
              </w:r>
              <w:r>
                <w:rPr>
                  <w:rFonts w:ascii="Times New Roman" w:cs="Times New Roman" w:eastAsia="Times New Roman" w:hAnsi="Times New Roman"/>
                  <w:sz w:val="17"/>
                  <w:szCs w:val="17"/>
                  <w:color w:val="0000FF"/>
                </w:rPr>
                <w:t xml:space="preserve"> on May 29, 2015).</w:t>
              </w:r>
            </w:hyperlink>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FEFEFE"/>
            </w:tcBorders>
            <w:shd w:val="clear" w:color="auto" w:fill="FEFEFE"/>
          </w:tcPr>
          <w:p>
            <w:pPr>
              <w:spacing w:after="0" w:line="20" w:lineRule="exact"/>
              <w:rPr>
                <w:sz w:val="1"/>
                <w:szCs w:val="1"/>
                <w:color w:val="auto"/>
              </w:rPr>
            </w:pPr>
          </w:p>
        </w:tc>
        <w:tc>
          <w:tcPr>
            <w:tcW w:w="540" w:type="dxa"/>
            <w:vAlign w:val="bottom"/>
            <w:tcBorders>
              <w:bottom w:val="single" w:sz="8" w:color="FEFEFE"/>
              <w:right w:val="single" w:sz="8" w:color="FEFEFE"/>
            </w:tcBorders>
            <w:shd w:val="clear" w:color="auto" w:fill="FEFEFE"/>
          </w:tcPr>
          <w:p>
            <w:pPr>
              <w:spacing w:after="0" w:line="20" w:lineRule="exact"/>
              <w:rPr>
                <w:sz w:val="1"/>
                <w:szCs w:val="1"/>
                <w:color w:val="auto"/>
              </w:rPr>
            </w:pPr>
          </w:p>
        </w:tc>
        <w:tc>
          <w:tcPr>
            <w:tcW w:w="1080" w:type="dxa"/>
            <w:vAlign w:val="bottom"/>
            <w:tcBorders>
              <w:bottom w:val="single" w:sz="8" w:color="FEFEFE"/>
            </w:tcBorders>
            <w:shd w:val="clear" w:color="auto" w:fill="0000FF"/>
          </w:tcPr>
          <w:p>
            <w:pPr>
              <w:spacing w:after="0" w:line="20" w:lineRule="exact"/>
              <w:rPr>
                <w:sz w:val="1"/>
                <w:szCs w:val="1"/>
                <w:color w:val="auto"/>
              </w:rPr>
            </w:pPr>
          </w:p>
        </w:tc>
        <w:tc>
          <w:tcPr>
            <w:tcW w:w="1120" w:type="dxa"/>
            <w:vAlign w:val="bottom"/>
            <w:tcBorders>
              <w:bottom w:val="single" w:sz="8" w:color="FEFEFE"/>
            </w:tcBorders>
            <w:shd w:val="clear" w:color="auto" w:fill="0000FF"/>
          </w:tcPr>
          <w:p>
            <w:pPr>
              <w:spacing w:after="0" w:line="20" w:lineRule="exact"/>
              <w:rPr>
                <w:sz w:val="1"/>
                <w:szCs w:val="1"/>
                <w:color w:val="auto"/>
              </w:rPr>
            </w:pPr>
          </w:p>
        </w:tc>
        <w:tc>
          <w:tcPr>
            <w:tcW w:w="320" w:type="dxa"/>
            <w:vAlign w:val="bottom"/>
            <w:tcBorders>
              <w:bottom w:val="single" w:sz="8" w:color="FEFEFE"/>
            </w:tcBorders>
            <w:shd w:val="clear" w:color="auto" w:fill="FEFEFE"/>
          </w:tcPr>
          <w:p>
            <w:pPr>
              <w:spacing w:after="0" w:line="20" w:lineRule="exact"/>
              <w:rPr>
                <w:sz w:val="1"/>
                <w:szCs w:val="1"/>
                <w:color w:val="auto"/>
              </w:rPr>
            </w:pPr>
          </w:p>
        </w:tc>
        <w:tc>
          <w:tcPr>
            <w:tcW w:w="920" w:type="dxa"/>
            <w:vAlign w:val="bottom"/>
            <w:tcBorders>
              <w:bottom w:val="single" w:sz="8" w:color="FEFEFE"/>
            </w:tcBorders>
            <w:shd w:val="clear" w:color="auto" w:fill="FEFEFE"/>
          </w:tcPr>
          <w:p>
            <w:pPr>
              <w:spacing w:after="0" w:line="20" w:lineRule="exact"/>
              <w:rPr>
                <w:sz w:val="1"/>
                <w:szCs w:val="1"/>
                <w:color w:val="auto"/>
              </w:rPr>
            </w:pPr>
          </w:p>
        </w:tc>
        <w:tc>
          <w:tcPr>
            <w:tcW w:w="80" w:type="dxa"/>
            <w:vAlign w:val="bottom"/>
            <w:tcBorders>
              <w:bottom w:val="single" w:sz="8" w:color="FEFEFE"/>
            </w:tcBorders>
            <w:shd w:val="clear" w:color="auto" w:fill="FEFEFE"/>
          </w:tcPr>
          <w:p>
            <w:pPr>
              <w:spacing w:after="0" w:line="20" w:lineRule="exact"/>
              <w:rPr>
                <w:sz w:val="1"/>
                <w:szCs w:val="1"/>
                <w:color w:val="auto"/>
              </w:rPr>
            </w:pPr>
          </w:p>
        </w:tc>
        <w:tc>
          <w:tcPr>
            <w:tcW w:w="2180" w:type="dxa"/>
            <w:vAlign w:val="bottom"/>
            <w:tcBorders>
              <w:bottom w:val="single" w:sz="8" w:color="FEFEFE"/>
            </w:tcBorders>
            <w:shd w:val="clear" w:color="auto" w:fill="FEFEFE"/>
          </w:tcPr>
          <w:p>
            <w:pPr>
              <w:spacing w:after="0" w:line="20" w:lineRule="exact"/>
              <w:rPr>
                <w:sz w:val="1"/>
                <w:szCs w:val="1"/>
                <w:color w:val="auto"/>
              </w:rPr>
            </w:pPr>
          </w:p>
        </w:tc>
        <w:tc>
          <w:tcPr>
            <w:tcW w:w="240" w:type="dxa"/>
            <w:vAlign w:val="bottom"/>
            <w:tcBorders>
              <w:bottom w:val="single" w:sz="8" w:color="FEFEFE"/>
            </w:tcBorders>
            <w:shd w:val="clear" w:color="auto" w:fill="FEFEFE"/>
          </w:tcPr>
          <w:p>
            <w:pPr>
              <w:spacing w:after="0" w:line="20" w:lineRule="exact"/>
              <w:rPr>
                <w:sz w:val="1"/>
                <w:szCs w:val="1"/>
                <w:color w:val="auto"/>
              </w:rPr>
            </w:pPr>
          </w:p>
        </w:tc>
        <w:tc>
          <w:tcPr>
            <w:tcW w:w="480" w:type="dxa"/>
            <w:vAlign w:val="bottom"/>
            <w:tcBorders>
              <w:bottom w:val="single" w:sz="8" w:color="FEFEFE"/>
            </w:tcBorders>
            <w:shd w:val="clear" w:color="auto" w:fill="FEFEFE"/>
          </w:tcPr>
          <w:p>
            <w:pPr>
              <w:spacing w:after="0" w:line="20" w:lineRule="exact"/>
              <w:rPr>
                <w:sz w:val="1"/>
                <w:szCs w:val="1"/>
                <w:color w:val="auto"/>
              </w:rPr>
            </w:pPr>
          </w:p>
        </w:tc>
        <w:tc>
          <w:tcPr>
            <w:tcW w:w="520" w:type="dxa"/>
            <w:vAlign w:val="bottom"/>
            <w:tcBorders>
              <w:bottom w:val="single" w:sz="8" w:color="FEFEFE"/>
            </w:tcBorders>
            <w:shd w:val="clear" w:color="auto" w:fill="FEFEFE"/>
          </w:tcPr>
          <w:p>
            <w:pPr>
              <w:spacing w:after="0" w:line="20" w:lineRule="exact"/>
              <w:rPr>
                <w:sz w:val="1"/>
                <w:szCs w:val="1"/>
                <w:color w:val="auto"/>
              </w:rPr>
            </w:pPr>
          </w:p>
        </w:tc>
        <w:tc>
          <w:tcPr>
            <w:tcW w:w="320" w:type="dxa"/>
            <w:vAlign w:val="bottom"/>
            <w:tcBorders>
              <w:bottom w:val="single" w:sz="8" w:color="FEFEFE"/>
            </w:tcBorders>
            <w:shd w:val="clear" w:color="auto" w:fill="FEFEFE"/>
          </w:tcPr>
          <w:p>
            <w:pPr>
              <w:spacing w:after="0" w:line="20" w:lineRule="exact"/>
              <w:rPr>
                <w:sz w:val="1"/>
                <w:szCs w:val="1"/>
                <w:color w:val="auto"/>
              </w:rPr>
            </w:pPr>
          </w:p>
        </w:tc>
        <w:tc>
          <w:tcPr>
            <w:tcW w:w="1020" w:type="dxa"/>
            <w:vAlign w:val="bottom"/>
            <w:tcBorders>
              <w:bottom w:val="single" w:sz="8" w:color="FEFEFE"/>
            </w:tcBorders>
            <w:shd w:val="clear" w:color="auto" w:fill="FEFEFE"/>
          </w:tcPr>
          <w:p>
            <w:pPr>
              <w:spacing w:after="0" w:line="20" w:lineRule="exact"/>
              <w:rPr>
                <w:sz w:val="1"/>
                <w:szCs w:val="1"/>
                <w:color w:val="auto"/>
              </w:rPr>
            </w:pPr>
          </w:p>
        </w:tc>
        <w:tc>
          <w:tcPr>
            <w:tcW w:w="320" w:type="dxa"/>
            <w:vAlign w:val="bottom"/>
            <w:tcBorders>
              <w:bottom w:val="single" w:sz="8" w:color="FEFEFE"/>
            </w:tcBorders>
            <w:shd w:val="clear" w:color="auto" w:fill="FEFEFE"/>
          </w:tcPr>
          <w:p>
            <w:pPr>
              <w:spacing w:after="0" w:line="20" w:lineRule="exact"/>
              <w:rPr>
                <w:sz w:val="1"/>
                <w:szCs w:val="1"/>
                <w:color w:val="auto"/>
              </w:rPr>
            </w:pPr>
          </w:p>
        </w:tc>
        <w:tc>
          <w:tcPr>
            <w:tcW w:w="120" w:type="dxa"/>
            <w:vAlign w:val="bottom"/>
            <w:tcBorders>
              <w:bottom w:val="single" w:sz="8" w:color="FEFEFE"/>
            </w:tcBorders>
            <w:shd w:val="clear" w:color="auto" w:fill="FEFEFE"/>
          </w:tcPr>
          <w:p>
            <w:pPr>
              <w:spacing w:after="0" w:line="20" w:lineRule="exact"/>
              <w:rPr>
                <w:sz w:val="1"/>
                <w:szCs w:val="1"/>
                <w:color w:val="auto"/>
              </w:rPr>
            </w:pPr>
          </w:p>
        </w:tc>
        <w:tc>
          <w:tcPr>
            <w:tcW w:w="40" w:type="dxa"/>
            <w:vAlign w:val="bottom"/>
            <w:tcBorders>
              <w:bottom w:val="single" w:sz="8" w:color="FEFEFE"/>
              <w:right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8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shd w:val="clear" w:color="auto" w:fill="FEFEFE"/>
          </w:tcPr>
          <w:p>
            <w:pPr>
              <w:ind w:left="20"/>
              <w:spacing w:after="0" w:line="183" w:lineRule="exact"/>
              <w:rPr>
                <w:sz w:val="20"/>
                <w:szCs w:val="20"/>
                <w:color w:val="auto"/>
              </w:rPr>
            </w:pPr>
            <w:r>
              <w:rPr>
                <w:rFonts w:ascii="Times New Roman" w:cs="Times New Roman" w:eastAsia="Times New Roman" w:hAnsi="Times New Roman"/>
                <w:sz w:val="17"/>
                <w:szCs w:val="17"/>
                <w:color w:val="auto"/>
              </w:rPr>
              <w:t>2.3</w:t>
            </w:r>
          </w:p>
        </w:tc>
        <w:tc>
          <w:tcPr>
            <w:tcW w:w="540" w:type="dxa"/>
            <w:vAlign w:val="bottom"/>
            <w:tcBorders>
              <w:right w:val="single" w:sz="8" w:color="FEFEFE"/>
            </w:tcBorders>
          </w:tcPr>
          <w:p>
            <w:pPr>
              <w:spacing w:after="0"/>
              <w:rPr>
                <w:sz w:val="15"/>
                <w:szCs w:val="15"/>
                <w:color w:val="auto"/>
              </w:rPr>
            </w:pPr>
          </w:p>
        </w:tc>
        <w:tc>
          <w:tcPr>
            <w:tcW w:w="9280" w:type="dxa"/>
            <w:vAlign w:val="bottom"/>
            <w:gridSpan w:val="37"/>
            <w:shd w:val="clear" w:color="auto" w:fill="FEFEFE"/>
          </w:tcPr>
          <w:p>
            <w:pPr>
              <w:spacing w:after="0" w:line="18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Merger Agreement, dated April 15, 2015, by and among Virtu Financial, Inc., Virtu Financial Merger Sub II LLC, Virtu Financial</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right w:val="single" w:sz="8" w:color="FEFEFE"/>
            </w:tcBorders>
          </w:tcPr>
          <w:p>
            <w:pPr>
              <w:spacing w:after="0"/>
              <w:rPr>
                <w:sz w:val="13"/>
                <w:szCs w:val="13"/>
                <w:color w:val="auto"/>
              </w:rPr>
            </w:pPr>
          </w:p>
        </w:tc>
        <w:tc>
          <w:tcPr>
            <w:tcW w:w="9100" w:type="dxa"/>
            <w:vAlign w:val="bottom"/>
            <w:tcBorders>
              <w:top w:val="single" w:sz="8" w:color="0000FF"/>
            </w:tcBorders>
            <w:gridSpan w:val="31"/>
            <w:shd w:val="clear" w:color="auto" w:fill="FEFEFE"/>
          </w:tcPr>
          <w:p>
            <w:pPr>
              <w:spacing w:after="0" w:line="150"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Intermediate Holdings II LLC and Wilbur Investments LLC (incorporated herein by reference to Exhibit 2.3 to the Company’s</w:t>
              </w:r>
            </w:hyperlink>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shd w:val="clear" w:color="auto" w:fill="FEFEFE"/>
          </w:tcPr>
          <w:p>
            <w:pPr>
              <w:spacing w:after="0"/>
              <w:rPr>
                <w:sz w:val="14"/>
                <w:szCs w:val="14"/>
                <w:color w:val="auto"/>
              </w:rPr>
            </w:pPr>
          </w:p>
        </w:tc>
        <w:tc>
          <w:tcPr>
            <w:tcW w:w="540" w:type="dxa"/>
            <w:vAlign w:val="bottom"/>
            <w:tcBorders>
              <w:right w:val="single" w:sz="8" w:color="FEFEFE"/>
            </w:tcBorders>
          </w:tcPr>
          <w:p>
            <w:pPr>
              <w:spacing w:after="0"/>
              <w:rPr>
                <w:sz w:val="14"/>
                <w:szCs w:val="14"/>
                <w:color w:val="auto"/>
              </w:rPr>
            </w:pPr>
          </w:p>
        </w:tc>
        <w:tc>
          <w:tcPr>
            <w:tcW w:w="8880" w:type="dxa"/>
            <w:vAlign w:val="bottom"/>
            <w:tcBorders>
              <w:top w:val="single" w:sz="8" w:color="0000FF"/>
            </w:tcBorders>
            <w:gridSpan w:val="20"/>
            <w:shd w:val="clear" w:color="auto" w:fill="FEFEFE"/>
          </w:tcPr>
          <w:p>
            <w:pPr>
              <w:spacing w:after="0" w:line="16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Quarterly Report on Form 10-Q, as amended (File No. 001-37352), filed on May 29, 2015).</w:t>
              </w:r>
            </w:hyperlink>
          </w:p>
        </w:tc>
        <w:tc>
          <w:tcPr>
            <w:tcW w:w="80" w:type="dxa"/>
            <w:vAlign w:val="bottom"/>
            <w:tcBorders>
              <w:top w:val="single" w:sz="8" w:color="FEFEFE"/>
            </w:tcBorders>
            <w:gridSpan w:val="4"/>
            <w:shd w:val="clear" w:color="auto" w:fill="FEFEFE"/>
          </w:tcPr>
          <w:p>
            <w:pPr>
              <w:spacing w:after="0"/>
              <w:rPr>
                <w:sz w:val="14"/>
                <w:szCs w:val="14"/>
                <w:color w:val="auto"/>
              </w:rPr>
            </w:pPr>
          </w:p>
        </w:tc>
        <w:tc>
          <w:tcPr>
            <w:tcW w:w="60" w:type="dxa"/>
            <w:vAlign w:val="bottom"/>
            <w:tcBorders>
              <w:top w:val="single" w:sz="8" w:color="FEFEFE"/>
            </w:tcBorders>
            <w:gridSpan w:val="3"/>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10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340" w:type="dxa"/>
            <w:vAlign w:val="bottom"/>
            <w:gridSpan w:val="2"/>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2.4</w:t>
            </w:r>
          </w:p>
        </w:tc>
        <w:tc>
          <w:tcPr>
            <w:tcW w:w="540" w:type="dxa"/>
            <w:vAlign w:val="bottom"/>
            <w:tcBorders>
              <w:right w:val="single" w:sz="8" w:color="FEFEFE"/>
            </w:tcBorders>
          </w:tcPr>
          <w:p>
            <w:pPr>
              <w:spacing w:after="0"/>
              <w:rPr>
                <w:sz w:val="17"/>
                <w:szCs w:val="17"/>
                <w:color w:val="auto"/>
              </w:rPr>
            </w:pPr>
          </w:p>
        </w:tc>
        <w:tc>
          <w:tcPr>
            <w:tcW w:w="9280" w:type="dxa"/>
            <w:vAlign w:val="bottom"/>
            <w:gridSpan w:val="37"/>
            <w:shd w:val="clear" w:color="auto" w:fill="FEFEFE"/>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Agreement and Plan of Merger, dated April 20, 2017, by and among Virtu Financial, Inc., Orchestra Merger Sub, Inc. and KCG</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right w:val="single" w:sz="8" w:color="FEFEFE"/>
            </w:tcBorders>
          </w:tcPr>
          <w:p>
            <w:pPr>
              <w:spacing w:after="0"/>
              <w:rPr>
                <w:sz w:val="13"/>
                <w:szCs w:val="13"/>
                <w:color w:val="auto"/>
              </w:rPr>
            </w:pPr>
          </w:p>
        </w:tc>
        <w:tc>
          <w:tcPr>
            <w:tcW w:w="8960" w:type="dxa"/>
            <w:vAlign w:val="bottom"/>
            <w:tcBorders>
              <w:top w:val="single" w:sz="8" w:color="0000FF"/>
            </w:tcBorders>
            <w:gridSpan w:val="24"/>
            <w:shd w:val="clear" w:color="auto" w:fill="FEFEFE"/>
          </w:tcPr>
          <w:p>
            <w:pPr>
              <w:spacing w:after="0" w:line="150"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Holdings, Inc. (incorporated herein by reference to Exhibit 2.1 to the Company’s Current Report on Form 8-K (File No. 001-</w:t>
              </w:r>
            </w:hyperlink>
          </w:p>
        </w:tc>
        <w:tc>
          <w:tcPr>
            <w:tcW w:w="60" w:type="dxa"/>
            <w:vAlign w:val="bottom"/>
            <w:tcBorders>
              <w:top w:val="single" w:sz="8" w:color="FEFEFE"/>
            </w:tcBorders>
            <w:gridSpan w:val="3"/>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shd w:val="clear" w:color="auto" w:fill="FEFEFE"/>
          </w:tcPr>
          <w:p>
            <w:pPr>
              <w:spacing w:after="0"/>
              <w:rPr>
                <w:sz w:val="14"/>
                <w:szCs w:val="14"/>
                <w:color w:val="auto"/>
              </w:rPr>
            </w:pPr>
          </w:p>
        </w:tc>
        <w:tc>
          <w:tcPr>
            <w:tcW w:w="540" w:type="dxa"/>
            <w:vAlign w:val="bottom"/>
            <w:tcBorders>
              <w:right w:val="single" w:sz="8" w:color="FEFEFE"/>
            </w:tcBorders>
          </w:tcPr>
          <w:p>
            <w:pPr>
              <w:spacing w:after="0"/>
              <w:rPr>
                <w:sz w:val="14"/>
                <w:szCs w:val="14"/>
                <w:color w:val="auto"/>
              </w:rPr>
            </w:pPr>
          </w:p>
        </w:tc>
        <w:tc>
          <w:tcPr>
            <w:tcW w:w="8760" w:type="dxa"/>
            <w:vAlign w:val="bottom"/>
            <w:tcBorders>
              <w:top w:val="single" w:sz="8" w:color="0000FF"/>
              <w:right w:val="single" w:sz="8" w:color="FEFEFE"/>
            </w:tcBorders>
            <w:gridSpan w:val="14"/>
            <w:shd w:val="clear" w:color="auto" w:fill="FEFEFE"/>
          </w:tcPr>
          <w:p>
            <w:pPr>
              <w:spacing w:after="0" w:line="16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37352)</w:t>
              </w:r>
              <w:r>
                <w:rPr>
                  <w:rFonts w:ascii="Times New Roman" w:cs="Times New Roman" w:eastAsia="Times New Roman" w:hAnsi="Times New Roman"/>
                  <w:sz w:val="17"/>
                  <w:szCs w:val="17"/>
                  <w:u w:val="single" w:color="auto"/>
                  <w:color w:val="0000FF"/>
                </w:rPr>
                <w:t>filed</w:t>
              </w:r>
              <w:r>
                <w:rPr>
                  <w:rFonts w:ascii="Times New Roman" w:cs="Times New Roman" w:eastAsia="Times New Roman" w:hAnsi="Times New Roman"/>
                  <w:sz w:val="17"/>
                  <w:szCs w:val="17"/>
                  <w:color w:val="0000FF"/>
                </w:rPr>
                <w:t xml:space="preserve"> on April 21, 2017).</w:t>
              </w:r>
            </w:hyperlink>
          </w:p>
        </w:tc>
        <w:tc>
          <w:tcPr>
            <w:tcW w:w="4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180" w:type="dxa"/>
            <w:vAlign w:val="bottom"/>
            <w:tcBorders>
              <w:top w:val="single" w:sz="8" w:color="FEFEFE"/>
            </w:tcBorders>
            <w:gridSpan w:val="9"/>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10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9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180" w:type="dxa"/>
            <w:vAlign w:val="bottom"/>
            <w:shd w:val="clear" w:color="auto" w:fill="FEFEFE"/>
          </w:tcPr>
          <w:p>
            <w:pPr>
              <w:spacing w:after="0" w:line="20" w:lineRule="exact"/>
              <w:rPr>
                <w:sz w:val="1"/>
                <w:szCs w:val="1"/>
                <w:color w:val="auto"/>
              </w:rPr>
            </w:pPr>
          </w:p>
        </w:tc>
        <w:tc>
          <w:tcPr>
            <w:tcW w:w="240" w:type="dxa"/>
            <w:vAlign w:val="bottom"/>
            <w:shd w:val="clear" w:color="auto" w:fill="FEFEFE"/>
          </w:tcPr>
          <w:p>
            <w:pPr>
              <w:spacing w:after="0" w:line="20" w:lineRule="exact"/>
              <w:rPr>
                <w:sz w:val="1"/>
                <w:szCs w:val="1"/>
                <w:color w:val="auto"/>
              </w:rPr>
            </w:pPr>
          </w:p>
        </w:tc>
        <w:tc>
          <w:tcPr>
            <w:tcW w:w="1000" w:type="dxa"/>
            <w:vAlign w:val="bottom"/>
            <w:gridSpan w:val="2"/>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340" w:type="dxa"/>
            <w:vAlign w:val="bottom"/>
            <w:gridSpan w:val="2"/>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80" w:type="dxa"/>
            <w:vAlign w:val="bottom"/>
            <w:gridSpan w:val="9"/>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Borders>
              <w:right w:val="single" w:sz="8" w:color="FEFEFE"/>
            </w:tcBorders>
          </w:tcPr>
          <w:p>
            <w:pPr>
              <w:spacing w:after="0"/>
              <w:rPr>
                <w:sz w:val="17"/>
                <w:szCs w:val="17"/>
                <w:color w:val="auto"/>
              </w:rPr>
            </w:pPr>
          </w:p>
        </w:tc>
        <w:tc>
          <w:tcPr>
            <w:tcW w:w="9280" w:type="dxa"/>
            <w:vAlign w:val="bottom"/>
            <w:gridSpan w:val="37"/>
            <w:shd w:val="clear" w:color="auto" w:fill="FEFEFE"/>
          </w:tcPr>
          <w:p>
            <w:pPr>
              <w:spacing w:after="0"/>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Temasek Investment Agreement, dated April 20, 2017, by and between Virtu Financial, Inc. and Aranda Investments Pte. Ltd.</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right w:val="single" w:sz="8" w:color="FEFEFE"/>
            </w:tcBorders>
          </w:tcPr>
          <w:p>
            <w:pPr>
              <w:spacing w:after="0"/>
              <w:rPr>
                <w:sz w:val="13"/>
                <w:szCs w:val="13"/>
                <w:color w:val="auto"/>
              </w:rPr>
            </w:pPr>
          </w:p>
        </w:tc>
        <w:tc>
          <w:tcPr>
            <w:tcW w:w="8820" w:type="dxa"/>
            <w:vAlign w:val="bottom"/>
            <w:tcBorders>
              <w:top w:val="single" w:sz="8" w:color="0000FF"/>
            </w:tcBorders>
            <w:gridSpan w:val="17"/>
            <w:shd w:val="clear" w:color="auto" w:fill="FEFEFE"/>
          </w:tcPr>
          <w:p>
            <w:pPr>
              <w:spacing w:after="0" w:line="150"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(incorporated herein by reference to Exhibit 2.2 to the Company’s Quarterly Report on Form 10-Q (File No. 001-37352) filed</w:t>
              </w:r>
            </w:hyperlink>
          </w:p>
        </w:tc>
        <w:tc>
          <w:tcPr>
            <w:tcW w:w="20" w:type="dxa"/>
            <w:vAlign w:val="bottom"/>
            <w:tcBorders>
              <w:top w:val="single" w:sz="8" w:color="FEFEFE"/>
            </w:tcBorders>
            <w:shd w:val="clear" w:color="auto" w:fill="FEFEFE"/>
          </w:tcPr>
          <w:p>
            <w:pPr>
              <w:spacing w:after="0"/>
              <w:rPr>
                <w:sz w:val="13"/>
                <w:szCs w:val="13"/>
                <w:color w:val="auto"/>
              </w:rPr>
            </w:pPr>
          </w:p>
        </w:tc>
        <w:tc>
          <w:tcPr>
            <w:tcW w:w="440" w:type="dxa"/>
            <w:vAlign w:val="bottom"/>
            <w:tcBorders>
              <w:top w:val="single" w:sz="8" w:color="FEFEFE"/>
            </w:tcBorders>
            <w:gridSpan w:val="19"/>
            <w:shd w:val="clear" w:color="auto" w:fill="FEFEFE"/>
          </w:tcPr>
          <w:p>
            <w:pPr>
              <w:spacing w:after="0" w:line="150"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vMerge w:val="restart"/>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2.6</w:t>
            </w:r>
          </w:p>
        </w:tc>
        <w:tc>
          <w:tcPr>
            <w:tcW w:w="540" w:type="dxa"/>
            <w:vAlign w:val="bottom"/>
            <w:tcBorders>
              <w:right w:val="single" w:sz="8" w:color="FEFEFE"/>
            </w:tcBorders>
          </w:tcPr>
          <w:p>
            <w:pPr>
              <w:spacing w:after="0"/>
              <w:rPr>
                <w:sz w:val="14"/>
                <w:szCs w:val="14"/>
                <w:color w:val="auto"/>
              </w:rPr>
            </w:pPr>
          </w:p>
        </w:tc>
        <w:tc>
          <w:tcPr>
            <w:tcW w:w="9020" w:type="dxa"/>
            <w:vAlign w:val="bottom"/>
            <w:tcBorders>
              <w:top w:val="single" w:sz="8" w:color="0000FF"/>
            </w:tcBorders>
            <w:gridSpan w:val="27"/>
            <w:shd w:val="clear" w:color="auto" w:fill="FEFEFE"/>
          </w:tcPr>
          <w:p>
            <w:pPr>
              <w:spacing w:after="0" w:line="16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May 10, 2017).</w:t>
              </w:r>
            </w:hyperlink>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10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440" w:type="dxa"/>
            <w:vAlign w:val="bottom"/>
            <w:vMerge w:val="continue"/>
            <w:shd w:val="clear" w:color="auto" w:fill="FEFEFE"/>
          </w:tcPr>
          <w:p>
            <w:pPr>
              <w:spacing w:after="0"/>
              <w:rPr>
                <w:sz w:val="3"/>
                <w:szCs w:val="3"/>
                <w:color w:val="auto"/>
              </w:rPr>
            </w:pPr>
          </w:p>
        </w:tc>
        <w:tc>
          <w:tcPr>
            <w:tcW w:w="540" w:type="dxa"/>
            <w:vAlign w:val="bottom"/>
            <w:tcBorders>
              <w:right w:val="single" w:sz="8" w:color="FEFEFE"/>
            </w:tcBorders>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1120" w:type="dxa"/>
            <w:vAlign w:val="bottom"/>
            <w:shd w:val="clear" w:color="auto" w:fill="FEFEFE"/>
          </w:tcPr>
          <w:p>
            <w:pPr>
              <w:spacing w:after="0"/>
              <w:rPr>
                <w:sz w:val="3"/>
                <w:szCs w:val="3"/>
                <w:color w:val="auto"/>
              </w:rPr>
            </w:pPr>
          </w:p>
        </w:tc>
        <w:tc>
          <w:tcPr>
            <w:tcW w:w="320" w:type="dxa"/>
            <w:vAlign w:val="bottom"/>
            <w:shd w:val="clear" w:color="auto" w:fill="FEFEFE"/>
          </w:tcPr>
          <w:p>
            <w:pPr>
              <w:spacing w:after="0"/>
              <w:rPr>
                <w:sz w:val="3"/>
                <w:szCs w:val="3"/>
                <w:color w:val="auto"/>
              </w:rPr>
            </w:pPr>
          </w:p>
        </w:tc>
        <w:tc>
          <w:tcPr>
            <w:tcW w:w="920" w:type="dxa"/>
            <w:vAlign w:val="bottom"/>
            <w:shd w:val="clear" w:color="auto" w:fill="FEFEFE"/>
          </w:tcPr>
          <w:p>
            <w:pPr>
              <w:spacing w:after="0"/>
              <w:rPr>
                <w:sz w:val="3"/>
                <w:szCs w:val="3"/>
                <w:color w:val="auto"/>
              </w:rPr>
            </w:pPr>
          </w:p>
        </w:tc>
        <w:tc>
          <w:tcPr>
            <w:tcW w:w="80" w:type="dxa"/>
            <w:vAlign w:val="bottom"/>
            <w:shd w:val="clear" w:color="auto" w:fill="FEFEFE"/>
          </w:tcPr>
          <w:p>
            <w:pPr>
              <w:spacing w:after="0"/>
              <w:rPr>
                <w:sz w:val="3"/>
                <w:szCs w:val="3"/>
                <w:color w:val="auto"/>
              </w:rPr>
            </w:pPr>
          </w:p>
        </w:tc>
        <w:tc>
          <w:tcPr>
            <w:tcW w:w="2180" w:type="dxa"/>
            <w:vAlign w:val="bottom"/>
            <w:shd w:val="clear" w:color="auto" w:fill="FEFEFE"/>
          </w:tcPr>
          <w:p>
            <w:pPr>
              <w:spacing w:after="0"/>
              <w:rPr>
                <w:sz w:val="3"/>
                <w:szCs w:val="3"/>
                <w:color w:val="auto"/>
              </w:rPr>
            </w:pPr>
          </w:p>
        </w:tc>
        <w:tc>
          <w:tcPr>
            <w:tcW w:w="240" w:type="dxa"/>
            <w:vAlign w:val="bottom"/>
            <w:shd w:val="clear" w:color="auto" w:fill="FEFEFE"/>
          </w:tcPr>
          <w:p>
            <w:pPr>
              <w:spacing w:after="0"/>
              <w:rPr>
                <w:sz w:val="3"/>
                <w:szCs w:val="3"/>
                <w:color w:val="auto"/>
              </w:rPr>
            </w:pPr>
          </w:p>
        </w:tc>
        <w:tc>
          <w:tcPr>
            <w:tcW w:w="480" w:type="dxa"/>
            <w:vAlign w:val="bottom"/>
            <w:shd w:val="clear" w:color="auto" w:fill="FEFEFE"/>
          </w:tcPr>
          <w:p>
            <w:pPr>
              <w:spacing w:after="0"/>
              <w:rPr>
                <w:sz w:val="3"/>
                <w:szCs w:val="3"/>
                <w:color w:val="auto"/>
              </w:rPr>
            </w:pPr>
          </w:p>
        </w:tc>
        <w:tc>
          <w:tcPr>
            <w:tcW w:w="520" w:type="dxa"/>
            <w:vAlign w:val="bottom"/>
            <w:shd w:val="clear" w:color="auto" w:fill="FEFEFE"/>
          </w:tcPr>
          <w:p>
            <w:pPr>
              <w:spacing w:after="0"/>
              <w:rPr>
                <w:sz w:val="3"/>
                <w:szCs w:val="3"/>
                <w:color w:val="auto"/>
              </w:rPr>
            </w:pPr>
          </w:p>
        </w:tc>
        <w:tc>
          <w:tcPr>
            <w:tcW w:w="320" w:type="dxa"/>
            <w:vAlign w:val="bottom"/>
            <w:shd w:val="clear" w:color="auto" w:fill="FEFEFE"/>
          </w:tcPr>
          <w:p>
            <w:pPr>
              <w:spacing w:after="0"/>
              <w:rPr>
                <w:sz w:val="3"/>
                <w:szCs w:val="3"/>
                <w:color w:val="auto"/>
              </w:rPr>
            </w:pPr>
          </w:p>
        </w:tc>
        <w:tc>
          <w:tcPr>
            <w:tcW w:w="1020" w:type="dxa"/>
            <w:vAlign w:val="bottom"/>
            <w:shd w:val="clear" w:color="auto" w:fill="FEFEFE"/>
          </w:tcPr>
          <w:p>
            <w:pPr>
              <w:spacing w:after="0"/>
              <w:rPr>
                <w:sz w:val="3"/>
                <w:szCs w:val="3"/>
                <w:color w:val="auto"/>
              </w:rPr>
            </w:pPr>
          </w:p>
        </w:tc>
        <w:tc>
          <w:tcPr>
            <w:tcW w:w="320" w:type="dxa"/>
            <w:vAlign w:val="bottom"/>
            <w:shd w:val="clear" w:color="auto" w:fill="FEFEFE"/>
          </w:tcPr>
          <w:p>
            <w:pPr>
              <w:spacing w:after="0"/>
              <w:rPr>
                <w:sz w:val="3"/>
                <w:szCs w:val="3"/>
                <w:color w:val="auto"/>
              </w:rPr>
            </w:pPr>
          </w:p>
        </w:tc>
        <w:tc>
          <w:tcPr>
            <w:tcW w:w="120" w:type="dxa"/>
            <w:vAlign w:val="bottom"/>
            <w:shd w:val="clear" w:color="auto" w:fill="FEFEFE"/>
          </w:tcPr>
          <w:p>
            <w:pPr>
              <w:spacing w:after="0"/>
              <w:rPr>
                <w:sz w:val="3"/>
                <w:szCs w:val="3"/>
                <w:color w:val="auto"/>
              </w:rPr>
            </w:pPr>
          </w:p>
        </w:tc>
        <w:tc>
          <w:tcPr>
            <w:tcW w:w="40" w:type="dxa"/>
            <w:vAlign w:val="bottom"/>
            <w:tcBorders>
              <w:right w:val="single" w:sz="8" w:color="FEFEFE"/>
            </w:tcBorders>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8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Borders>
              <w:bottom w:val="single" w:sz="8" w:color="FEFEFE"/>
            </w:tcBorders>
            <w:vMerge w:val="continue"/>
            <w:shd w:val="clear" w:color="auto" w:fill="FEFEFE"/>
          </w:tcPr>
          <w:p>
            <w:pPr>
              <w:spacing w:after="0"/>
              <w:rPr>
                <w:sz w:val="15"/>
                <w:szCs w:val="15"/>
                <w:color w:val="auto"/>
              </w:rPr>
            </w:pPr>
          </w:p>
        </w:tc>
        <w:tc>
          <w:tcPr>
            <w:tcW w:w="540" w:type="dxa"/>
            <w:vAlign w:val="bottom"/>
          </w:tcPr>
          <w:p>
            <w:pPr>
              <w:spacing w:after="0"/>
              <w:rPr>
                <w:sz w:val="15"/>
                <w:szCs w:val="15"/>
                <w:color w:val="auto"/>
              </w:rPr>
            </w:pPr>
          </w:p>
        </w:tc>
        <w:tc>
          <w:tcPr>
            <w:tcW w:w="8600" w:type="dxa"/>
            <w:vAlign w:val="bottom"/>
            <w:tcBorders>
              <w:bottom w:val="single" w:sz="8" w:color="0000FF"/>
            </w:tcBorders>
            <w:gridSpan w:val="12"/>
          </w:tcPr>
          <w:p>
            <w:pPr>
              <w:spacing w:after="0" w:line="18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Agreement and Plan of Merger, dated November 6, 2018, by and among Virtu Financial, Inc., Impala Merger Sub, Inc. and</w:t>
              </w:r>
            </w:hyperlink>
          </w:p>
        </w:tc>
        <w:tc>
          <w:tcPr>
            <w:tcW w:w="6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440" w:type="dxa"/>
            <w:vAlign w:val="bottom"/>
            <w:shd w:val="clear" w:color="auto" w:fill="FEFEFE"/>
          </w:tcPr>
          <w:p>
            <w:pPr>
              <w:spacing w:after="0"/>
              <w:rPr>
                <w:sz w:val="13"/>
                <w:szCs w:val="13"/>
                <w:color w:val="auto"/>
              </w:rPr>
            </w:pPr>
          </w:p>
        </w:tc>
        <w:tc>
          <w:tcPr>
            <w:tcW w:w="540" w:type="dxa"/>
            <w:vAlign w:val="bottom"/>
          </w:tcPr>
          <w:p>
            <w:pPr>
              <w:spacing w:after="0"/>
              <w:rPr>
                <w:sz w:val="13"/>
                <w:szCs w:val="13"/>
                <w:color w:val="auto"/>
              </w:rPr>
            </w:pPr>
          </w:p>
        </w:tc>
        <w:tc>
          <w:tcPr>
            <w:tcW w:w="9280" w:type="dxa"/>
            <w:vAlign w:val="bottom"/>
            <w:gridSpan w:val="37"/>
          </w:tcPr>
          <w:p>
            <w:pPr>
              <w:spacing w:after="0" w:line="150"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Investment Technology Group, Inc. (incorporated herein by reference to Exhibit 2.1 to the Company's Current Report on Form 8-K</w:t>
              </w:r>
            </w:hyperlink>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shd w:val="clear" w:color="auto" w:fill="FEFEFE"/>
          </w:tcPr>
          <w:p>
            <w:pPr>
              <w:spacing w:after="0"/>
              <w:rPr>
                <w:sz w:val="14"/>
                <w:szCs w:val="14"/>
                <w:color w:val="auto"/>
              </w:rPr>
            </w:pPr>
          </w:p>
        </w:tc>
        <w:tc>
          <w:tcPr>
            <w:tcW w:w="540" w:type="dxa"/>
            <w:vAlign w:val="bottom"/>
          </w:tcPr>
          <w:p>
            <w:pPr>
              <w:spacing w:after="0"/>
              <w:rPr>
                <w:sz w:val="14"/>
                <w:szCs w:val="14"/>
                <w:color w:val="auto"/>
              </w:rPr>
            </w:pPr>
          </w:p>
        </w:tc>
        <w:tc>
          <w:tcPr>
            <w:tcW w:w="9220" w:type="dxa"/>
            <w:vAlign w:val="bottom"/>
            <w:tcBorders>
              <w:top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(File No. 001-37352) filed on November 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540" w:type="dxa"/>
            <w:vAlign w:val="bottom"/>
          </w:tcPr>
          <w:p>
            <w:pPr>
              <w:spacing w:after="0"/>
              <w:rPr>
                <w:sz w:val="17"/>
                <w:szCs w:val="17"/>
                <w:color w:val="auto"/>
              </w:rPr>
            </w:pPr>
          </w:p>
        </w:tc>
        <w:tc>
          <w:tcPr>
            <w:tcW w:w="9280" w:type="dxa"/>
            <w:vAlign w:val="bottom"/>
            <w:gridSpan w:val="37"/>
          </w:tcPr>
          <w:p>
            <w:pPr>
              <w:spacing w:after="0"/>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Amended and Restated Certificate of Incorporation of the Registrant (incorporated herein by reference to Exhibit 3.1 to the</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Pr>
          <w:p>
            <w:pPr>
              <w:spacing w:after="0"/>
              <w:rPr>
                <w:sz w:val="13"/>
                <w:szCs w:val="13"/>
                <w:color w:val="auto"/>
              </w:rPr>
            </w:pPr>
          </w:p>
        </w:tc>
        <w:tc>
          <w:tcPr>
            <w:tcW w:w="860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Company’s Quarterly Report on Form 10-Q, as amended (File No. 001-37352), filed on May 29, 2015).</w:t>
              </w:r>
            </w:hyperlink>
          </w:p>
        </w:tc>
        <w:tc>
          <w:tcPr>
            <w:tcW w:w="1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540" w:type="dxa"/>
            <w:vAlign w:val="bottom"/>
          </w:tcPr>
          <w:p>
            <w:pPr>
              <w:spacing w:after="0"/>
              <w:rPr>
                <w:sz w:val="18"/>
                <w:szCs w:val="18"/>
                <w:color w:val="auto"/>
              </w:rPr>
            </w:pPr>
          </w:p>
        </w:tc>
        <w:tc>
          <w:tcPr>
            <w:tcW w:w="9280" w:type="dxa"/>
            <w:vAlign w:val="bottom"/>
            <w:gridSpan w:val="37"/>
          </w:tcPr>
          <w:p>
            <w:pPr>
              <w:spacing w:after="0"/>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Amended and Restated By-laws of the Registrant (incorporated herein by reference to Exhibit 3.2 to the Company’s Quarterly</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Pr>
          <w:p>
            <w:pPr>
              <w:spacing w:after="0"/>
              <w:rPr>
                <w:sz w:val="13"/>
                <w:szCs w:val="13"/>
                <w:color w:val="auto"/>
              </w:rPr>
            </w:pPr>
          </w:p>
        </w:tc>
        <w:tc>
          <w:tcPr>
            <w:tcW w:w="884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Report on Form 10-Q, as amended (File No. 001-37352), filed on May 29, 2015).</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40" w:type="dxa"/>
            <w:vAlign w:val="bottom"/>
            <w:tcBorders>
              <w:bottom w:val="single" w:sz="8" w:color="FEFEFE"/>
            </w:tcBorders>
            <w:shd w:val="clear" w:color="auto" w:fill="FEFEFE"/>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gridSpan w:val="3"/>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260" w:type="dxa"/>
            <w:vAlign w:val="bottom"/>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780" w:type="dxa"/>
            <w:vAlign w:val="bottom"/>
            <w:gridSpan w:val="4"/>
          </w:tcPr>
          <w:p>
            <w:pPr>
              <w:spacing w:after="0"/>
              <w:rPr>
                <w:sz w:val="2"/>
                <w:szCs w:val="2"/>
                <w:color w:val="auto"/>
              </w:rPr>
            </w:pPr>
          </w:p>
        </w:tc>
        <w:tc>
          <w:tcPr>
            <w:tcW w:w="80" w:type="dxa"/>
            <w:vAlign w:val="bottom"/>
            <w:gridSpan w:val="3"/>
          </w:tcPr>
          <w:p>
            <w:pPr>
              <w:spacing w:after="0"/>
              <w:rPr>
                <w:sz w:val="2"/>
                <w:szCs w:val="2"/>
                <w:color w:val="auto"/>
              </w:rPr>
            </w:pPr>
          </w:p>
        </w:tc>
        <w:tc>
          <w:tcPr>
            <w:tcW w:w="240" w:type="dxa"/>
            <w:vAlign w:val="bottom"/>
            <w:gridSpan w:val="1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540" w:type="dxa"/>
            <w:vAlign w:val="bottom"/>
          </w:tcPr>
          <w:p>
            <w:pPr>
              <w:spacing w:after="0"/>
              <w:rPr>
                <w:sz w:val="15"/>
                <w:szCs w:val="15"/>
                <w:color w:val="auto"/>
              </w:rPr>
            </w:pPr>
          </w:p>
        </w:tc>
        <w:tc>
          <w:tcPr>
            <w:tcW w:w="9280" w:type="dxa"/>
            <w:vAlign w:val="bottom"/>
            <w:gridSpan w:val="37"/>
          </w:tcPr>
          <w:p>
            <w:pPr>
              <w:spacing w:after="0" w:line="18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Description of the Capital Stock (incorporated herein by reference to Exhibit 4.1 to the Company's Annual Report on Form 10-K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4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(File No. 001-37352) filed on February 28,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9280" w:type="dxa"/>
            <w:vAlign w:val="bottom"/>
            <w:gridSpan w:val="37"/>
          </w:tcPr>
          <w:p>
            <w:pPr>
              <w:spacing w:after="0"/>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Virtu Financial, Inc. Amended and Restated 2015 Management Incentive Plan (incorporated herein by reference to Exhibit 4.3 to</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the Company’s Registration Statement on Form S-8 (File No. 333-219110) filed on June 30, 2017).</w:t>
              </w:r>
            </w:hyperlink>
          </w:p>
        </w:tc>
        <w:tc>
          <w:tcPr>
            <w:tcW w:w="21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9280" w:type="dxa"/>
            <w:vAlign w:val="bottom"/>
            <w:gridSpan w:val="37"/>
          </w:tcPr>
          <w:p>
            <w:pPr>
              <w:spacing w:after="0"/>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Virtu Financial, Inc. Amended and Restated 2015 Management Incentive Plan Form of Restricted Stock Unit and Common Stock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8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Award Agreement (incorporated herein by reference to Exhibit 10.4 to the Company’s Annual Report on Form 10-K (File No. 001</w:t>
              </w:r>
            </w:hyperlink>
          </w:p>
        </w:tc>
        <w:tc>
          <w:tcPr>
            <w:tcW w:w="180" w:type="dxa"/>
            <w:vAlign w:val="bottom"/>
            <w:gridSpan w:val="6"/>
          </w:tcPr>
          <w:p>
            <w:pPr>
              <w:jc w:val="right"/>
              <w:ind w:right="80"/>
              <w:spacing w:after="0" w:line="150"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37352) filed on February 25, 2021).</w:t>
              </w:r>
            </w:hyperlink>
          </w:p>
        </w:tc>
        <w:tc>
          <w:tcPr>
            <w:tcW w:w="672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9280" w:type="dxa"/>
            <w:vAlign w:val="bottom"/>
            <w:gridSpan w:val="37"/>
          </w:tcPr>
          <w:p>
            <w:pPr>
              <w:spacing w:after="0"/>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Form of Indemnification Agreement (incorporated herein by reference to Exhibit 10.2 to the Company’s Amendment No. 2 to</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Form S-1 Registration Statement (File No. 333-194473) filed on February 20, 2015).</w:t>
              </w:r>
            </w:hyperlink>
          </w:p>
        </w:tc>
        <w:tc>
          <w:tcPr>
            <w:tcW w:w="3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940" w:type="dxa"/>
            <w:vAlign w:val="bottom"/>
            <w:gridSpan w:val="7"/>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2"/>
            <w:vMerge w:val="continue"/>
          </w:tcPr>
          <w:p>
            <w:pPr>
              <w:spacing w:after="0"/>
              <w:rPr>
                <w:sz w:val="19"/>
                <w:szCs w:val="19"/>
                <w:color w:val="auto"/>
              </w:rPr>
            </w:pPr>
          </w:p>
        </w:tc>
        <w:tc>
          <w:tcPr>
            <w:tcW w:w="9280" w:type="dxa"/>
            <w:vAlign w:val="bottom"/>
            <w:gridSpan w:val="37"/>
          </w:tcPr>
          <w:p>
            <w:pPr>
              <w:spacing w:after="0"/>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0" w:type="dxa"/>
            <w:vAlign w:val="bottom"/>
            <w:tcBorders>
              <w:top w:val="single" w:sz="8" w:color="0000FF"/>
              <w:bottom w:val="single" w:sz="8" w:color="0000FF"/>
            </w:tcBorders>
            <w:gridSpan w:val="33"/>
          </w:tcPr>
          <w:p>
            <w:pPr>
              <w:spacing w:after="0" w:line="176"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Award Agreement, dated as of January 24, 2020, by and between Virtu Financial, Inc. and Douglas A. Cifu (incorporated herein by</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80" w:type="dxa"/>
            <w:vAlign w:val="bottom"/>
            <w:gridSpan w:val="37"/>
          </w:tcPr>
          <w:p>
            <w:pPr>
              <w:spacing w:after="0" w:line="189"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reference to Exhibit 10.5 to the Company’s Annual Report on Form 10-K (File No. 001-37352), filed on February 18, 2022).</w:t>
              </w:r>
            </w:hyperlink>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8720" w:type="dxa"/>
            <w:vAlign w:val="bottom"/>
            <w:gridSpan w:val="13"/>
            <w:shd w:val="clear" w:color="auto" w:fill="0000FF"/>
          </w:tcPr>
          <w:p>
            <w:pPr>
              <w:spacing w:after="0" w:line="20" w:lineRule="exact"/>
              <w:rPr>
                <w:sz w:val="1"/>
                <w:szCs w:val="1"/>
                <w:color w:val="auto"/>
              </w:rPr>
            </w:pPr>
          </w:p>
        </w:tc>
        <w:tc>
          <w:tcPr>
            <w:tcW w:w="460" w:type="dxa"/>
            <w:vAlign w:val="bottom"/>
            <w:gridSpan w:val="1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9280" w:type="dxa"/>
            <w:vAlign w:val="bottom"/>
            <w:gridSpan w:val="37"/>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60" w:type="dxa"/>
            <w:vAlign w:val="bottom"/>
            <w:tcBorders>
              <w:top w:val="single" w:sz="8" w:color="0000FF"/>
            </w:tcBorders>
            <w:gridSpan w:val="36"/>
          </w:tcPr>
          <w:p>
            <w:pPr>
              <w:spacing w:after="0" w:line="150"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Award Agreement, dated as of January 24, 2020, by and between Virtu Financial, Inc. and Brett Fairclough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18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reference to Exhibit 10.6 to the Company’s Annual Report on Form 10-K (File No. 001-37352), filed on February 18, 2022).</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8720" w:type="dxa"/>
            <w:vAlign w:val="bottom"/>
            <w:gridSpan w:val="13"/>
            <w:shd w:val="clear" w:color="auto" w:fill="0000FF"/>
          </w:tcPr>
          <w:p>
            <w:pPr>
              <w:spacing w:after="0" w:line="20" w:lineRule="exact"/>
              <w:rPr>
                <w:sz w:val="1"/>
                <w:szCs w:val="1"/>
                <w:color w:val="auto"/>
              </w:rPr>
            </w:pPr>
          </w:p>
        </w:tc>
        <w:tc>
          <w:tcPr>
            <w:tcW w:w="5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9280" w:type="dxa"/>
            <w:vAlign w:val="bottom"/>
            <w:gridSpan w:val="37"/>
          </w:tcPr>
          <w:p>
            <w:pPr>
              <w:spacing w:after="0"/>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-4491990</wp:posOffset>
            </wp:positionV>
            <wp:extent cx="6204585" cy="4740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6204585" cy="4740910"/>
                    </a:xfrm>
                    <a:prstGeom prst="rect">
                      <a:avLst/>
                    </a:prstGeom>
                    <a:noFill/>
                  </pic:spPr>
                </pic:pic>
              </a:graphicData>
            </a:graphic>
          </wp:anchor>
        </w:drawing>
      </w:r>
    </w:p>
    <w:p>
      <w:pPr>
        <w:ind w:left="1980" w:right="140"/>
        <w:spacing w:after="0" w:line="239"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Award Agreement, dated as of January 24, 2020, by and between Virtu Financial, Inc. and Stephen Cavoli (incorporated herein by</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reference to Exhibit 10.7 to the Company’s Annual Report on Form 10-K (File No. 001-37352), filed on February 18, 2022).</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tcBorders>
              <w:bottom w:val="single" w:sz="8" w:color="FEFEFE"/>
            </w:tcBorders>
            <w:shd w:val="clear" w:color="auto" w:fill="FEFEFE"/>
          </w:tcPr>
          <w:p>
            <w:pPr>
              <w:spacing w:after="0"/>
              <w:rPr>
                <w:sz w:val="17"/>
                <w:szCs w:val="17"/>
                <w:color w:val="auto"/>
              </w:rPr>
            </w:pPr>
          </w:p>
        </w:tc>
        <w:tc>
          <w:tcPr>
            <w:tcW w:w="8280" w:type="dxa"/>
            <w:vAlign w:val="bottom"/>
            <w:tcBorders>
              <w:bottom w:val="single" w:sz="8" w:color="0000FF"/>
            </w:tcBorders>
            <w:gridSpan w:val="12"/>
            <w:shd w:val="clear" w:color="auto" w:fill="FEFEFE"/>
          </w:tcPr>
          <w:p>
            <w:pPr>
              <w:spacing w:after="0"/>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Employment Agreement, dated as of August 7, 2020, by and between Virtu Financial Operating LLC and Sean Galvin</w:t>
              </w:r>
            </w:hyperlink>
          </w:p>
        </w:tc>
        <w:tc>
          <w:tcPr>
            <w:tcW w:w="1080" w:type="dxa"/>
            <w:vAlign w:val="bottom"/>
            <w:tcBorders>
              <w:bottom w:val="single" w:sz="8" w:color="FEFEFE"/>
            </w:tcBorders>
            <w:gridSpan w:val="30"/>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9360" w:type="dxa"/>
            <w:vAlign w:val="bottom"/>
            <w:gridSpan w:val="42"/>
            <w:shd w:val="clear" w:color="auto" w:fill="FEFEFE"/>
          </w:tcPr>
          <w:p>
            <w:pPr>
              <w:spacing w:after="0" w:line="150"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(incorporated herein by reference to Exhibit 10.1 to the Company's Quarterly Report on Form 10-Q (File No. 001-37352) filed on</w:t>
              </w:r>
            </w:hyperlink>
          </w:p>
        </w:tc>
        <w:tc>
          <w:tcPr>
            <w:tcW w:w="0" w:type="dxa"/>
            <w:vAlign w:val="bottom"/>
          </w:tcPr>
          <w:p>
            <w:pPr>
              <w:spacing w:after="0"/>
              <w:rPr>
                <w:sz w:val="1"/>
                <w:szCs w:val="1"/>
                <w:color w:val="auto"/>
              </w:rPr>
            </w:pPr>
          </w:p>
        </w:tc>
      </w:tr>
      <w:tr>
        <w:trPr>
          <w:trHeight w:val="183"/>
        </w:trPr>
        <w:tc>
          <w:tcPr>
            <w:tcW w:w="1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10.8†</w:t>
            </w:r>
          </w:p>
        </w:tc>
        <w:tc>
          <w:tcPr>
            <w:tcW w:w="540" w:type="dxa"/>
            <w:vAlign w:val="bottom"/>
            <w:tcBorders>
              <w:top w:val="single" w:sz="8" w:color="FEFEFE"/>
              <w:bottom w:val="single" w:sz="8" w:color="FEFEFE"/>
            </w:tcBorders>
            <w:shd w:val="clear" w:color="auto" w:fill="FEFEFE"/>
          </w:tcPr>
          <w:p>
            <w:pPr>
              <w:spacing w:after="0"/>
              <w:rPr>
                <w:sz w:val="15"/>
                <w:szCs w:val="15"/>
                <w:color w:val="auto"/>
              </w:rPr>
            </w:pPr>
          </w:p>
        </w:tc>
        <w:tc>
          <w:tcPr>
            <w:tcW w:w="1360" w:type="dxa"/>
            <w:vAlign w:val="bottom"/>
            <w:tcBorders>
              <w:top w:val="single" w:sz="8" w:color="0000FF"/>
              <w:bottom w:val="single" w:sz="8" w:color="0000FF"/>
            </w:tcBorders>
            <w:gridSpan w:val="2"/>
            <w:shd w:val="clear" w:color="auto" w:fill="FEFEFE"/>
          </w:tcPr>
          <w:p>
            <w:pPr>
              <w:spacing w:after="0" w:line="16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November 6, 2020.</w:t>
              </w:r>
            </w:hyperlink>
          </w:p>
        </w:tc>
        <w:tc>
          <w:tcPr>
            <w:tcW w:w="7740" w:type="dxa"/>
            <w:vAlign w:val="bottom"/>
            <w:tcBorders>
              <w:top w:val="single" w:sz="8" w:color="0000FF"/>
              <w:bottom w:val="single" w:sz="8" w:color="FEFEFE"/>
            </w:tcBorders>
            <w:gridSpan w:val="27"/>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360" w:type="dxa"/>
            <w:vAlign w:val="bottom"/>
            <w:gridSpan w:val="42"/>
          </w:tcPr>
          <w:p>
            <w:pPr>
              <w:spacing w:after="0" w:line="18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20" w:type="dxa"/>
            <w:vAlign w:val="bottom"/>
            <w:tcBorders>
              <w:top w:val="single" w:sz="8" w:color="0000FF"/>
            </w:tcBorders>
            <w:gridSpan w:val="40"/>
          </w:tcPr>
          <w:p>
            <w:pPr>
              <w:spacing w:after="0" w:line="150"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Award Agreement, dated as of August 12, 2020, by and between Virtu Financial, Inc. and Sean Galvin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reference to Exhibit 10.2 to the Company's Quarterly Report on Form 10-Q (File No. 001-37352) filed on November 6, 2020.</w:t>
              </w:r>
            </w:hyperlink>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Credit Agreement, dated January 13, 2022, among Virtu Financial LLC, as Holdings, VFH Parent LLC, as Borrower, the Lenders,</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Issuing Banks and Swingline Lender Party Hereto, and JPMorgan Chase Bank, N.A., as Administrative Agent, and Jefferies</w:t>
              </w:r>
            </w:hyperlink>
          </w:p>
        </w:tc>
        <w:tc>
          <w:tcPr>
            <w:tcW w:w="4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360" w:type="dxa"/>
            <w:vAlign w:val="bottom"/>
            <w:gridSpan w:val="42"/>
          </w:tcPr>
          <w:p>
            <w:pPr>
              <w:spacing w:after="0" w:line="16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Finance LLC and RBC Capital Markets, as Joint Lead Arrangers and Joint Bookrunners (incorporated herein by reference to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Exhibit 10.11 to the Company’s Annual Report on Form 10-K (File No. 001-37352), filed on February 18, 2022).</w:t>
              </w:r>
            </w:hyperlink>
          </w:p>
        </w:tc>
        <w:tc>
          <w:tcPr>
            <w:tcW w:w="78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Stockholders Agreement, dated as of April 15, 2015, by and among Virtu Financial, Inc. and the stockholders named therein</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60" w:type="dxa"/>
            <w:vAlign w:val="bottom"/>
            <w:gridSpan w:val="42"/>
          </w:tcPr>
          <w:p>
            <w:pPr>
              <w:spacing w:after="0" w:line="150"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(incorporated herein by reference to Exhibit 10.2 to the Company’s Quarterly Report on Form 10-Q, as amended (File No. 001-</w:t>
              </w:r>
            </w:hyperlink>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2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37352) filed on May 29, 2015).</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Exchange Agreement, dated as of April 15, 2015, by and among Virtu Financial LLC, Virtu Financial, Inc. and the holders of</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60" w:type="dxa"/>
            <w:vAlign w:val="bottom"/>
            <w:gridSpan w:val="42"/>
          </w:tcPr>
          <w:p>
            <w:pPr>
              <w:spacing w:after="0" w:line="150"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Common Units and shares of Class C Common Stock or Class D Common Stock (as each defined therein) (incorporated herein by</w:t>
              </w:r>
            </w:hyperlink>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0" w:type="dxa"/>
            <w:vAlign w:val="bottom"/>
            <w:tcBorders>
              <w:top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reference to Exhibit 10.3 to the Company’s Quarterly Report on Form 10-Q, as amended (File No. 001-37352) filed on May 29,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2015).</w:t>
              </w:r>
            </w:hyperlink>
          </w:p>
        </w:tc>
        <w:tc>
          <w:tcPr>
            <w:tcW w:w="9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Tax Receivable Agreement, dated as of April 15, 2015, by and among Virtu Financial, Inc., TJMT Holdings LLC, Virtu Employee</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Holdco, the Management Members and other pre-IPO investors (incorporated herein by reference to Exhibit 10.5 to the Company’s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380" w:type="dxa"/>
            <w:vAlign w:val="bottom"/>
            <w:tcBorders>
              <w:bottom w:val="single" w:sz="8" w:color="0000FF"/>
            </w:tcBorders>
            <w:gridSpan w:val="8"/>
          </w:tcPr>
          <w:p>
            <w:pPr>
              <w:spacing w:after="0" w:line="16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Quarterly Report on Form 10-Q, as amended (File No. 001-37352) filed on May 29, 2015).</w:t>
              </w:r>
            </w:hyperlink>
          </w:p>
        </w:tc>
        <w:tc>
          <w:tcPr>
            <w:tcW w:w="2920" w:type="dxa"/>
            <w:vAlign w:val="bottom"/>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Tax Receivable Agreement, dated as of April 15, 2015, by and between Virtu Financial, Inc. and the Investor Post-IPO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30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Stockholders (incorporated herein by reference to Exhibit 10.6 to the Company’s Quarterly Report on Form 10-Q, as</w:t>
              </w:r>
            </w:hyperlink>
          </w:p>
        </w:tc>
        <w:tc>
          <w:tcPr>
            <w:tcW w:w="1060" w:type="dxa"/>
            <w:vAlign w:val="bottom"/>
            <w:gridSpan w:val="29"/>
          </w:tcPr>
          <w:p>
            <w:pPr>
              <w:jc w:val="center"/>
              <w:ind w:right="160"/>
              <w:spacing w:after="0" w:line="150" w:lineRule="exact"/>
              <w:rPr>
                <w:rFonts w:ascii="Times New Roman" w:cs="Times New Roman" w:eastAsia="Times New Roman" w:hAnsi="Times New Roman"/>
                <w:sz w:val="17"/>
                <w:szCs w:val="17"/>
                <w:color w:val="0000FF"/>
                <w:w w:val="92"/>
              </w:rPr>
            </w:pPr>
            <w:hyperlink r:id="rId225">
              <w:r>
                <w:rPr>
                  <w:rFonts w:ascii="Times New Roman" w:cs="Times New Roman" w:eastAsia="Times New Roman" w:hAnsi="Times New Roman"/>
                  <w:sz w:val="17"/>
                  <w:szCs w:val="17"/>
                  <w:color w:val="0000FF"/>
                  <w:w w:val="92"/>
                </w:rPr>
                <w:t>amended (File</w:t>
              </w:r>
            </w:hyperlink>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340" w:type="dxa"/>
            <w:vAlign w:val="bottom"/>
            <w:tcBorders>
              <w:top w:val="single" w:sz="8" w:color="0000FF"/>
            </w:tcBorders>
            <w:gridSpan w:val="41"/>
          </w:tcPr>
          <w:p>
            <w:pPr>
              <w:spacing w:after="0" w:line="16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No. 001-37352) filed on May 29, 2015).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Tax Receivable Agreement, dated as of April 15, 2015, by and among Virtu Financial, Inc. and the Silver Lake Post-IPO Members</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40" w:type="dxa"/>
            <w:vAlign w:val="bottom"/>
            <w:tcBorders>
              <w:top w:val="single" w:sz="8" w:color="0000FF"/>
            </w:tcBorders>
            <w:gridSpan w:val="36"/>
          </w:tcPr>
          <w:p>
            <w:pPr>
              <w:spacing w:after="0" w:line="150"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(incorporated herein by reference to Exhibit 10.7 to the Company’s Quarterly Report on Form 10-Q, as amended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2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37352) filed on May 29, 2015).</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Third Amended and Restated Limited Liability Company Agreement of Virtu Financial LLC, dated as of April 15, 2015</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60" w:type="dxa"/>
            <w:vAlign w:val="bottom"/>
            <w:gridSpan w:val="42"/>
          </w:tcPr>
          <w:p>
            <w:pPr>
              <w:spacing w:after="0" w:line="150"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(incorporated herein by reference to Exhibit 10.8 to the Company’s Quarterly Report on Form 10-Q, as amended (File No. 001-</w:t>
              </w:r>
            </w:hyperlink>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2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37352) filed on May 29, 2015).</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Amended and Restated Limited Liability Company Agreement of Virtu Employee Holdco LLC, dated as of April 15, 2015</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(incorporated herein by reference to Exhibit 10.9 to the Company’s Quarterly Report on Form 10-Q, as amended (File No.</w:t>
              </w:r>
            </w:hyperlink>
          </w:p>
        </w:tc>
        <w:tc>
          <w:tcPr>
            <w:tcW w:w="380" w:type="dxa"/>
            <w:vAlign w:val="bottom"/>
            <w:gridSpan w:val="8"/>
          </w:tcPr>
          <w:p>
            <w:pPr>
              <w:jc w:val="center"/>
              <w:ind w:right="40"/>
              <w:spacing w:after="0" w:line="150" w:lineRule="exact"/>
              <w:rPr>
                <w:rFonts w:ascii="Times New Roman" w:cs="Times New Roman" w:eastAsia="Times New Roman" w:hAnsi="Times New Roman"/>
                <w:sz w:val="17"/>
                <w:szCs w:val="17"/>
                <w:color w:val="0000FF"/>
                <w:w w:val="96"/>
              </w:rPr>
            </w:pPr>
            <w:hyperlink r:id="rId228">
              <w:r>
                <w:rPr>
                  <w:rFonts w:ascii="Times New Roman" w:cs="Times New Roman" w:eastAsia="Times New Roman" w:hAnsi="Times New Roman"/>
                  <w:sz w:val="17"/>
                  <w:szCs w:val="17"/>
                  <w:color w:val="0000FF"/>
                  <w:w w:val="96"/>
                </w:rPr>
                <w:t>001-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2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37352)</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on May 29, 2015).</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Class C Common Stock Subscription Agreement, dated as of April 15, 2015 (incorporated herein by reference to Exhibit 10.10 to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the Company’s Quarterly Report on Form 10-Q, as amended (File No. 001-37352) filed on May 29, 2015).</w:t>
              </w:r>
            </w:hyperlink>
          </w:p>
        </w:tc>
        <w:tc>
          <w:tcPr>
            <w:tcW w:w="15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540" w:type="dxa"/>
            <w:vAlign w:val="bottom"/>
          </w:tcPr>
          <w:p>
            <w:pPr>
              <w:spacing w:after="0"/>
              <w:rPr>
                <w:sz w:val="18"/>
                <w:szCs w:val="18"/>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Class D Common Stock Subscription Agreement, dated as of April 15, 2015 (incorporated herein by reference to Exhibit 10.11 to</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the Company’s Quarterly Report on Form 10-Q, as amended (File No. 001-37352) filed on May 29, 2015).</w:t>
              </w:r>
            </w:hyperlink>
          </w:p>
        </w:tc>
        <w:tc>
          <w:tcPr>
            <w:tcW w:w="16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540" w:type="dxa"/>
            <w:vAlign w:val="bottom"/>
          </w:tcPr>
          <w:p>
            <w:pPr>
              <w:spacing w:after="0"/>
              <w:rPr>
                <w:sz w:val="18"/>
                <w:szCs w:val="18"/>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Stockholders Agreement, dated April 20, 2017, by and among Virtu Financial, Inc., TJMT Holdings LLC, Aranda Investments Pte.</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80" w:type="dxa"/>
            <w:vAlign w:val="bottom"/>
            <w:tcBorders>
              <w:top w:val="single" w:sz="8" w:color="0000FF"/>
            </w:tcBorders>
            <w:gridSpan w:val="38"/>
          </w:tcPr>
          <w:p>
            <w:pPr>
              <w:spacing w:after="0" w:line="150"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Ltd., Havelock Fund Investments Pte Ltd. and North Island Holdings I, LP (incorporated herein by reference to Exhibit 10.2 to the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Company’s Quarterly Report on Form 10-Q (File No. 001-37352) filed on May 10, 2017).</w:t>
              </w:r>
            </w:hyperlink>
          </w:p>
        </w:tc>
        <w:tc>
          <w:tcPr>
            <w:tcW w:w="290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Amended and Restated Registration Rights Agreement, dated April 20, 2017, by and among Virtu Financial, Inc., TJMT Holdings</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6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LLC, Aranda Investments Pte. Ltd., Havelock Fund Investments Pte Ltd., North Island Holdings I, LP and the additional holders</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named therein (incorporated herein by reference to Exhibit 10.3 to the Company’s Quarterly Report on Form 10-Q (File No. 001</w:t>
              </w:r>
            </w:hyperlink>
          </w:p>
        </w:tc>
        <w:tc>
          <w:tcPr>
            <w:tcW w:w="120" w:type="dxa"/>
            <w:vAlign w:val="bottom"/>
            <w:gridSpan w:val="5"/>
          </w:tcPr>
          <w:p>
            <w:pPr>
              <w:jc w:val="right"/>
              <w:ind w:right="80"/>
              <w:spacing w:after="0"/>
              <w:rPr>
                <w:rFonts w:ascii="Times New Roman" w:cs="Times New Roman" w:eastAsia="Times New Roman" w:hAnsi="Times New Roman"/>
                <w:sz w:val="8"/>
                <w:szCs w:val="8"/>
                <w:color w:val="0000FF"/>
                <w:w w:val="73"/>
              </w:rPr>
            </w:pPr>
            <w:hyperlink r:id="rId232">
              <w:r>
                <w:rPr>
                  <w:rFonts w:ascii="Times New Roman" w:cs="Times New Roman" w:eastAsia="Times New Roman" w:hAnsi="Times New Roman"/>
                  <w:sz w:val="8"/>
                  <w:szCs w:val="8"/>
                  <w:color w:val="0000FF"/>
                  <w:w w:val="73"/>
                </w:rPr>
                <w:t>-</w:t>
              </w:r>
            </w:hyperlink>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4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37352) filed on May 10, 2017).</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Second Amendment, dated as of June 2, 2017, to the Third Amended and Restated Limited Liability Company Agreement of Virtu</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60" w:type="dxa"/>
            <w:vAlign w:val="bottom"/>
            <w:tcBorders>
              <w:top w:val="single" w:sz="8" w:color="0000FF"/>
            </w:tcBorders>
            <w:gridSpan w:val="37"/>
          </w:tcPr>
          <w:p>
            <w:pPr>
              <w:spacing w:after="0" w:line="150"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Financial LLC, by and among Virtu Financial LLC, Virtu Financial, Inc. and TJMT Holdings LLC (incorporated herein by</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1"/>
          </w:tcPr>
          <w:p>
            <w:pPr>
              <w:spacing w:after="0" w:line="163"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reference to Exhibit 10.1 to the Company’s Current Report on Form 8-K (File No. 001-37352) filed on June 2, 2017).</w:t>
              </w:r>
            </w:hyperlink>
          </w:p>
        </w:tc>
        <w:tc>
          <w:tcPr>
            <w:tcW w:w="360" w:type="dxa"/>
            <w:vAlign w:val="bottom"/>
            <w:tcBorders>
              <w:top w:val="single" w:sz="8" w:color="0000FF"/>
            </w:tcBorders>
            <w:gridSpan w:val="4"/>
          </w:tcPr>
          <w:p>
            <w:pPr>
              <w:spacing w:after="0"/>
              <w:rPr>
                <w:sz w:val="14"/>
                <w:szCs w:val="14"/>
                <w:color w:val="auto"/>
              </w:rPr>
            </w:pPr>
          </w:p>
        </w:tc>
        <w:tc>
          <w:tcPr>
            <w:tcW w:w="400" w:type="dxa"/>
            <w:vAlign w:val="bottom"/>
            <w:gridSpan w:val="9"/>
          </w:tcPr>
          <w:p>
            <w:pPr>
              <w:spacing w:after="0"/>
              <w:rPr>
                <w:sz w:val="14"/>
                <w:szCs w:val="14"/>
                <w:color w:val="auto"/>
              </w:rPr>
            </w:pPr>
          </w:p>
        </w:tc>
        <w:tc>
          <w:tcPr>
            <w:tcW w:w="14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Amended and Restated Investment Agreement, dated as of June 23, 2017, by and between Virtu Financial, Inc. and North Island</w:t>
              </w:r>
            </w:hyperlink>
          </w:p>
        </w:tc>
        <w:tc>
          <w:tcPr>
            <w:tcW w:w="0" w:type="dxa"/>
            <w:vAlign w:val="bottom"/>
          </w:tcPr>
          <w:p>
            <w:pPr>
              <w:spacing w:after="0"/>
              <w:rPr>
                <w:sz w:val="1"/>
                <w:szCs w:val="1"/>
                <w:color w:val="auto"/>
              </w:rPr>
            </w:pPr>
          </w:p>
        </w:tc>
      </w:tr>
      <w:tr>
        <w:trPr>
          <w:trHeight w:val="150"/>
        </w:trPr>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Holdings I, LP (incorporated herein by reference to Exhibit 10.8 to the Company’s Quarterly Report on Form 10-Q (File No. 001</w:t>
              </w:r>
            </w:hyperlink>
          </w:p>
        </w:tc>
        <w:tc>
          <w:tcPr>
            <w:tcW w:w="140" w:type="dxa"/>
            <w:vAlign w:val="bottom"/>
            <w:tcBorders>
              <w:bottom w:val="single" w:sz="8" w:color="0000FF"/>
            </w:tcBorders>
            <w:gridSpan w:val="6"/>
          </w:tcPr>
          <w:p>
            <w:pPr>
              <w:jc w:val="right"/>
              <w:ind w:right="40"/>
              <w:spacing w:after="0" w:line="150"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120" w:type="dxa"/>
            <w:vAlign w:val="bottom"/>
            <w:gridSpan w:val="30"/>
          </w:tcPr>
          <w:p>
            <w:pPr>
              <w:spacing w:after="0" w:line="163"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37352) filed on August 9, 2017).</w:t>
              </w:r>
            </w:hyperlink>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706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540" w:type="dxa"/>
            <w:vAlign w:val="bottom"/>
          </w:tcPr>
          <w:p>
            <w:pPr>
              <w:spacing w:after="0"/>
              <w:rPr>
                <w:sz w:val="17"/>
                <w:szCs w:val="17"/>
                <w:color w:val="auto"/>
              </w:rPr>
            </w:pPr>
          </w:p>
        </w:tc>
        <w:tc>
          <w:tcPr>
            <w:tcW w:w="9360" w:type="dxa"/>
            <w:vAlign w:val="bottom"/>
            <w:gridSpan w:val="42"/>
          </w:tcPr>
          <w:p>
            <w:pPr>
              <w:spacing w:after="0"/>
              <w:rPr>
                <w:rFonts w:ascii="Times New Roman" w:cs="Times New Roman" w:eastAsia="Times New Roman" w:hAnsi="Times New Roman"/>
                <w:sz w:val="17"/>
                <w:szCs w:val="17"/>
                <w:u w:val="single" w:color="auto"/>
                <w:color w:val="0000FF"/>
              </w:rPr>
            </w:pPr>
            <w:hyperlink r:id="rId235">
              <w:r>
                <w:rPr>
                  <w:rFonts w:ascii="Times New Roman" w:cs="Times New Roman" w:eastAsia="Times New Roman" w:hAnsi="Times New Roman"/>
                  <w:sz w:val="17"/>
                  <w:szCs w:val="17"/>
                  <w:u w:val="single" w:color="auto"/>
                  <w:color w:val="0000FF"/>
                </w:rPr>
                <w:t>Third Amendment, dated as of January 5, 2018, to the Third Amended and Restated Limited Liability Company Agreement of</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1121410</wp:posOffset>
            </wp:positionH>
            <wp:positionV relativeFrom="page">
              <wp:posOffset>579755</wp:posOffset>
            </wp:positionV>
            <wp:extent cx="332740" cy="63296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332740" cy="632968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-5714365</wp:posOffset>
            </wp:positionV>
            <wp:extent cx="7119620" cy="59639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19620" cy="5963920"/>
                    </a:xfrm>
                    <a:prstGeom prst="rect">
                      <a:avLst/>
                    </a:prstGeom>
                    <a:noFill/>
                  </pic:spPr>
                </pic:pic>
              </a:graphicData>
            </a:graphic>
          </wp:anchor>
        </w:drawing>
      </w:r>
    </w:p>
    <w:p>
      <w:pPr>
        <w:ind w:left="1960" w:right="540"/>
        <w:spacing w:after="0" w:line="239" w:lineRule="auto"/>
        <w:rPr>
          <w:rFonts w:ascii="Times New Roman" w:cs="Times New Roman" w:eastAsia="Times New Roman" w:hAnsi="Times New Roman"/>
          <w:sz w:val="17"/>
          <w:szCs w:val="17"/>
          <w:u w:val="single" w:color="auto"/>
          <w:color w:val="0000FF"/>
        </w:rPr>
      </w:pPr>
      <w:hyperlink r:id="rId235">
        <w:r>
          <w:rPr>
            <w:rFonts w:ascii="Times New Roman" w:cs="Times New Roman" w:eastAsia="Times New Roman" w:hAnsi="Times New Roman"/>
            <w:sz w:val="17"/>
            <w:szCs w:val="17"/>
            <w:u w:val="single" w:color="auto"/>
            <w:color w:val="0000FF"/>
          </w:rPr>
          <w:t>Virtu Financial LLC, dated as of April 15, 2015 (incorporated herein by reference to Exhibit 10.30 to the Company's Annual</w:t>
        </w:r>
      </w:hyperlink>
      <w:r>
        <w:rPr>
          <w:rFonts w:ascii="Times New Roman" w:cs="Times New Roman" w:eastAsia="Times New Roman" w:hAnsi="Times New Roman"/>
          <w:sz w:val="17"/>
          <w:szCs w:val="17"/>
          <w:u w:val="single" w:color="auto"/>
          <w:color w:val="0000FF"/>
        </w:rPr>
        <w:t xml:space="preserve"> </w:t>
      </w:r>
      <w:hyperlink r:id="rId235">
        <w:r>
          <w:rPr>
            <w:rFonts w:ascii="Times New Roman" w:cs="Times New Roman" w:eastAsia="Times New Roman" w:hAnsi="Times New Roman"/>
            <w:sz w:val="17"/>
            <w:szCs w:val="17"/>
            <w:u w:val="single" w:color="auto"/>
            <w:color w:val="0000FF"/>
          </w:rPr>
          <w:t>Report on Form 10-K (File No. 001-37352), filed on March 13, 2018).</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900" w:right="3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95"/>
        </w:trPr>
        <w:tc>
          <w:tcPr>
            <w:tcW w:w="14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540" w:type="dxa"/>
            <w:vAlign w:val="bottom"/>
            <w:tcBorders>
              <w:bottom w:val="single" w:sz="8" w:color="FEFEFE"/>
            </w:tcBorders>
            <w:shd w:val="clear" w:color="auto" w:fill="FEFEFE"/>
          </w:tcPr>
          <w:p>
            <w:pPr>
              <w:spacing w:after="0"/>
              <w:rPr>
                <w:sz w:val="17"/>
                <w:szCs w:val="17"/>
                <w:color w:val="auto"/>
              </w:rPr>
            </w:pPr>
          </w:p>
        </w:tc>
        <w:tc>
          <w:tcPr>
            <w:tcW w:w="8580" w:type="dxa"/>
            <w:vAlign w:val="bottom"/>
            <w:tcBorders>
              <w:bottom w:val="single" w:sz="8" w:color="0000FF"/>
            </w:tcBorders>
            <w:gridSpan w:val="7"/>
            <w:shd w:val="clear" w:color="auto" w:fill="FEFEFE"/>
          </w:tcPr>
          <w:p>
            <w:pPr>
              <w:spacing w:after="0"/>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Amendment No. 1 to the Amended and Restated Registration Rights Agreement, dated May 10, 2018, by and among Virtu</w:t>
              </w:r>
            </w:hyperlink>
          </w:p>
        </w:tc>
        <w:tc>
          <w:tcPr>
            <w:tcW w:w="660" w:type="dxa"/>
            <w:vAlign w:val="bottom"/>
            <w:tcBorders>
              <w:bottom w:val="single" w:sz="8" w:color="FEFEFE"/>
            </w:tcBorders>
            <w:gridSpan w:val="23"/>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4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9240" w:type="dxa"/>
            <w:vAlign w:val="bottom"/>
            <w:gridSpan w:val="30"/>
            <w:shd w:val="clear" w:color="auto" w:fill="FEFEFE"/>
          </w:tcPr>
          <w:p>
            <w:pPr>
              <w:spacing w:after="0" w:line="150"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Financial, Inc., TJMT Holdings LLC, North Island Holdings I, LP, Havelock Fund Investments Pte Ltd and Aranda Investments</w:t>
              </w:r>
            </w:hyperlink>
          </w:p>
        </w:tc>
        <w:tc>
          <w:tcPr>
            <w:tcW w:w="0" w:type="dxa"/>
            <w:vAlign w:val="bottom"/>
          </w:tcPr>
          <w:p>
            <w:pPr>
              <w:spacing w:after="0"/>
              <w:rPr>
                <w:sz w:val="1"/>
                <w:szCs w:val="1"/>
                <w:color w:val="auto"/>
              </w:rPr>
            </w:pPr>
          </w:p>
        </w:tc>
      </w:tr>
      <w:tr>
        <w:trPr>
          <w:trHeight w:val="163"/>
        </w:trPr>
        <w:tc>
          <w:tcPr>
            <w:tcW w:w="1440" w:type="dxa"/>
            <w:vAlign w:val="bottom"/>
            <w:tcBorders>
              <w:top w:val="single" w:sz="8" w:color="FEFEFE"/>
            </w:tcBorders>
            <w:shd w:val="clear" w:color="auto" w:fill="FEFEFE"/>
          </w:tcPr>
          <w:p>
            <w:pPr>
              <w:spacing w:after="0"/>
              <w:rPr>
                <w:sz w:val="14"/>
                <w:szCs w:val="14"/>
                <w:color w:val="auto"/>
              </w:rPr>
            </w:pPr>
          </w:p>
        </w:tc>
        <w:tc>
          <w:tcPr>
            <w:tcW w:w="540" w:type="dxa"/>
            <w:vAlign w:val="bottom"/>
            <w:tcBorders>
              <w:top w:val="single" w:sz="8" w:color="FEFEFE"/>
            </w:tcBorders>
            <w:shd w:val="clear" w:color="auto" w:fill="FEFEFE"/>
          </w:tcPr>
          <w:p>
            <w:pPr>
              <w:spacing w:after="0"/>
              <w:rPr>
                <w:sz w:val="14"/>
                <w:szCs w:val="14"/>
                <w:color w:val="auto"/>
              </w:rPr>
            </w:pPr>
          </w:p>
        </w:tc>
        <w:tc>
          <w:tcPr>
            <w:tcW w:w="8980" w:type="dxa"/>
            <w:vAlign w:val="bottom"/>
            <w:tcBorders>
              <w:top w:val="single" w:sz="8" w:color="0000FF"/>
            </w:tcBorders>
            <w:gridSpan w:val="21"/>
            <w:shd w:val="clear" w:color="auto" w:fill="FEFEFE"/>
          </w:tcPr>
          <w:p>
            <w:pPr>
              <w:spacing w:after="0" w:line="163"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Pte. Ltd (incorporated herein by reference to Exhibit 10.1 to the Company’s Current Report on Form 8-K (File No. 001-37352),</w:t>
              </w:r>
            </w:hyperlink>
          </w:p>
        </w:tc>
        <w:tc>
          <w:tcPr>
            <w:tcW w:w="20" w:type="dxa"/>
            <w:vAlign w:val="bottom"/>
            <w:tcBorders>
              <w:top w:val="single" w:sz="8" w:color="FEFEFE"/>
            </w:tcBorders>
            <w:shd w:val="clear" w:color="auto" w:fill="FEFEFE"/>
          </w:tcPr>
          <w:p>
            <w:pPr>
              <w:spacing w:after="0"/>
              <w:rPr>
                <w:sz w:val="14"/>
                <w:szCs w:val="14"/>
                <w:color w:val="auto"/>
              </w:rPr>
            </w:pPr>
          </w:p>
        </w:tc>
        <w:tc>
          <w:tcPr>
            <w:tcW w:w="4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8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940" w:type="dxa"/>
            <w:vAlign w:val="bottom"/>
            <w:tcBorders>
              <w:top w:val="single" w:sz="8" w:color="0000FF"/>
            </w:tcBorders>
            <w:gridSpan w:val="19"/>
            <w:shd w:val="clear" w:color="auto" w:fill="FEFEFE"/>
          </w:tcPr>
          <w:p>
            <w:pPr>
              <w:spacing w:after="0" w:line="150"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filed on May 15, 2018).</w:t>
              </w:r>
            </w:hyperlink>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FEFEFE"/>
            </w:tcBorders>
            <w:shd w:val="clear" w:color="auto" w:fill="FEFEFE"/>
          </w:tcPr>
          <w:p>
            <w:pPr>
              <w:spacing w:after="0" w:line="20" w:lineRule="exact"/>
              <w:rPr>
                <w:sz w:val="1"/>
                <w:szCs w:val="1"/>
                <w:color w:val="auto"/>
              </w:rPr>
            </w:pPr>
          </w:p>
        </w:tc>
        <w:tc>
          <w:tcPr>
            <w:tcW w:w="540" w:type="dxa"/>
            <w:vAlign w:val="bottom"/>
            <w:tcBorders>
              <w:bottom w:val="single" w:sz="8" w:color="FEFEFE"/>
            </w:tcBorders>
            <w:shd w:val="clear" w:color="auto" w:fill="FEFEFE"/>
          </w:tcPr>
          <w:p>
            <w:pPr>
              <w:spacing w:after="0" w:line="20" w:lineRule="exact"/>
              <w:rPr>
                <w:sz w:val="1"/>
                <w:szCs w:val="1"/>
                <w:color w:val="auto"/>
              </w:rPr>
            </w:pPr>
          </w:p>
        </w:tc>
        <w:tc>
          <w:tcPr>
            <w:tcW w:w="1360" w:type="dxa"/>
            <w:vAlign w:val="bottom"/>
            <w:tcBorders>
              <w:bottom w:val="single" w:sz="8" w:color="FEFEFE"/>
            </w:tcBorders>
            <w:shd w:val="clear" w:color="auto" w:fill="0000FF"/>
          </w:tcPr>
          <w:p>
            <w:pPr>
              <w:spacing w:after="0" w:line="20" w:lineRule="exact"/>
              <w:rPr>
                <w:sz w:val="1"/>
                <w:szCs w:val="1"/>
                <w:color w:val="auto"/>
              </w:rPr>
            </w:pPr>
          </w:p>
        </w:tc>
        <w:tc>
          <w:tcPr>
            <w:tcW w:w="300" w:type="dxa"/>
            <w:vAlign w:val="bottom"/>
            <w:tcBorders>
              <w:bottom w:val="single" w:sz="8" w:color="FEFEFE"/>
            </w:tcBorders>
            <w:shd w:val="clear" w:color="auto" w:fill="0000FF"/>
          </w:tcPr>
          <w:p>
            <w:pPr>
              <w:spacing w:after="0" w:line="20" w:lineRule="exact"/>
              <w:rPr>
                <w:sz w:val="1"/>
                <w:szCs w:val="1"/>
                <w:color w:val="auto"/>
              </w:rPr>
            </w:pPr>
          </w:p>
        </w:tc>
        <w:tc>
          <w:tcPr>
            <w:tcW w:w="4800" w:type="dxa"/>
            <w:vAlign w:val="bottom"/>
            <w:tcBorders>
              <w:bottom w:val="single" w:sz="8" w:color="FEFEFE"/>
            </w:tcBorders>
            <w:shd w:val="clear" w:color="auto" w:fill="FEFEFE"/>
          </w:tcPr>
          <w:p>
            <w:pPr>
              <w:spacing w:after="0" w:line="20" w:lineRule="exact"/>
              <w:rPr>
                <w:sz w:val="1"/>
                <w:szCs w:val="1"/>
                <w:color w:val="auto"/>
              </w:rPr>
            </w:pPr>
          </w:p>
        </w:tc>
        <w:tc>
          <w:tcPr>
            <w:tcW w:w="260" w:type="dxa"/>
            <w:vAlign w:val="bottom"/>
            <w:tcBorders>
              <w:bottom w:val="single" w:sz="8" w:color="FEFEFE"/>
            </w:tcBorders>
            <w:shd w:val="clear" w:color="auto" w:fill="FEFEFE"/>
          </w:tcPr>
          <w:p>
            <w:pPr>
              <w:spacing w:after="0" w:line="20" w:lineRule="exact"/>
              <w:rPr>
                <w:sz w:val="1"/>
                <w:szCs w:val="1"/>
                <w:color w:val="auto"/>
              </w:rPr>
            </w:pPr>
          </w:p>
        </w:tc>
        <w:tc>
          <w:tcPr>
            <w:tcW w:w="620" w:type="dxa"/>
            <w:vAlign w:val="bottom"/>
            <w:tcBorders>
              <w:bottom w:val="single" w:sz="8" w:color="FEFEFE"/>
            </w:tcBorders>
            <w:shd w:val="clear" w:color="auto" w:fill="FEFEFE"/>
          </w:tcPr>
          <w:p>
            <w:pPr>
              <w:spacing w:after="0" w:line="20" w:lineRule="exact"/>
              <w:rPr>
                <w:sz w:val="1"/>
                <w:szCs w:val="1"/>
                <w:color w:val="auto"/>
              </w:rPr>
            </w:pPr>
          </w:p>
        </w:tc>
        <w:tc>
          <w:tcPr>
            <w:tcW w:w="600" w:type="dxa"/>
            <w:vAlign w:val="bottom"/>
            <w:tcBorders>
              <w:bottom w:val="single" w:sz="8" w:color="FEFEFE"/>
            </w:tcBorders>
            <w:shd w:val="clear" w:color="auto" w:fill="FEFEFE"/>
          </w:tcPr>
          <w:p>
            <w:pPr>
              <w:spacing w:after="0" w:line="20" w:lineRule="exact"/>
              <w:rPr>
                <w:sz w:val="1"/>
                <w:szCs w:val="1"/>
                <w:color w:val="auto"/>
              </w:rPr>
            </w:pPr>
          </w:p>
        </w:tc>
        <w:tc>
          <w:tcPr>
            <w:tcW w:w="640" w:type="dxa"/>
            <w:vAlign w:val="bottom"/>
            <w:tcBorders>
              <w:bottom w:val="single" w:sz="8" w:color="FEFEFE"/>
            </w:tcBorders>
            <w:shd w:val="clear" w:color="auto" w:fill="FEFEFE"/>
          </w:tcPr>
          <w:p>
            <w:pPr>
              <w:spacing w:after="0" w:line="20" w:lineRule="exact"/>
              <w:rPr>
                <w:sz w:val="1"/>
                <w:szCs w:val="1"/>
                <w:color w:val="auto"/>
              </w:rPr>
            </w:pPr>
          </w:p>
        </w:tc>
        <w:tc>
          <w:tcPr>
            <w:tcW w:w="40" w:type="dxa"/>
            <w:vAlign w:val="bottom"/>
            <w:tcBorders>
              <w:bottom w:val="single" w:sz="8" w:color="FEFEFE"/>
              <w:right w:val="single" w:sz="8" w:color="FEFEFE"/>
            </w:tcBorders>
            <w:shd w:val="clear" w:color="auto" w:fill="FEFEFE"/>
          </w:tcPr>
          <w:p>
            <w:pPr>
              <w:spacing w:after="0" w:line="20" w:lineRule="exact"/>
              <w:rPr>
                <w:sz w:val="1"/>
                <w:szCs w:val="1"/>
                <w:color w:val="auto"/>
              </w:rPr>
            </w:pPr>
          </w:p>
        </w:tc>
        <w:tc>
          <w:tcPr>
            <w:tcW w:w="4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80" w:type="dxa"/>
            <w:vAlign w:val="bottom"/>
            <w:tcBorders>
              <w:bottom w:val="single" w:sz="8" w:color="FEFEFE"/>
              <w:right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4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4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8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20" w:type="dxa"/>
            <w:vAlign w:val="bottom"/>
            <w:tcBorders>
              <w:bottom w:val="single" w:sz="8" w:color="FEFEFE"/>
            </w:tcBorders>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10.25†</w:t>
            </w:r>
          </w:p>
        </w:tc>
        <w:tc>
          <w:tcPr>
            <w:tcW w:w="540" w:type="dxa"/>
            <w:vAlign w:val="bottom"/>
            <w:shd w:val="clear" w:color="auto" w:fill="FEFEFE"/>
          </w:tcPr>
          <w:p>
            <w:pPr>
              <w:spacing w:after="0"/>
              <w:rPr>
                <w:sz w:val="15"/>
                <w:szCs w:val="15"/>
                <w:color w:val="auto"/>
              </w:rPr>
            </w:pPr>
          </w:p>
        </w:tc>
        <w:tc>
          <w:tcPr>
            <w:tcW w:w="9240" w:type="dxa"/>
            <w:vAlign w:val="bottom"/>
            <w:gridSpan w:val="30"/>
            <w:shd w:val="clear" w:color="auto" w:fill="FEFEFE"/>
          </w:tcPr>
          <w:p>
            <w:pPr>
              <w:spacing w:after="0" w:line="183"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Virtu Financial, Inc. 2015 Amended and Restated Management Incentive Plan Employee Restricted Stock Award Agreement, dated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220" w:type="dxa"/>
            <w:vAlign w:val="bottom"/>
            <w:tcBorders>
              <w:top w:val="single" w:sz="8" w:color="0000FF"/>
            </w:tcBorders>
            <w:gridSpan w:val="29"/>
            <w:shd w:val="clear" w:color="auto" w:fill="FEFEFE"/>
          </w:tcPr>
          <w:p>
            <w:pPr>
              <w:spacing w:after="0" w:line="150"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as of February 27, 2020, by and between Virtu Financial, Inc. and Douglas A. Cifu (incorporated herein by reference to Exhibit</w:t>
              </w:r>
            </w:hyperlink>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540" w:type="dxa"/>
            <w:vAlign w:val="bottom"/>
            <w:tcBorders>
              <w:top w:val="single" w:sz="8" w:color="FEFEFE"/>
              <w:bottom w:val="single" w:sz="8" w:color="FEFEFE"/>
            </w:tcBorders>
            <w:shd w:val="clear" w:color="auto" w:fill="FEFEFE"/>
          </w:tcPr>
          <w:p>
            <w:pPr>
              <w:spacing w:after="0"/>
              <w:rPr>
                <w:sz w:val="15"/>
                <w:szCs w:val="15"/>
                <w:color w:val="auto"/>
              </w:rPr>
            </w:pPr>
          </w:p>
        </w:tc>
        <w:tc>
          <w:tcPr>
            <w:tcW w:w="7340" w:type="dxa"/>
            <w:vAlign w:val="bottom"/>
            <w:tcBorders>
              <w:top w:val="single" w:sz="8" w:color="0000FF"/>
              <w:bottom w:val="single" w:sz="8" w:color="0000FF"/>
            </w:tcBorders>
            <w:gridSpan w:val="5"/>
            <w:shd w:val="clear" w:color="auto" w:fill="FEFEFE"/>
          </w:tcPr>
          <w:p>
            <w:pPr>
              <w:spacing w:after="0" w:line="163"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41</w:t>
              </w:r>
              <w:r>
                <w:rPr>
                  <w:rFonts w:ascii="Times New Roman" w:cs="Times New Roman" w:eastAsia="Times New Roman" w:hAnsi="Times New Roman"/>
                  <w:sz w:val="17"/>
                  <w:szCs w:val="17"/>
                  <w:color w:val="0000FF"/>
                </w:rPr>
                <w:t xml:space="preserve"> to the Company’s Annual Report on Form 10-K (File No. 001-37352) filed on February 28, 2020).</w:t>
              </w:r>
            </w:hyperlink>
          </w:p>
        </w:tc>
        <w:tc>
          <w:tcPr>
            <w:tcW w:w="1580" w:type="dxa"/>
            <w:vAlign w:val="bottom"/>
            <w:tcBorders>
              <w:top w:val="single" w:sz="8" w:color="0000FF"/>
              <w:bottom w:val="single" w:sz="8" w:color="FEFEFE"/>
            </w:tcBorders>
            <w:gridSpan w:val="13"/>
            <w:shd w:val="clear" w:color="auto" w:fill="FEFEFE"/>
          </w:tcPr>
          <w:p>
            <w:pPr>
              <w:spacing w:after="0"/>
              <w:rPr>
                <w:sz w:val="15"/>
                <w:szCs w:val="15"/>
                <w:color w:val="auto"/>
              </w:rPr>
            </w:pPr>
          </w:p>
        </w:tc>
        <w:tc>
          <w:tcPr>
            <w:tcW w:w="40" w:type="dxa"/>
            <w:vAlign w:val="bottom"/>
            <w:tcBorders>
              <w:top w:val="single" w:sz="8" w:color="FEFEFE"/>
              <w:bottom w:val="single" w:sz="8" w:color="FEFEFE"/>
            </w:tcBorders>
            <w:gridSpan w:val="2"/>
            <w:shd w:val="clear" w:color="auto" w:fill="FEFEFE"/>
          </w:tcPr>
          <w:p>
            <w:pPr>
              <w:spacing w:after="0"/>
              <w:rPr>
                <w:sz w:val="15"/>
                <w:szCs w:val="15"/>
                <w:color w:val="auto"/>
              </w:rPr>
            </w:pPr>
          </w:p>
        </w:tc>
        <w:tc>
          <w:tcPr>
            <w:tcW w:w="40" w:type="dxa"/>
            <w:vAlign w:val="bottom"/>
            <w:tcBorders>
              <w:top w:val="single" w:sz="8" w:color="FEFEFE"/>
              <w:bottom w:val="single" w:sz="8" w:color="FEFEFE"/>
            </w:tcBorders>
            <w:gridSpan w:val="2"/>
            <w:shd w:val="clear" w:color="auto" w:fill="FEFEFE"/>
          </w:tcPr>
          <w:p>
            <w:pPr>
              <w:spacing w:after="0"/>
              <w:rPr>
                <w:sz w:val="15"/>
                <w:szCs w:val="15"/>
                <w:color w:val="auto"/>
              </w:rPr>
            </w:pPr>
          </w:p>
        </w:tc>
        <w:tc>
          <w:tcPr>
            <w:tcW w:w="4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8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20" w:type="dxa"/>
            <w:vAlign w:val="bottom"/>
            <w:tcBorders>
              <w:top w:val="single" w:sz="8" w:color="FEFEFE"/>
              <w:bottom w:val="single" w:sz="8" w:color="FEFEFE"/>
            </w:tcBorders>
            <w:shd w:val="clear" w:color="auto" w:fill="FEFEFE"/>
          </w:tcPr>
          <w:p>
            <w:pPr>
              <w:spacing w:after="0"/>
              <w:rPr>
                <w:sz w:val="15"/>
                <w:szCs w:val="15"/>
                <w:color w:val="auto"/>
              </w:rPr>
            </w:pPr>
          </w:p>
        </w:tc>
        <w:tc>
          <w:tcPr>
            <w:tcW w:w="40" w:type="dxa"/>
            <w:vAlign w:val="bottom"/>
            <w:tcBorders>
              <w:top w:val="single" w:sz="8" w:color="FEFEFE"/>
              <w:bottom w:val="single" w:sz="8" w:color="FEFEFE"/>
            </w:tcBorders>
            <w:gridSpan w:val="2"/>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240" w:type="dxa"/>
            <w:vAlign w:val="bottom"/>
            <w:gridSpan w:val="30"/>
          </w:tcPr>
          <w:p>
            <w:pPr>
              <w:spacing w:after="0" w:line="184"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Virtu Financial, Inc. 2015 Amended and Restated Management Incentive Plan Employee Restricted Stock Award Agreement, dated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as of February 27, 2020, by and between Virtu Financial, Inc. and Brett Fairclough (incorporated herein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5"/>
          </w:tcPr>
          <w:p>
            <w:pPr>
              <w:spacing w:after="0" w:line="163"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42</w:t>
              </w:r>
              <w:r>
                <w:rPr>
                  <w:rFonts w:ascii="Times New Roman" w:cs="Times New Roman" w:eastAsia="Times New Roman" w:hAnsi="Times New Roman"/>
                  <w:sz w:val="17"/>
                  <w:szCs w:val="17"/>
                  <w:color w:val="0000FF"/>
                </w:rPr>
                <w:t xml:space="preserve"> to the Company’s Annual Report on Form 10-K (File No. 001-37352) filed on February 28, 2020).</w:t>
              </w:r>
            </w:hyperlink>
          </w:p>
        </w:tc>
        <w:tc>
          <w:tcPr>
            <w:tcW w:w="156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Virtu Financial, Inc. 2015 Amended and Restated Management Incentive Plan Employee Restricted Stock Award Agreement, dated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as of February 27, 2020, by and between Virtu Financial, Inc. and Stephen Cavoli (incorporated herein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10.28†</w:t>
            </w:r>
          </w:p>
        </w:tc>
        <w:tc>
          <w:tcPr>
            <w:tcW w:w="54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5"/>
          </w:tcPr>
          <w:p>
            <w:pPr>
              <w:spacing w:after="0" w:line="163"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43</w:t>
              </w:r>
              <w:r>
                <w:rPr>
                  <w:rFonts w:ascii="Times New Roman" w:cs="Times New Roman" w:eastAsia="Times New Roman" w:hAnsi="Times New Roman"/>
                  <w:sz w:val="17"/>
                  <w:szCs w:val="17"/>
                  <w:color w:val="0000FF"/>
                </w:rPr>
                <w:t xml:space="preserve"> to the Company’s Annual Report on Form 10-K (File No. 001-37352) filed on February 28, 2020).</w:t>
              </w:r>
            </w:hyperlink>
          </w:p>
        </w:tc>
        <w:tc>
          <w:tcPr>
            <w:tcW w:w="15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4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240" w:type="dxa"/>
            <w:vAlign w:val="bottom"/>
            <w:gridSpan w:val="30"/>
            <w:vMerge w:val="restart"/>
          </w:tcPr>
          <w:p>
            <w:pPr>
              <w:spacing w:after="0"/>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Investment Technology Group, Inc. 2007 Omnibus Equity Compensation Plan, Amended and Restated Effective June 8, 2017</w:t>
              </w:r>
            </w:hyperlink>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2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(incorporated herein by reference to Exhibit 4.3 to the Company’s Registration Statement on Form S-8 (File No. 333-230012)</w:t>
              </w:r>
            </w:hyperlink>
          </w:p>
        </w:tc>
        <w:tc>
          <w:tcPr>
            <w:tcW w:w="420" w:type="dxa"/>
            <w:vAlign w:val="bottom"/>
            <w:gridSpan w:val="16"/>
          </w:tcPr>
          <w:p>
            <w:pPr>
              <w:ind w:left="20"/>
              <w:spacing w:after="0" w:line="150"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on March 1, 2019).</w:t>
              </w:r>
            </w:hyperlink>
          </w:p>
        </w:tc>
        <w:tc>
          <w:tcPr>
            <w:tcW w:w="78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10.29†</w:t>
            </w:r>
          </w:p>
        </w:tc>
        <w:tc>
          <w:tcPr>
            <w:tcW w:w="540" w:type="dxa"/>
            <w:vAlign w:val="bottom"/>
          </w:tcPr>
          <w:p>
            <w:pPr>
              <w:spacing w:after="0"/>
              <w:rPr>
                <w:sz w:val="24"/>
                <w:szCs w:val="24"/>
                <w:color w:val="auto"/>
              </w:rPr>
            </w:pPr>
          </w:p>
        </w:tc>
        <w:tc>
          <w:tcPr>
            <w:tcW w:w="880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Virtu Financial, Inc. 2015 Amended and Restated Management Incentive Plan Common Stock Award Agreement, dated as of</w:t>
              </w:r>
            </w:hyperlink>
          </w:p>
        </w:tc>
        <w:tc>
          <w:tcPr>
            <w:tcW w:w="4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40" w:type="dxa"/>
            <w:vAlign w:val="bottom"/>
            <w:gridSpan w:val="30"/>
          </w:tcPr>
          <w:p>
            <w:pPr>
              <w:spacing w:after="0" w:line="150"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February 1, 2021, by and between Virtu Financial, Inc. and Douglas A. Cifu (incorporated herein by reference to Exhibit 10.33 to</w:t>
              </w:r>
            </w:hyperlink>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60" w:type="dxa"/>
            <w:vAlign w:val="bottom"/>
            <w:tcBorders>
              <w:top w:val="single" w:sz="8" w:color="0000FF"/>
            </w:tcBorders>
            <w:gridSpan w:val="24"/>
          </w:tcPr>
          <w:p>
            <w:pPr>
              <w:spacing w:after="0" w:line="163"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the Company’s Annual Report on Form 10-K (File No. 001-37352) filed on February 25, 2021).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10.30†</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Virtu Financial, Inc. 2015 Amended and Restated Management Incentive Plan Restricted Stock Unit and Common Stock Award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6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Agreement, dated as of February 1, 2021, by and between Virtu Financial, Inc. and Douglas A. Cifu (incorporated herein by</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reference to Exhibit 10.34 to the Company’s Annual Report on Form 10-K (File No. 001-37352) filed on February 25, 2021)</w:t>
              </w:r>
            </w:hyperlink>
          </w:p>
        </w:tc>
        <w:tc>
          <w:tcPr>
            <w:tcW w:w="80" w:type="dxa"/>
            <w:vAlign w:val="bottom"/>
            <w:tcBorders>
              <w:bottom w:val="single" w:sz="8" w:color="0000FF"/>
            </w:tcBorders>
          </w:tcPr>
          <w:p>
            <w:pPr>
              <w:ind w:left="40"/>
              <w:spacing w:after="0"/>
              <w:rPr>
                <w:rFonts w:ascii="Times New Roman" w:cs="Times New Roman" w:eastAsia="Times New Roman" w:hAnsi="Times New Roman"/>
                <w:sz w:val="1"/>
                <w:szCs w:val="1"/>
                <w:color w:val="0000FF"/>
                <w:w w:val="4294967277"/>
              </w:rPr>
            </w:pPr>
            <w:hyperlink r:id="rId245">
              <w:r>
                <w:rPr>
                  <w:rFonts w:ascii="Times New Roman" w:cs="Times New Roman" w:eastAsia="Times New Roman" w:hAnsi="Times New Roman"/>
                  <w:sz w:val="1"/>
                  <w:szCs w:val="1"/>
                  <w:color w:val="0000FF"/>
                  <w:w w:val="4294967277"/>
                </w:rPr>
                <w:t>.</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10.31†</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Virtu Financial, Inc. 2015 Amended and Restated Management Incentive Plan Restricted Stock Unit Award Agreement, dated as of</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June 22, 2020, by and between Virtu Financial, Inc. and Joseph Molluso (incorporated herein by reference to Exhibit 10.35 to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4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Company’s Annual Report on Form 10-K (File No. 001-37352) filed on February 25, 2021).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60" w:type="dxa"/>
            <w:vAlign w:val="bottom"/>
            <w:gridSpan w:val="3"/>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10.32†</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Virtu Financial, Inc. 2015 Amended and Restated Management Incentive Plan Restricted Stock Award Award Agreement, dated as</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of June 22, 2020, by and between Virtu Financial, Inc. and Joseph Molluso (incorporated herein by reference to Exhibit 10.36 to</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the Company’s Annual Report on Form 10-K (File No. 001-37352) filed on February 25, 2021).</w:t>
              </w:r>
            </w:hyperlink>
          </w:p>
        </w:tc>
        <w:tc>
          <w:tcPr>
            <w:tcW w:w="14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20" w:type="dxa"/>
            <w:vAlign w:val="bottom"/>
            <w:gridSpan w:val="4"/>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10.33†</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Virtu Financial, Inc. 2015 Amended and Restated Management Incentive Plan Restricted Stock Unit and Common Stock Award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6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Agreement, dated as of February 1, 2021, by and between Virtu Financial, Inc. and Joseph Molluso (incorporated herein by</w:t>
              </w:r>
            </w:hyperlink>
          </w:p>
        </w:tc>
        <w:tc>
          <w:tcPr>
            <w:tcW w:w="18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40" w:type="dxa"/>
            <w:vAlign w:val="bottom"/>
            <w:gridSpan w:val="6"/>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780" w:type="dxa"/>
            <w:vAlign w:val="bottom"/>
            <w:tcBorders>
              <w:bottom w:val="single" w:sz="8" w:color="0000FF"/>
            </w:tcBorders>
            <w:gridSpan w:val="12"/>
          </w:tcPr>
          <w:p>
            <w:pPr>
              <w:spacing w:after="0" w:line="163"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reference to Exhibit 10.37 to the Company’s Annual Report on Form 10-K (File No. 001-37352) filed on February 25, 2021).</w:t>
              </w:r>
            </w:hyperlink>
          </w:p>
        </w:tc>
        <w:tc>
          <w:tcPr>
            <w:tcW w:w="4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10.34†</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Virtu Financial, Inc. 2015 Amended and Restated Management Incentive Plan Restricted Stock Unit and Common Stock Award</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6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Agreement, dated as of February 1, 2021, by and between Virtu Financial, Inc. and Brett Fairclough (incorporated herein by</w:t>
              </w:r>
            </w:hyperlink>
          </w:p>
        </w:tc>
        <w:tc>
          <w:tcPr>
            <w:tcW w:w="18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10.35†</w:t>
            </w:r>
          </w:p>
        </w:tc>
        <w:tc>
          <w:tcPr>
            <w:tcW w:w="540" w:type="dxa"/>
            <w:vAlign w:val="bottom"/>
          </w:tcPr>
          <w:p>
            <w:pPr>
              <w:spacing w:after="0"/>
              <w:rPr>
                <w:sz w:val="14"/>
                <w:szCs w:val="14"/>
                <w:color w:val="auto"/>
              </w:rPr>
            </w:pPr>
          </w:p>
        </w:tc>
        <w:tc>
          <w:tcPr>
            <w:tcW w:w="8660" w:type="dxa"/>
            <w:vAlign w:val="bottom"/>
            <w:tcBorders>
              <w:top w:val="single" w:sz="8" w:color="0000FF"/>
            </w:tcBorders>
            <w:gridSpan w:val="9"/>
          </w:tcPr>
          <w:p>
            <w:pPr>
              <w:spacing w:after="0" w:line="163"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reference to Exhibit 10.38 to the Company’s Annual Report on Form 10-K (File No. 001-37352) filed on February 25, 2021)</w:t>
              </w:r>
            </w:hyperlink>
          </w:p>
        </w:tc>
        <w:tc>
          <w:tcPr>
            <w:tcW w:w="200" w:type="dxa"/>
            <w:vAlign w:val="bottom"/>
            <w:gridSpan w:val="7"/>
          </w:tcPr>
          <w:p>
            <w:pPr>
              <w:ind w:left="60"/>
              <w:spacing w:after="0" w:line="163"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w:t>
              </w:r>
            </w:hyperlink>
          </w:p>
        </w:tc>
        <w:tc>
          <w:tcPr>
            <w:tcW w:w="280" w:type="dxa"/>
            <w:vAlign w:val="bottom"/>
            <w:gridSpan w:val="9"/>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40" w:type="dxa"/>
            <w:vAlign w:val="bottom"/>
            <w:gridSpan w:val="6"/>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Virtu Financial, Inc. 2015 Amended and Restated Management Incentive Plan Restricted Stock Unit and Common Stock Award</w:t>
              </w:r>
            </w:hyperlink>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20" w:type="dxa"/>
            <w:vAlign w:val="bottom"/>
            <w:tcBorders>
              <w:top w:val="single" w:sz="8" w:color="0000FF"/>
              <w:bottom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Agreement, dated as of February 1, 2021, by and between Virtu Financial, Inc. and Stephen Cavoli (incorporated herein by</w:t>
              </w:r>
            </w:hyperlink>
          </w:p>
        </w:tc>
        <w:tc>
          <w:tcPr>
            <w:tcW w:w="340" w:type="dxa"/>
            <w:vAlign w:val="bottom"/>
            <w:tcBorders>
              <w:top w:val="single" w:sz="8" w:color="0000FF"/>
            </w:tcBorders>
            <w:gridSpan w:val="12"/>
          </w:tcPr>
          <w:p>
            <w:pPr>
              <w:spacing w:after="0"/>
              <w:rPr>
                <w:sz w:val="15"/>
                <w:szCs w:val="15"/>
                <w:color w:val="auto"/>
              </w:rPr>
            </w:pPr>
          </w:p>
        </w:tc>
        <w:tc>
          <w:tcPr>
            <w:tcW w:w="18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780" w:type="dxa"/>
            <w:vAlign w:val="bottom"/>
            <w:tcBorders>
              <w:bottom w:val="single" w:sz="8" w:color="0000FF"/>
            </w:tcBorders>
            <w:gridSpan w:val="12"/>
          </w:tcPr>
          <w:p>
            <w:pPr>
              <w:spacing w:after="0" w:line="189"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reference to Exhibit 10.39 to the Company’s Annual Report on Form 10-K (File No. 001-37352) filed on February 25, 2021).</w:t>
              </w:r>
            </w:hyperlink>
          </w:p>
        </w:tc>
        <w:tc>
          <w:tcPr>
            <w:tcW w:w="4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10.36†</w:t>
            </w:r>
          </w:p>
        </w:tc>
        <w:tc>
          <w:tcPr>
            <w:tcW w:w="540" w:type="dxa"/>
            <w:vAlign w:val="bottom"/>
          </w:tcPr>
          <w:p>
            <w:pPr>
              <w:spacing w:after="0"/>
              <w:rPr>
                <w:sz w:val="18"/>
                <w:szCs w:val="18"/>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Virtu Financial, Inc. Amended and Restated 2015 Management Incentive Plan Employee Restricted Stock Unit Award Agreement,</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dated as of December 24, 2021, by and between Virtu Financial, Inc. and Douglas A. Cifu (incorporated herein by reference to</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40" w:type="dxa"/>
            <w:vAlign w:val="bottom"/>
            <w:tcBorders>
              <w:top w:val="single" w:sz="8" w:color="0000FF"/>
              <w:bottom w:val="single" w:sz="8" w:color="0000FF"/>
            </w:tcBorders>
            <w:gridSpan w:val="6"/>
          </w:tcPr>
          <w:p>
            <w:pPr>
              <w:spacing w:after="0" w:line="163"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Exhibit 10.42 to the Company’s Annual Report on Form 10-K (File No. 001-37352), filed on February 18, 2022).</w:t>
              </w:r>
            </w:hyperlink>
          </w:p>
        </w:tc>
        <w:tc>
          <w:tcPr>
            <w:tcW w:w="920" w:type="dxa"/>
            <w:vAlign w:val="bottom"/>
            <w:tcBorders>
              <w:top w:val="single" w:sz="8" w:color="0000FF"/>
            </w:tcBorders>
            <w:gridSpan w:val="10"/>
          </w:tcPr>
          <w:p>
            <w:pPr>
              <w:spacing w:after="0"/>
              <w:rPr>
                <w:sz w:val="14"/>
                <w:szCs w:val="14"/>
                <w:color w:val="auto"/>
              </w:rPr>
            </w:pPr>
          </w:p>
        </w:tc>
        <w:tc>
          <w:tcPr>
            <w:tcW w:w="3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10.37†</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Virtu Financial, Inc. Amended and Restated 2015 Management Incentive Plan Employee Restricted Stock Unit Award Agreement,</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dated as of February 3, 2022, by and between Virtu Financial, Inc. and Douglas A. Cifu (incorporated herein by reference to</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940" w:type="dxa"/>
            <w:vAlign w:val="bottom"/>
            <w:tcBorders>
              <w:top w:val="single" w:sz="8" w:color="0000FF"/>
              <w:bottom w:val="single" w:sz="8" w:color="0000FF"/>
            </w:tcBorders>
            <w:gridSpan w:val="6"/>
          </w:tcPr>
          <w:p>
            <w:pPr>
              <w:spacing w:after="0" w:line="163"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Exhibit 10.43 to the Company’s Annual Report on Form 10-K (File No. 001-37352), filed on February 18, 2022).</w:t>
              </w:r>
            </w:hyperlink>
          </w:p>
        </w:tc>
        <w:tc>
          <w:tcPr>
            <w:tcW w:w="820" w:type="dxa"/>
            <w:vAlign w:val="bottom"/>
            <w:tcBorders>
              <w:top w:val="single" w:sz="8" w:color="0000FF"/>
            </w:tcBorders>
            <w:gridSpan w:val="5"/>
          </w:tcPr>
          <w:p>
            <w:pPr>
              <w:spacing w:after="0"/>
              <w:rPr>
                <w:sz w:val="14"/>
                <w:szCs w:val="14"/>
                <w:color w:val="auto"/>
              </w:rPr>
            </w:pPr>
          </w:p>
        </w:tc>
        <w:tc>
          <w:tcPr>
            <w:tcW w:w="48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10.38†</w:t>
            </w:r>
          </w:p>
        </w:tc>
        <w:tc>
          <w:tcPr>
            <w:tcW w:w="540" w:type="dxa"/>
            <w:vAlign w:val="bottom"/>
          </w:tcPr>
          <w:p>
            <w:pPr>
              <w:spacing w:after="0"/>
              <w:rPr>
                <w:sz w:val="17"/>
                <w:szCs w:val="17"/>
                <w:color w:val="auto"/>
              </w:rPr>
            </w:pPr>
          </w:p>
        </w:tc>
        <w:tc>
          <w:tcPr>
            <w:tcW w:w="9240" w:type="dxa"/>
            <w:vAlign w:val="bottom"/>
            <w:gridSpan w:val="30"/>
          </w:tcPr>
          <w:p>
            <w:pPr>
              <w:spacing w:after="0"/>
              <w:rPr>
                <w:rFonts w:ascii="Times New Roman" w:cs="Times New Roman" w:eastAsia="Times New Roman" w:hAnsi="Times New Roman"/>
                <w:sz w:val="17"/>
                <w:szCs w:val="17"/>
                <w:u w:val="single" w:color="auto"/>
                <w:color w:val="0000FF"/>
              </w:rPr>
            </w:pPr>
            <w:hyperlink r:id="rId253">
              <w:r>
                <w:rPr>
                  <w:rFonts w:ascii="Times New Roman" w:cs="Times New Roman" w:eastAsia="Times New Roman" w:hAnsi="Times New Roman"/>
                  <w:sz w:val="17"/>
                  <w:szCs w:val="17"/>
                  <w:u w:val="single" w:color="auto"/>
                  <w:color w:val="0000FF"/>
                </w:rPr>
                <w:t>Virtu Financial, Inc. Amended and Restated 2015 Management Incentive Plan Employee Restricted Stock Unit Award Agreement,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-5032375</wp:posOffset>
            </wp:positionV>
            <wp:extent cx="6204585" cy="52812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6204585" cy="5281295"/>
                    </a:xfrm>
                    <a:prstGeom prst="rect">
                      <a:avLst/>
                    </a:prstGeom>
                    <a:noFill/>
                  </pic:spPr>
                </pic:pic>
              </a:graphicData>
            </a:graphic>
          </wp:anchor>
        </w:drawing>
      </w:r>
    </w:p>
    <w:p>
      <w:pPr>
        <w:ind w:left="1980" w:right="60"/>
        <w:spacing w:after="0" w:line="239" w:lineRule="auto"/>
        <w:rPr>
          <w:rFonts w:ascii="Times New Roman" w:cs="Times New Roman" w:eastAsia="Times New Roman" w:hAnsi="Times New Roman"/>
          <w:sz w:val="17"/>
          <w:szCs w:val="17"/>
          <w:u w:val="single" w:color="auto"/>
          <w:color w:val="0000FF"/>
        </w:rPr>
      </w:pPr>
      <w:hyperlink r:id="rId253">
        <w:r>
          <w:rPr>
            <w:rFonts w:ascii="Times New Roman" w:cs="Times New Roman" w:eastAsia="Times New Roman" w:hAnsi="Times New Roman"/>
            <w:sz w:val="17"/>
            <w:szCs w:val="17"/>
            <w:u w:val="single" w:color="auto"/>
            <w:color w:val="0000FF"/>
          </w:rPr>
          <w:t>dated as of February 3, 2022, by and between Virtu Financial, Inc. and Joseph Molluso (incorporated herein by reference to Exhibit</w:t>
        </w:r>
      </w:hyperlink>
      <w:r>
        <w:rPr>
          <w:rFonts w:ascii="Times New Roman" w:cs="Times New Roman" w:eastAsia="Times New Roman" w:hAnsi="Times New Roman"/>
          <w:sz w:val="17"/>
          <w:szCs w:val="17"/>
          <w:u w:val="single" w:color="auto"/>
          <w:color w:val="0000FF"/>
        </w:rPr>
        <w:t xml:space="preserve"> </w:t>
      </w:r>
      <w:hyperlink r:id="rId253">
        <w:r>
          <w:rPr>
            <w:rFonts w:ascii="Times New Roman" w:cs="Times New Roman" w:eastAsia="Times New Roman" w:hAnsi="Times New Roman"/>
            <w:sz w:val="17"/>
            <w:szCs w:val="17"/>
            <w:u w:val="single" w:color="auto"/>
            <w:color w:val="0000FF"/>
          </w:rPr>
          <w:t>10.44 to the Company’s Annual Report on Form 10-K (File No. 001-37352), filed on February 18, 2022).</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95"/>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10.39†</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220" w:type="dxa"/>
            <w:vAlign w:val="bottom"/>
            <w:tcBorders>
              <w:top w:val="single" w:sz="8" w:color="0000FF"/>
            </w:tcBorders>
            <w:gridSpan w:val="30"/>
            <w:shd w:val="clear" w:color="auto" w:fill="FEFEFE"/>
          </w:tcPr>
          <w:p>
            <w:pPr>
              <w:spacing w:after="0" w:line="150"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Award Agreement, dated as of February 3, 2022, by and between Virtu Financial, Inc. and Sean Galvin (incorporated herein by</w:t>
              </w:r>
            </w:hyperlink>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Borders>
              <w:top w:val="single" w:sz="8" w:color="FEFEFE"/>
              <w:bottom w:val="single" w:sz="8" w:color="FEFEFE"/>
            </w:tcBorders>
            <w:shd w:val="clear" w:color="auto" w:fill="FEFEFE"/>
          </w:tcPr>
          <w:p>
            <w:pPr>
              <w:spacing w:after="0"/>
              <w:rPr>
                <w:sz w:val="14"/>
                <w:szCs w:val="14"/>
                <w:color w:val="auto"/>
              </w:rPr>
            </w:pPr>
          </w:p>
        </w:tc>
        <w:tc>
          <w:tcPr>
            <w:tcW w:w="8840" w:type="dxa"/>
            <w:vAlign w:val="bottom"/>
            <w:tcBorders>
              <w:top w:val="single" w:sz="8" w:color="0000FF"/>
              <w:bottom w:val="single" w:sz="8" w:color="0000FF"/>
            </w:tcBorders>
            <w:gridSpan w:val="16"/>
            <w:shd w:val="clear" w:color="auto" w:fill="FEFEFE"/>
          </w:tcPr>
          <w:p>
            <w:pPr>
              <w:spacing w:after="0" w:line="163"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reference to Exhibit 10.45 to the Company’s Annual Report on Form 10-K (File No. 001-37352), filed on February 18, 2022).</w:t>
              </w:r>
            </w:hyperlink>
          </w:p>
        </w:tc>
        <w:tc>
          <w:tcPr>
            <w:tcW w:w="60" w:type="dxa"/>
            <w:vAlign w:val="bottom"/>
            <w:tcBorders>
              <w:top w:val="single" w:sz="8" w:color="0000FF"/>
              <w:bottom w:val="single" w:sz="8" w:color="FEFEFE"/>
            </w:tcBorders>
            <w:gridSpan w:val="3"/>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60" w:type="dxa"/>
            <w:vAlign w:val="bottom"/>
            <w:tcBorders>
              <w:top w:val="single" w:sz="8" w:color="FEFEFE"/>
              <w:bottom w:val="single" w:sz="8" w:color="FEFEFE"/>
            </w:tcBorders>
            <w:shd w:val="clear" w:color="auto" w:fill="FEFEFE"/>
          </w:tcPr>
          <w:p>
            <w:pPr>
              <w:spacing w:after="0"/>
              <w:rPr>
                <w:sz w:val="14"/>
                <w:szCs w:val="14"/>
                <w:color w:val="auto"/>
              </w:rPr>
            </w:pPr>
          </w:p>
        </w:tc>
        <w:tc>
          <w:tcPr>
            <w:tcW w:w="6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4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40" w:type="dxa"/>
            <w:vAlign w:val="bottom"/>
            <w:tcBorders>
              <w:top w:val="single" w:sz="8" w:color="FEFEFE"/>
              <w:bottom w:val="single" w:sz="8" w:color="FEFEFE"/>
            </w:tcBorders>
            <w:gridSpan w:val="2"/>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10.40†</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Virtu Financial, Inc. Amended and Restated 2015 Management Incentive Plan Employee Restricted Stock Unit Award Agreement,</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140" w:type="dxa"/>
            <w:vAlign w:val="bottom"/>
            <w:tcBorders>
              <w:top w:val="single" w:sz="8" w:color="0000FF"/>
            </w:tcBorders>
            <w:gridSpan w:val="27"/>
            <w:shd w:val="clear" w:color="auto" w:fill="FEFEFE"/>
          </w:tcPr>
          <w:p>
            <w:pPr>
              <w:spacing w:after="0" w:line="150"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dated as of February 3, 2022, by and between Virtu Financial, Inc. and Sean Galvin (incorporated herein by reference to Exhibit</w:t>
              </w:r>
            </w:hyperlink>
          </w:p>
        </w:tc>
        <w:tc>
          <w:tcPr>
            <w:tcW w:w="4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Borders>
              <w:top w:val="single" w:sz="8" w:color="FEFEFE"/>
            </w:tcBorders>
            <w:shd w:val="clear" w:color="auto" w:fill="FEFEFE"/>
          </w:tcPr>
          <w:p>
            <w:pPr>
              <w:spacing w:after="0"/>
              <w:rPr>
                <w:sz w:val="14"/>
                <w:szCs w:val="14"/>
                <w:color w:val="auto"/>
              </w:rPr>
            </w:pPr>
          </w:p>
        </w:tc>
        <w:tc>
          <w:tcPr>
            <w:tcW w:w="8940" w:type="dxa"/>
            <w:vAlign w:val="bottom"/>
            <w:tcBorders>
              <w:top w:val="single" w:sz="8" w:color="0000FF"/>
            </w:tcBorders>
            <w:gridSpan w:val="21"/>
            <w:shd w:val="clear" w:color="auto" w:fill="FEFEFE"/>
          </w:tcPr>
          <w:p>
            <w:pPr>
              <w:spacing w:after="0" w:line="163"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46</w:t>
              </w:r>
              <w:r>
                <w:rPr>
                  <w:rFonts w:ascii="Times New Roman" w:cs="Times New Roman" w:eastAsia="Times New Roman" w:hAnsi="Times New Roman"/>
                  <w:sz w:val="17"/>
                  <w:szCs w:val="17"/>
                  <w:color w:val="0000FF"/>
                </w:rPr>
                <w:t xml:space="preserve"> to the Company’s Annual Report on Form 10-K (File No. 001-37352), filed on February 18, 2022).</w:t>
              </w:r>
            </w:hyperlink>
          </w:p>
        </w:tc>
        <w:tc>
          <w:tcPr>
            <w:tcW w:w="20" w:type="dxa"/>
            <w:vAlign w:val="bottom"/>
            <w:tcBorders>
              <w:top w:val="single" w:sz="8" w:color="FEFEFE"/>
            </w:tcBorders>
            <w:shd w:val="clear" w:color="auto" w:fill="FEFEFE"/>
          </w:tcPr>
          <w:p>
            <w:pPr>
              <w:spacing w:after="0"/>
              <w:rPr>
                <w:sz w:val="14"/>
                <w:szCs w:val="14"/>
                <w:color w:val="auto"/>
              </w:rPr>
            </w:pPr>
          </w:p>
        </w:tc>
        <w:tc>
          <w:tcPr>
            <w:tcW w:w="60" w:type="dxa"/>
            <w:vAlign w:val="bottom"/>
            <w:tcBorders>
              <w:top w:val="single" w:sz="8" w:color="FEFEFE"/>
            </w:tcBorders>
            <w:shd w:val="clear" w:color="auto" w:fill="FEFEFE"/>
          </w:tcPr>
          <w:p>
            <w:pPr>
              <w:spacing w:after="0"/>
              <w:rPr>
                <w:sz w:val="14"/>
                <w:szCs w:val="14"/>
                <w:color w:val="auto"/>
              </w:rPr>
            </w:pPr>
          </w:p>
        </w:tc>
        <w:tc>
          <w:tcPr>
            <w:tcW w:w="6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6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40" w:type="dxa"/>
            <w:vAlign w:val="bottom"/>
            <w:tcBorders>
              <w:top w:val="single" w:sz="8" w:color="FEFEFE"/>
            </w:tcBorders>
            <w:gridSpan w:val="2"/>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220" w:type="dxa"/>
            <w:vAlign w:val="bottom"/>
            <w:tcBorders>
              <w:top w:val="single" w:sz="8" w:color="0000FF"/>
            </w:tcBorders>
            <w:gridSpan w:val="30"/>
            <w:shd w:val="clear" w:color="auto" w:fill="FEFEFE"/>
          </w:tcPr>
          <w:p>
            <w:pPr>
              <w:spacing w:after="0" w:line="150"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Award Agreement, dated as of February 3, 2022, by and between Virtu Financial, Inc. and Brett Fairclough (incorporated herein by</w:t>
              </w:r>
            </w:hyperlink>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Borders>
              <w:top w:val="single" w:sz="8" w:color="FEFEFE"/>
              <w:bottom w:val="single" w:sz="8" w:color="FEFEFE"/>
            </w:tcBorders>
            <w:shd w:val="clear" w:color="auto" w:fill="FEFEFE"/>
          </w:tcPr>
          <w:p>
            <w:pPr>
              <w:spacing w:after="0"/>
              <w:rPr>
                <w:sz w:val="14"/>
                <w:szCs w:val="14"/>
                <w:color w:val="auto"/>
              </w:rPr>
            </w:pPr>
          </w:p>
        </w:tc>
        <w:tc>
          <w:tcPr>
            <w:tcW w:w="8840" w:type="dxa"/>
            <w:vAlign w:val="bottom"/>
            <w:tcBorders>
              <w:top w:val="single" w:sz="8" w:color="0000FF"/>
              <w:bottom w:val="single" w:sz="8" w:color="0000FF"/>
            </w:tcBorders>
            <w:gridSpan w:val="16"/>
            <w:shd w:val="clear" w:color="auto" w:fill="FEFEFE"/>
          </w:tcPr>
          <w:p>
            <w:pPr>
              <w:spacing w:after="0" w:line="163"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reference to Exhibit 10.47 to the Company’s Annual Report on Form 10-K (File No. 001-37352), filed on February 18, 2022).</w:t>
              </w:r>
            </w:hyperlink>
          </w:p>
        </w:tc>
        <w:tc>
          <w:tcPr>
            <w:tcW w:w="340" w:type="dxa"/>
            <w:vAlign w:val="bottom"/>
            <w:tcBorders>
              <w:top w:val="single" w:sz="8" w:color="0000FF"/>
              <w:bottom w:val="single" w:sz="8" w:color="FEFEFE"/>
            </w:tcBorders>
            <w:gridSpan w:val="12"/>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40" w:type="dxa"/>
            <w:vAlign w:val="bottom"/>
            <w:tcBorders>
              <w:top w:val="single" w:sz="8" w:color="FEFEFE"/>
              <w:bottom w:val="single" w:sz="8" w:color="FEFEFE"/>
            </w:tcBorders>
            <w:gridSpan w:val="2"/>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10.42†</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Virtu Financial, Inc. Amended and Restated 2015 Management Incentive Plan Employee Restricted Stock Unit and Common Stock</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220" w:type="dxa"/>
            <w:vAlign w:val="bottom"/>
            <w:tcBorders>
              <w:top w:val="single" w:sz="8" w:color="0000FF"/>
            </w:tcBorders>
            <w:gridSpan w:val="30"/>
            <w:shd w:val="clear" w:color="auto" w:fill="FEFEFE"/>
          </w:tcPr>
          <w:p>
            <w:pPr>
              <w:spacing w:after="0" w:line="150"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Award Agreement, dated as of February 3, 2022, by and between Virtu Financial, Inc. and Stephen Cavoli (incorporated herein by</w:t>
              </w:r>
            </w:hyperlink>
          </w:p>
        </w:tc>
        <w:tc>
          <w:tcPr>
            <w:tcW w:w="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Borders>
              <w:top w:val="single" w:sz="8" w:color="FEFEFE"/>
              <w:bottom w:val="single" w:sz="8" w:color="FEFEFE"/>
            </w:tcBorders>
            <w:shd w:val="clear" w:color="auto" w:fill="FEFEFE"/>
          </w:tcPr>
          <w:p>
            <w:pPr>
              <w:spacing w:after="0"/>
              <w:rPr>
                <w:sz w:val="14"/>
                <w:szCs w:val="14"/>
                <w:color w:val="auto"/>
              </w:rPr>
            </w:pPr>
          </w:p>
        </w:tc>
        <w:tc>
          <w:tcPr>
            <w:tcW w:w="8820" w:type="dxa"/>
            <w:vAlign w:val="bottom"/>
            <w:tcBorders>
              <w:top w:val="single" w:sz="8" w:color="0000FF"/>
              <w:bottom w:val="single" w:sz="8" w:color="0000FF"/>
            </w:tcBorders>
            <w:gridSpan w:val="15"/>
            <w:shd w:val="clear" w:color="auto" w:fill="FEFEFE"/>
          </w:tcPr>
          <w:p>
            <w:pPr>
              <w:spacing w:after="0" w:line="163"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reference to Exhibit 10.48 to the Company’s Annual Report on Form 10-K (File No. 001-37352), filed on February 18, 2022).</w:t>
              </w:r>
            </w:hyperlink>
          </w:p>
        </w:tc>
        <w:tc>
          <w:tcPr>
            <w:tcW w:w="280" w:type="dxa"/>
            <w:vAlign w:val="bottom"/>
            <w:tcBorders>
              <w:top w:val="single" w:sz="8" w:color="0000FF"/>
              <w:bottom w:val="single" w:sz="8" w:color="FEFEFE"/>
            </w:tcBorders>
            <w:gridSpan w:val="10"/>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80" w:type="dxa"/>
            <w:vAlign w:val="bottom"/>
            <w:tcBorders>
              <w:top w:val="single" w:sz="8" w:color="FEFEFE"/>
              <w:bottom w:val="single" w:sz="8" w:color="FEFEFE"/>
            </w:tcBorders>
            <w:gridSpan w:val="3"/>
            <w:shd w:val="clear" w:color="auto" w:fill="FEFEFE"/>
          </w:tcPr>
          <w:p>
            <w:pPr>
              <w:spacing w:after="0"/>
              <w:rPr>
                <w:sz w:val="14"/>
                <w:szCs w:val="14"/>
                <w:color w:val="auto"/>
              </w:rPr>
            </w:pPr>
          </w:p>
        </w:tc>
        <w:tc>
          <w:tcPr>
            <w:tcW w:w="40" w:type="dxa"/>
            <w:vAlign w:val="bottom"/>
            <w:tcBorders>
              <w:top w:val="single" w:sz="8" w:color="FEFEFE"/>
              <w:bottom w:val="single" w:sz="8" w:color="FEFEFE"/>
            </w:tcBorders>
            <w:gridSpan w:val="2"/>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10.43†</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Virtu Financial, Inc. Deferred Compensation Plan (incorporated herein by reference to Exhibit 10.40 to the Company’s Annual</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880" w:type="dxa"/>
            <w:vAlign w:val="bottom"/>
            <w:tcBorders>
              <w:top w:val="single" w:sz="8" w:color="0000FF"/>
            </w:tcBorders>
            <w:gridSpan w:val="18"/>
            <w:shd w:val="clear" w:color="auto" w:fill="FEFEFE"/>
          </w:tcPr>
          <w:p>
            <w:pPr>
              <w:spacing w:after="0" w:line="150" w:lineRule="exact"/>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Report on Form 10-K (File No. 001-37352) filed on February 25, 2021)</w:t>
              </w:r>
            </w:hyperlink>
          </w:p>
        </w:tc>
        <w:tc>
          <w:tcPr>
            <w:tcW w:w="40" w:type="dxa"/>
            <w:vAlign w:val="bottom"/>
            <w:tcBorders>
              <w:top w:val="single" w:sz="8" w:color="FEFEFE"/>
            </w:tcBorders>
            <w:gridSpan w:val="2"/>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80" w:type="dxa"/>
            <w:vAlign w:val="bottom"/>
            <w:tcBorders>
              <w:top w:val="single" w:sz="8" w:color="FEFEFE"/>
            </w:tcBorders>
            <w:gridSpan w:val="3"/>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2920" w:type="dxa"/>
            <w:vAlign w:val="bottom"/>
            <w:gridSpan w:val="2"/>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gridSpan w:val="3"/>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10.44†</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Virtu Financial, Inc. Amended and Restated 2015 Management Incentive Plan Employee Restricted Stock Unit Award Agreement,</w:t>
              </w:r>
            </w:hyperlink>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tcBorders>
            <w:shd w:val="clear" w:color="auto" w:fill="FEFEFE"/>
          </w:tcPr>
          <w:p>
            <w:pPr>
              <w:spacing w:after="0"/>
              <w:rPr>
                <w:sz w:val="13"/>
                <w:szCs w:val="13"/>
                <w:color w:val="auto"/>
              </w:rPr>
            </w:pPr>
          </w:p>
        </w:tc>
        <w:tc>
          <w:tcPr>
            <w:tcW w:w="9140" w:type="dxa"/>
            <w:vAlign w:val="bottom"/>
            <w:tcBorders>
              <w:top w:val="single" w:sz="8" w:color="0000FF"/>
              <w:bottom w:val="single" w:sz="8" w:color="0000FF"/>
            </w:tcBorders>
            <w:gridSpan w:val="27"/>
            <w:shd w:val="clear" w:color="auto" w:fill="FEFEFE"/>
          </w:tcPr>
          <w:p>
            <w:pPr>
              <w:spacing w:after="0" w:line="150" w:lineRule="exact"/>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dated as of March 1, 2022, by and between Virtu Financial, Inc. (incorporated herein by reference to Exhibit 10.1 to the Company’s</w:t>
              </w:r>
            </w:hyperlink>
          </w:p>
        </w:tc>
        <w:tc>
          <w:tcPr>
            <w:tcW w:w="60" w:type="dxa"/>
            <w:vAlign w:val="bottom"/>
            <w:tcBorders>
              <w:top w:val="single" w:sz="8" w:color="FEFEFE"/>
              <w:bottom w:val="single" w:sz="8" w:color="0000FF"/>
            </w:tcBorders>
            <w:gridSpan w:val="2"/>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shd w:val="clear" w:color="auto" w:fill="FEFEFE"/>
          </w:tcPr>
          <w:p>
            <w:pPr>
              <w:spacing w:after="0"/>
              <w:rPr>
                <w:sz w:val="14"/>
                <w:szCs w:val="14"/>
                <w:color w:val="auto"/>
              </w:rPr>
            </w:pPr>
          </w:p>
        </w:tc>
        <w:tc>
          <w:tcPr>
            <w:tcW w:w="9200" w:type="dxa"/>
            <w:vAlign w:val="bottom"/>
            <w:gridSpan w:val="29"/>
            <w:shd w:val="clear" w:color="auto" w:fill="FEFEFE"/>
          </w:tcPr>
          <w:p>
            <w:pPr>
              <w:spacing w:after="0" w:line="163" w:lineRule="exact"/>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Quarterly Report on Form 10-Q (File No. 001-37352) filed on May 3, 2022).</w:t>
              </w:r>
            </w:hyperlink>
          </w:p>
        </w:tc>
        <w:tc>
          <w:tcPr>
            <w:tcW w:w="40" w:type="dxa"/>
            <w:vAlign w:val="bottom"/>
            <w:gridSpan w:val="2"/>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2920" w:type="dxa"/>
            <w:vAlign w:val="bottom"/>
            <w:gridSpan w:val="2"/>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gridSpan w:val="3"/>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10.45†</w:t>
            </w:r>
          </w:p>
        </w:tc>
        <w:tc>
          <w:tcPr>
            <w:tcW w:w="540" w:type="dxa"/>
            <w:vAlign w:val="bottom"/>
            <w:tcBorders>
              <w:bottom w:val="single" w:sz="8" w:color="FEFEFE"/>
            </w:tcBorders>
            <w:shd w:val="clear" w:color="auto" w:fill="FEFEFE"/>
          </w:tcPr>
          <w:p>
            <w:pPr>
              <w:spacing w:after="0"/>
              <w:rPr>
                <w:sz w:val="17"/>
                <w:szCs w:val="17"/>
                <w:color w:val="auto"/>
              </w:rPr>
            </w:pPr>
          </w:p>
        </w:tc>
        <w:tc>
          <w:tcPr>
            <w:tcW w:w="8920" w:type="dxa"/>
            <w:vAlign w:val="bottom"/>
            <w:tcBorders>
              <w:bottom w:val="single" w:sz="8" w:color="0000FF"/>
            </w:tcBorders>
            <w:gridSpan w:val="20"/>
            <w:shd w:val="clear" w:color="auto" w:fill="FEFEFE"/>
          </w:tcPr>
          <w:p>
            <w:pPr>
              <w:spacing w:after="0"/>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Virtu Financial, Inc. Second Amended and Restated Employment Agreement, dated as of April 29, 2022, by and between Virtu</w:t>
              </w:r>
            </w:hyperlink>
          </w:p>
        </w:tc>
        <w:tc>
          <w:tcPr>
            <w:tcW w:w="320" w:type="dxa"/>
            <w:vAlign w:val="bottom"/>
            <w:tcBorders>
              <w:bottom w:val="single" w:sz="8" w:color="FEFEFE"/>
            </w:tcBorders>
            <w:gridSpan w:val="11"/>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9240" w:type="dxa"/>
            <w:vAlign w:val="bottom"/>
            <w:gridSpan w:val="31"/>
            <w:shd w:val="clear" w:color="auto" w:fill="FEFEFE"/>
          </w:tcPr>
          <w:p>
            <w:pPr>
              <w:spacing w:after="0" w:line="150" w:lineRule="exact"/>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Financial, Inc. and Douglas A. Cifu (incorporated herein by reference to Exhibit 10.1 to the Company's Quarterly Report on Form</w:t>
              </w:r>
            </w:hyperlink>
          </w:p>
        </w:tc>
        <w:tc>
          <w:tcPr>
            <w:tcW w:w="0" w:type="dxa"/>
            <w:vAlign w:val="bottom"/>
          </w:tcPr>
          <w:p>
            <w:pPr>
              <w:spacing w:after="0"/>
              <w:rPr>
                <w:sz w:val="1"/>
                <w:szCs w:val="1"/>
                <w:color w:val="auto"/>
              </w:rPr>
            </w:pPr>
          </w:p>
        </w:tc>
      </w:tr>
      <w:tr>
        <w:trPr>
          <w:trHeight w:val="163"/>
        </w:trPr>
        <w:tc>
          <w:tcPr>
            <w:tcW w:w="1440" w:type="dxa"/>
            <w:vAlign w:val="bottom"/>
          </w:tcPr>
          <w:p>
            <w:pPr>
              <w:spacing w:after="0"/>
              <w:rPr>
                <w:sz w:val="14"/>
                <w:szCs w:val="14"/>
                <w:color w:val="auto"/>
              </w:rPr>
            </w:pPr>
          </w:p>
        </w:tc>
        <w:tc>
          <w:tcPr>
            <w:tcW w:w="540" w:type="dxa"/>
            <w:vAlign w:val="bottom"/>
            <w:tcBorders>
              <w:top w:val="single" w:sz="8" w:color="FEFEFE"/>
              <w:bottom w:val="single" w:sz="8" w:color="FEFEFE"/>
            </w:tcBorders>
            <w:shd w:val="clear" w:color="auto" w:fill="FEFEFE"/>
          </w:tcPr>
          <w:p>
            <w:pPr>
              <w:spacing w:after="0"/>
              <w:rPr>
                <w:sz w:val="14"/>
                <w:szCs w:val="14"/>
                <w:color w:val="auto"/>
              </w:rPr>
            </w:pPr>
          </w:p>
        </w:tc>
        <w:tc>
          <w:tcPr>
            <w:tcW w:w="3700" w:type="dxa"/>
            <w:vAlign w:val="bottom"/>
            <w:tcBorders>
              <w:top w:val="single" w:sz="8" w:color="0000FF"/>
              <w:bottom w:val="single" w:sz="8" w:color="0000FF"/>
            </w:tcBorders>
            <w:gridSpan w:val="7"/>
            <w:shd w:val="clear" w:color="auto" w:fill="FEFEFE"/>
          </w:tcPr>
          <w:p>
            <w:pPr>
              <w:spacing w:after="0" w:line="163" w:lineRule="exact"/>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10-Q (File No. 001-37352) filed on August 2, 2022).</w:t>
              </w:r>
            </w:hyperlink>
          </w:p>
        </w:tc>
        <w:tc>
          <w:tcPr>
            <w:tcW w:w="5380" w:type="dxa"/>
            <w:vAlign w:val="bottom"/>
            <w:tcBorders>
              <w:top w:val="single" w:sz="8" w:color="0000FF"/>
              <w:bottom w:val="single" w:sz="8" w:color="FEFEFE"/>
            </w:tcBorders>
            <w:gridSpan w:val="17"/>
            <w:shd w:val="clear" w:color="auto" w:fill="FEFEFE"/>
          </w:tcPr>
          <w:p>
            <w:pPr>
              <w:spacing w:after="0"/>
              <w:rPr>
                <w:sz w:val="14"/>
                <w:szCs w:val="14"/>
                <w:color w:val="auto"/>
              </w:rPr>
            </w:pPr>
          </w:p>
        </w:tc>
        <w:tc>
          <w:tcPr>
            <w:tcW w:w="40" w:type="dxa"/>
            <w:vAlign w:val="bottom"/>
            <w:tcBorders>
              <w:top w:val="single" w:sz="8" w:color="FEFEFE"/>
              <w:bottom w:val="single" w:sz="8" w:color="FEFEFE"/>
            </w:tcBorders>
            <w:gridSpan w:val="2"/>
            <w:shd w:val="clear" w:color="auto" w:fill="FEFEFE"/>
          </w:tcPr>
          <w:p>
            <w:pPr>
              <w:spacing w:after="0"/>
              <w:rPr>
                <w:sz w:val="14"/>
                <w:szCs w:val="14"/>
                <w:color w:val="auto"/>
              </w:rPr>
            </w:pPr>
          </w:p>
        </w:tc>
        <w:tc>
          <w:tcPr>
            <w:tcW w:w="120" w:type="dxa"/>
            <w:vAlign w:val="bottom"/>
            <w:tcBorders>
              <w:top w:val="single" w:sz="8" w:color="FEFEFE"/>
              <w:bottom w:val="single" w:sz="8" w:color="FEFEFE"/>
            </w:tcBorders>
            <w:gridSpan w:val="5"/>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10.46*†</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Virtu Financial, Inc. Amended and Restated Employment Agreement, dated as of December 1, 2022, by and between Virtu</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tcBorders>
            <w:shd w:val="clear" w:color="auto" w:fill="FEFEFE"/>
          </w:tcPr>
          <w:p>
            <w:pPr>
              <w:spacing w:after="0"/>
              <w:rPr>
                <w:sz w:val="13"/>
                <w:szCs w:val="13"/>
                <w:color w:val="auto"/>
              </w:rPr>
            </w:pPr>
          </w:p>
        </w:tc>
        <w:tc>
          <w:tcPr>
            <w:tcW w:w="3260" w:type="dxa"/>
            <w:vAlign w:val="bottom"/>
            <w:tcBorders>
              <w:top w:val="single" w:sz="8" w:color="0000FF"/>
              <w:bottom w:val="single" w:sz="8" w:color="0000FF"/>
            </w:tcBorders>
            <w:gridSpan w:val="5"/>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Financial Operating LLC and Joseph Molluso.</w:t>
            </w:r>
          </w:p>
        </w:tc>
        <w:tc>
          <w:tcPr>
            <w:tcW w:w="5340" w:type="dxa"/>
            <w:vAlign w:val="bottom"/>
            <w:tcBorders>
              <w:top w:val="single" w:sz="8" w:color="0000FF"/>
              <w:bottom w:val="single" w:sz="8" w:color="FEFEFE"/>
            </w:tcBorders>
            <w:gridSpan w:val="7"/>
            <w:shd w:val="clear" w:color="auto" w:fill="FEFEFE"/>
          </w:tcPr>
          <w:p>
            <w:pPr>
              <w:spacing w:after="0"/>
              <w:rPr>
                <w:sz w:val="13"/>
                <w:szCs w:val="13"/>
                <w:color w:val="auto"/>
              </w:rPr>
            </w:pPr>
          </w:p>
        </w:tc>
        <w:tc>
          <w:tcPr>
            <w:tcW w:w="10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tcBorders>
            <w:shd w:val="clear" w:color="auto" w:fill="FEFEFE"/>
          </w:tcPr>
          <w:p>
            <w:pPr>
              <w:spacing w:after="0"/>
              <w:rPr>
                <w:sz w:val="13"/>
                <w:szCs w:val="13"/>
                <w:color w:val="auto"/>
              </w:rPr>
            </w:pPr>
          </w:p>
        </w:tc>
        <w:tc>
          <w:tcPr>
            <w:tcW w:w="12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100" w:type="dxa"/>
            <w:vAlign w:val="bottom"/>
            <w:tcBorders>
              <w:top w:val="single" w:sz="8" w:color="FEFEFE"/>
              <w:bottom w:val="single" w:sz="8" w:color="FEFEFE"/>
            </w:tcBorders>
            <w:gridSpan w:val="5"/>
            <w:shd w:val="clear" w:color="auto" w:fill="FEFEFE"/>
          </w:tcPr>
          <w:p>
            <w:pPr>
              <w:spacing w:after="0"/>
              <w:rPr>
                <w:sz w:val="13"/>
                <w:szCs w:val="13"/>
                <w:color w:val="auto"/>
              </w:rPr>
            </w:pPr>
          </w:p>
        </w:tc>
        <w:tc>
          <w:tcPr>
            <w:tcW w:w="60" w:type="dxa"/>
            <w:vAlign w:val="bottom"/>
            <w:tcBorders>
              <w:top w:val="single" w:sz="8" w:color="FEFEFE"/>
              <w:bottom w:val="single" w:sz="8" w:color="FEFEFE"/>
            </w:tcBorders>
            <w:shd w:val="clear" w:color="auto" w:fill="FEFEFE"/>
          </w:tcPr>
          <w:p>
            <w:pPr>
              <w:spacing w:after="0"/>
              <w:rPr>
                <w:sz w:val="13"/>
                <w:szCs w:val="13"/>
                <w:color w:val="auto"/>
              </w:rPr>
            </w:pPr>
          </w:p>
        </w:tc>
        <w:tc>
          <w:tcPr>
            <w:tcW w:w="10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120" w:type="dxa"/>
            <w:vAlign w:val="bottom"/>
            <w:tcBorders>
              <w:top w:val="single" w:sz="8" w:color="FEFEFE"/>
              <w:bottom w:val="single" w:sz="8" w:color="FEFEFE"/>
            </w:tcBorders>
            <w:gridSpan w:val="5"/>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10.47*†</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Virtu Financial, Inc. Amended and Restated Employment Agreement, dated as of December 1, 2022, by and between Virtu</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600" w:type="dxa"/>
            <w:vAlign w:val="bottom"/>
            <w:tcBorders>
              <w:top w:val="single" w:sz="8" w:color="0000FF"/>
            </w:tcBorders>
            <w:gridSpan w:val="12"/>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Financial Operating LLC and Brett Fairclough.</w:t>
            </w:r>
          </w:p>
        </w:tc>
        <w:tc>
          <w:tcPr>
            <w:tcW w:w="10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120" w:type="dxa"/>
            <w:vAlign w:val="bottom"/>
            <w:tcBorders>
              <w:top w:val="single" w:sz="8" w:color="FEFEFE"/>
            </w:tcBorders>
            <w:gridSpan w:val="3"/>
            <w:shd w:val="clear" w:color="auto" w:fill="FEFEFE"/>
          </w:tcPr>
          <w:p>
            <w:pPr>
              <w:spacing w:after="0"/>
              <w:rPr>
                <w:sz w:val="13"/>
                <w:szCs w:val="13"/>
                <w:color w:val="auto"/>
              </w:rPr>
            </w:pPr>
          </w:p>
        </w:tc>
        <w:tc>
          <w:tcPr>
            <w:tcW w:w="100" w:type="dxa"/>
            <w:vAlign w:val="bottom"/>
            <w:tcBorders>
              <w:top w:val="single" w:sz="8" w:color="FEFEFE"/>
            </w:tcBorders>
            <w:gridSpan w:val="5"/>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gridSpan w:val="3"/>
            <w:shd w:val="clear" w:color="auto" w:fill="FEFEFE"/>
          </w:tcPr>
          <w:p>
            <w:pPr>
              <w:spacing w:after="0"/>
              <w:rPr>
                <w:sz w:val="13"/>
                <w:szCs w:val="13"/>
                <w:color w:val="auto"/>
              </w:rPr>
            </w:pPr>
          </w:p>
        </w:tc>
        <w:tc>
          <w:tcPr>
            <w:tcW w:w="120" w:type="dxa"/>
            <w:vAlign w:val="bottom"/>
            <w:tcBorders>
              <w:top w:val="single" w:sz="8" w:color="FEFEFE"/>
            </w:tcBorders>
            <w:gridSpan w:val="5"/>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FEFEFE"/>
          </w:tcPr>
          <w:p>
            <w:pPr>
              <w:spacing w:after="0" w:line="20" w:lineRule="exact"/>
              <w:rPr>
                <w:sz w:val="1"/>
                <w:szCs w:val="1"/>
                <w:color w:val="auto"/>
              </w:rPr>
            </w:pPr>
          </w:p>
        </w:tc>
        <w:tc>
          <w:tcPr>
            <w:tcW w:w="302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gridSpan w:val="3"/>
            <w:shd w:val="clear" w:color="auto" w:fill="FEFEFE"/>
          </w:tcPr>
          <w:p>
            <w:pPr>
              <w:spacing w:after="0" w:line="20" w:lineRule="exact"/>
              <w:rPr>
                <w:sz w:val="1"/>
                <w:szCs w:val="1"/>
                <w:color w:val="auto"/>
              </w:rPr>
            </w:pPr>
          </w:p>
        </w:tc>
        <w:tc>
          <w:tcPr>
            <w:tcW w:w="10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10.48*†</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Virtu Financial, Inc. Amended and Restated Employment Agreement, dated as of December 1, 2022, by and between Virtu</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600" w:type="dxa"/>
            <w:vAlign w:val="bottom"/>
            <w:tcBorders>
              <w:top w:val="single" w:sz="8" w:color="0000FF"/>
            </w:tcBorders>
            <w:gridSpan w:val="12"/>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Financial Operating LLC and Stephen Cavoli.</w:t>
            </w:r>
          </w:p>
        </w:tc>
        <w:tc>
          <w:tcPr>
            <w:tcW w:w="10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120" w:type="dxa"/>
            <w:vAlign w:val="bottom"/>
            <w:tcBorders>
              <w:top w:val="single" w:sz="8" w:color="FEFEFE"/>
            </w:tcBorders>
            <w:gridSpan w:val="3"/>
            <w:shd w:val="clear" w:color="auto" w:fill="FEFEFE"/>
          </w:tcPr>
          <w:p>
            <w:pPr>
              <w:spacing w:after="0"/>
              <w:rPr>
                <w:sz w:val="13"/>
                <w:szCs w:val="13"/>
                <w:color w:val="auto"/>
              </w:rPr>
            </w:pPr>
          </w:p>
        </w:tc>
        <w:tc>
          <w:tcPr>
            <w:tcW w:w="100" w:type="dxa"/>
            <w:vAlign w:val="bottom"/>
            <w:tcBorders>
              <w:top w:val="single" w:sz="8" w:color="FEFEFE"/>
            </w:tcBorders>
            <w:gridSpan w:val="5"/>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gridSpan w:val="3"/>
            <w:shd w:val="clear" w:color="auto" w:fill="FEFEFE"/>
          </w:tcPr>
          <w:p>
            <w:pPr>
              <w:spacing w:after="0"/>
              <w:rPr>
                <w:sz w:val="13"/>
                <w:szCs w:val="13"/>
                <w:color w:val="auto"/>
              </w:rPr>
            </w:pPr>
          </w:p>
        </w:tc>
        <w:tc>
          <w:tcPr>
            <w:tcW w:w="120" w:type="dxa"/>
            <w:vAlign w:val="bottom"/>
            <w:tcBorders>
              <w:top w:val="single" w:sz="8" w:color="FEFEFE"/>
            </w:tcBorders>
            <w:gridSpan w:val="5"/>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6"/>
            <w:shd w:val="clear" w:color="auto" w:fill="FEFEFE"/>
          </w:tcPr>
          <w:p>
            <w:pPr>
              <w:spacing w:after="0" w:line="20" w:lineRule="exact"/>
              <w:rPr>
                <w:sz w:val="1"/>
                <w:szCs w:val="1"/>
                <w:color w:val="auto"/>
              </w:rPr>
            </w:pPr>
          </w:p>
        </w:tc>
        <w:tc>
          <w:tcPr>
            <w:tcW w:w="302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gridSpan w:val="3"/>
            <w:shd w:val="clear" w:color="auto" w:fill="FEFEFE"/>
          </w:tcPr>
          <w:p>
            <w:pPr>
              <w:spacing w:after="0" w:line="20" w:lineRule="exact"/>
              <w:rPr>
                <w:sz w:val="1"/>
                <w:szCs w:val="1"/>
                <w:color w:val="auto"/>
              </w:rPr>
            </w:pPr>
          </w:p>
        </w:tc>
        <w:tc>
          <w:tcPr>
            <w:tcW w:w="10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10.49*†</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Virtu Financial, Inc. 2015 Amended and Restated Management Incentive Plan Amendment No. 1 dated as of December 1, 2022 to</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120" w:type="dxa"/>
            <w:vAlign w:val="bottom"/>
            <w:tcBorders>
              <w:top w:val="single" w:sz="8" w:color="0000FF"/>
            </w:tcBorders>
            <w:gridSpan w:val="26"/>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Restricted Stock Unit Award Agreement dated as of March 1, 2022, by and between Virtu Financial, Inc. and Douglas A. Cifu.</w:t>
            </w:r>
          </w:p>
        </w:tc>
        <w:tc>
          <w:tcPr>
            <w:tcW w:w="120" w:type="dxa"/>
            <w:vAlign w:val="bottom"/>
            <w:tcBorders>
              <w:top w:val="single" w:sz="8" w:color="FEFEFE"/>
            </w:tcBorders>
            <w:gridSpan w:val="5"/>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tcBorders>
              <w:top w:val="single" w:sz="8" w:color="FEFEFE"/>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540" w:type="dxa"/>
            <w:vAlign w:val="bottom"/>
            <w:tcBorders>
              <w:top w:val="single" w:sz="8" w:color="FEFEFE"/>
              <w:bottom w:val="single" w:sz="8" w:color="FEFEFE"/>
            </w:tcBorders>
            <w:shd w:val="clear" w:color="auto" w:fill="FEFEFE"/>
          </w:tcPr>
          <w:p>
            <w:pPr>
              <w:spacing w:after="0"/>
              <w:rPr>
                <w:sz w:val="18"/>
                <w:szCs w:val="18"/>
                <w:color w:val="auto"/>
              </w:rPr>
            </w:pPr>
          </w:p>
        </w:tc>
        <w:tc>
          <w:tcPr>
            <w:tcW w:w="2500" w:type="dxa"/>
            <w:vAlign w:val="bottom"/>
            <w:tcBorders>
              <w:top w:val="single" w:sz="8" w:color="0000FF"/>
              <w:bottom w:val="single" w:sz="8" w:color="0000FF"/>
            </w:tcBorders>
            <w:gridSpan w:val="2"/>
            <w:shd w:val="clear" w:color="auto" w:fill="FEFEFE"/>
          </w:tcPr>
          <w:p>
            <w:pPr>
              <w:spacing w:after="0"/>
              <w:rPr>
                <w:sz w:val="20"/>
                <w:szCs w:val="20"/>
                <w:color w:val="auto"/>
              </w:rPr>
            </w:pPr>
            <w:r>
              <w:rPr>
                <w:rFonts w:ascii="Times New Roman" w:cs="Times New Roman" w:eastAsia="Times New Roman" w:hAnsi="Times New Roman"/>
                <w:sz w:val="17"/>
                <w:szCs w:val="17"/>
                <w:color w:val="0000FF"/>
              </w:rPr>
              <w:t>Subsidiaries of Virtu Financial, Inc.</w:t>
            </w:r>
          </w:p>
        </w:tc>
        <w:tc>
          <w:tcPr>
            <w:tcW w:w="6360" w:type="dxa"/>
            <w:vAlign w:val="bottom"/>
            <w:tcBorders>
              <w:top w:val="single" w:sz="8" w:color="0000FF"/>
              <w:bottom w:val="single" w:sz="8" w:color="FEFEFE"/>
            </w:tcBorders>
            <w:gridSpan w:val="15"/>
            <w:shd w:val="clear" w:color="auto" w:fill="FEFEFE"/>
          </w:tcPr>
          <w:p>
            <w:pPr>
              <w:spacing w:after="0"/>
              <w:rPr>
                <w:sz w:val="18"/>
                <w:szCs w:val="18"/>
                <w:color w:val="auto"/>
              </w:rPr>
            </w:pPr>
          </w:p>
        </w:tc>
        <w:tc>
          <w:tcPr>
            <w:tcW w:w="380" w:type="dxa"/>
            <w:vAlign w:val="bottom"/>
            <w:tcBorders>
              <w:top w:val="single" w:sz="8" w:color="FEFEFE"/>
              <w:bottom w:val="single" w:sz="8" w:color="FEFEFE"/>
            </w:tcBorders>
            <w:gridSpan w:val="14"/>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Consent of PricewaterhouseCoopers LLP.</w:t>
            </w: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760" w:type="dxa"/>
            <w:vAlign w:val="bottom"/>
            <w:gridSpan w:val="7"/>
            <w:shd w:val="clear" w:color="auto" w:fill="FEFEFE"/>
          </w:tcPr>
          <w:p>
            <w:pPr>
              <w:spacing w:after="0" w:line="20" w:lineRule="exact"/>
              <w:rPr>
                <w:sz w:val="1"/>
                <w:szCs w:val="1"/>
                <w:color w:val="auto"/>
              </w:rPr>
            </w:pPr>
          </w:p>
        </w:tc>
        <w:tc>
          <w:tcPr>
            <w:tcW w:w="302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gridSpan w:val="8"/>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8"/>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540" w:type="dxa"/>
            <w:vAlign w:val="bottom"/>
            <w:shd w:val="clear" w:color="auto" w:fill="FEFEFE"/>
          </w:tcPr>
          <w:p>
            <w:pPr>
              <w:spacing w:after="0"/>
              <w:rPr>
                <w:sz w:val="17"/>
                <w:szCs w:val="17"/>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14"/>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gridSpan w:val="8"/>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8"/>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gridSpan w:val="9"/>
            <w:shd w:val="clear" w:color="auto" w:fill="0000FF"/>
          </w:tcPr>
          <w:p>
            <w:pPr>
              <w:spacing w:after="0" w:line="20" w:lineRule="exact"/>
              <w:rPr>
                <w:sz w:val="1"/>
                <w:szCs w:val="1"/>
                <w:color w:val="auto"/>
              </w:rPr>
            </w:pPr>
          </w:p>
        </w:tc>
        <w:tc>
          <w:tcPr>
            <w:tcW w:w="3020" w:type="dxa"/>
            <w:vAlign w:val="bottom"/>
            <w:gridSpan w:val="3"/>
            <w:shd w:val="clear" w:color="auto" w:fill="FEFEFE"/>
          </w:tcPr>
          <w:p>
            <w:pPr>
              <w:spacing w:after="0" w:line="20" w:lineRule="exact"/>
              <w:rPr>
                <w:sz w:val="1"/>
                <w:szCs w:val="1"/>
                <w:color w:val="auto"/>
              </w:rPr>
            </w:pPr>
          </w:p>
        </w:tc>
        <w:tc>
          <w:tcPr>
            <w:tcW w:w="260" w:type="dxa"/>
            <w:vAlign w:val="bottom"/>
            <w:gridSpan w:val="9"/>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8"/>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13"/>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9"/>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8"/>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gridSpan w:val="9"/>
            <w:shd w:val="clear" w:color="auto" w:fill="0000FF"/>
          </w:tcPr>
          <w:p>
            <w:pPr>
              <w:spacing w:after="0" w:line="20" w:lineRule="exact"/>
              <w:rPr>
                <w:sz w:val="1"/>
                <w:szCs w:val="1"/>
                <w:color w:val="auto"/>
              </w:rPr>
            </w:pPr>
          </w:p>
        </w:tc>
        <w:tc>
          <w:tcPr>
            <w:tcW w:w="3280" w:type="dxa"/>
            <w:vAlign w:val="bottom"/>
            <w:gridSpan w:val="1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8"/>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22"/>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8"/>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shd w:val="clear" w:color="auto" w:fill="FEFEFE"/>
          </w:tcPr>
          <w:p>
            <w:pPr>
              <w:spacing w:after="0"/>
              <w:rPr>
                <w:sz w:val="18"/>
                <w:szCs w:val="18"/>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21"/>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9"/>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40" w:type="dxa"/>
            <w:vAlign w:val="bottom"/>
            <w:shd w:val="clear" w:color="auto" w:fill="FEFEFE"/>
          </w:tcPr>
          <w:p>
            <w:pPr>
              <w:spacing w:after="0"/>
              <w:rPr>
                <w:sz w:val="22"/>
                <w:szCs w:val="22"/>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0" w:type="dxa"/>
            <w:vAlign w:val="bottom"/>
            <w:shd w:val="clear" w:color="auto" w:fill="FEFEFE"/>
          </w:tcPr>
          <w:p>
            <w:pPr>
              <w:spacing w:after="0"/>
              <w:rPr>
                <w:sz w:val="21"/>
                <w:szCs w:val="21"/>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0" w:type="dxa"/>
            <w:vAlign w:val="bottom"/>
            <w:shd w:val="clear" w:color="auto" w:fill="FEFEFE"/>
          </w:tcPr>
          <w:p>
            <w:pPr>
              <w:spacing w:after="0"/>
              <w:rPr>
                <w:sz w:val="21"/>
                <w:szCs w:val="21"/>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0" w:type="dxa"/>
            <w:vAlign w:val="bottom"/>
            <w:shd w:val="clear" w:color="auto" w:fill="FEFEFE"/>
          </w:tcPr>
          <w:p>
            <w:pPr>
              <w:spacing w:after="0"/>
              <w:rPr>
                <w:sz w:val="21"/>
                <w:szCs w:val="21"/>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0" w:type="dxa"/>
            <w:vAlign w:val="bottom"/>
            <w:shd w:val="clear" w:color="auto" w:fill="FEFEFE"/>
          </w:tcPr>
          <w:p>
            <w:pPr>
              <w:spacing w:after="0"/>
              <w:rPr>
                <w:sz w:val="21"/>
                <w:szCs w:val="21"/>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0" w:type="dxa"/>
            <w:vAlign w:val="bottom"/>
            <w:shd w:val="clear" w:color="auto" w:fill="FEFEFE"/>
          </w:tcPr>
          <w:p>
            <w:pPr>
              <w:spacing w:after="0"/>
              <w:rPr>
                <w:sz w:val="21"/>
                <w:szCs w:val="21"/>
                <w:color w:val="auto"/>
              </w:rPr>
            </w:pPr>
          </w:p>
        </w:tc>
        <w:tc>
          <w:tcPr>
            <w:tcW w:w="9240" w:type="dxa"/>
            <w:vAlign w:val="bottom"/>
            <w:gridSpan w:val="31"/>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shd w:val="clear" w:color="auto" w:fill="FEFEFE"/>
          </w:tcPr>
          <w:p>
            <w:pPr>
              <w:spacing w:after="0"/>
              <w:rPr>
                <w:sz w:val="21"/>
                <w:szCs w:val="21"/>
                <w:color w:val="auto"/>
              </w:rPr>
            </w:pPr>
          </w:p>
        </w:tc>
        <w:tc>
          <w:tcPr>
            <w:tcW w:w="9240" w:type="dxa"/>
            <w:vAlign w:val="bottom"/>
            <w:gridSpan w:val="31"/>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shd w:val="clear" w:color="auto" w:fill="FEFEFE"/>
          </w:tcPr>
          <w:p>
            <w:pPr>
              <w:spacing w:after="0"/>
              <w:rPr>
                <w:sz w:val="7"/>
                <w:szCs w:val="7"/>
                <w:color w:val="auto"/>
              </w:rPr>
            </w:pPr>
          </w:p>
        </w:tc>
        <w:tc>
          <w:tcPr>
            <w:tcW w:w="9240" w:type="dxa"/>
            <w:vAlign w:val="bottom"/>
            <w:gridSpan w:val="31"/>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40" w:type="dxa"/>
            <w:vAlign w:val="bottom"/>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1140" w:type="dxa"/>
            <w:vAlign w:val="bottom"/>
            <w:shd w:val="clear" w:color="auto" w:fill="FEFEFE"/>
          </w:tcPr>
          <w:p>
            <w:pPr>
              <w:spacing w:after="0"/>
              <w:rPr>
                <w:sz w:val="8"/>
                <w:szCs w:val="8"/>
                <w:color w:val="auto"/>
              </w:rPr>
            </w:pPr>
          </w:p>
        </w:tc>
        <w:tc>
          <w:tcPr>
            <w:tcW w:w="420" w:type="dxa"/>
            <w:vAlign w:val="bottom"/>
            <w:shd w:val="clear" w:color="auto" w:fill="FEFEFE"/>
          </w:tcPr>
          <w:p>
            <w:pPr>
              <w:spacing w:after="0"/>
              <w:rPr>
                <w:sz w:val="8"/>
                <w:szCs w:val="8"/>
                <w:color w:val="auto"/>
              </w:rPr>
            </w:pPr>
          </w:p>
        </w:tc>
        <w:tc>
          <w:tcPr>
            <w:tcW w:w="30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400" w:type="dxa"/>
            <w:vAlign w:val="bottom"/>
            <w:shd w:val="clear" w:color="auto" w:fill="FEFEFE"/>
          </w:tcPr>
          <w:p>
            <w:pPr>
              <w:spacing w:after="0"/>
              <w:rPr>
                <w:sz w:val="8"/>
                <w:szCs w:val="8"/>
                <w:color w:val="auto"/>
              </w:rPr>
            </w:pPr>
          </w:p>
        </w:tc>
        <w:tc>
          <w:tcPr>
            <w:tcW w:w="1320" w:type="dxa"/>
            <w:vAlign w:val="bottom"/>
            <w:shd w:val="clear" w:color="auto" w:fill="FEFEFE"/>
          </w:tcPr>
          <w:p>
            <w:pPr>
              <w:spacing w:after="0"/>
              <w:rPr>
                <w:sz w:val="8"/>
                <w:szCs w:val="8"/>
                <w:color w:val="auto"/>
              </w:rPr>
            </w:pPr>
          </w:p>
        </w:tc>
        <w:tc>
          <w:tcPr>
            <w:tcW w:w="360" w:type="dxa"/>
            <w:vAlign w:val="bottom"/>
            <w:shd w:val="clear" w:color="auto" w:fill="FEFEFE"/>
          </w:tcPr>
          <w:p>
            <w:pPr>
              <w:spacing w:after="0"/>
              <w:rPr>
                <w:sz w:val="8"/>
                <w:szCs w:val="8"/>
                <w:color w:val="auto"/>
              </w:rPr>
            </w:pPr>
          </w:p>
        </w:tc>
        <w:tc>
          <w:tcPr>
            <w:tcW w:w="300" w:type="dxa"/>
            <w:vAlign w:val="bottom"/>
            <w:shd w:val="clear" w:color="auto" w:fill="FEFEFE"/>
          </w:tcPr>
          <w:p>
            <w:pPr>
              <w:spacing w:after="0"/>
              <w:rPr>
                <w:sz w:val="8"/>
                <w:szCs w:val="8"/>
                <w:color w:val="auto"/>
              </w:rPr>
            </w:pPr>
          </w:p>
        </w:tc>
        <w:tc>
          <w:tcPr>
            <w:tcW w:w="1700" w:type="dxa"/>
            <w:vAlign w:val="bottom"/>
            <w:shd w:val="clear" w:color="auto" w:fill="FEFEFE"/>
          </w:tcPr>
          <w:p>
            <w:pPr>
              <w:spacing w:after="0"/>
              <w:rPr>
                <w:sz w:val="8"/>
                <w:szCs w:val="8"/>
                <w:color w:val="auto"/>
              </w:rPr>
            </w:pPr>
          </w:p>
        </w:tc>
        <w:tc>
          <w:tcPr>
            <w:tcW w:w="1220" w:type="dxa"/>
            <w:vAlign w:val="bottom"/>
            <w:shd w:val="clear" w:color="auto" w:fill="FEFEFE"/>
          </w:tcPr>
          <w:p>
            <w:pPr>
              <w:spacing w:after="0"/>
              <w:rPr>
                <w:sz w:val="8"/>
                <w:szCs w:val="8"/>
                <w:color w:val="auto"/>
              </w:rPr>
            </w:pPr>
          </w:p>
        </w:tc>
        <w:tc>
          <w:tcPr>
            <w:tcW w:w="10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60"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February 17, 2023</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February 17, 2023</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Sean P. Galvin</w:t>
            </w:r>
          </w:p>
        </w:tc>
      </w:tr>
      <w:tr>
        <w:trPr>
          <w:trHeight w:val="228"/>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30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2"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Douglas A. Cifu and Sean P. Galvin,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50" w:name="page151"/>
    <w:bookmarkEnd w:id="150"/>
    <w:p>
      <w:pPr>
        <w:ind w:firstLine="629"/>
        <w:spacing w:after="0" w:line="280"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as amended, the report has been signed below by the following persons on behalf of the Registrant and in the capacities indicated on February 17, 2023.</w:t>
      </w:r>
    </w:p>
    <w:p>
      <w:pPr>
        <w:ind w:left="2600"/>
        <w:spacing w:after="0"/>
        <w:tabs>
          <w:tab w:leader="none" w:pos="8100" w:val="left"/>
        </w:tabs>
        <w:rPr>
          <w:sz w:val="20"/>
          <w:szCs w:val="20"/>
          <w:color w:val="auto"/>
        </w:rPr>
      </w:pPr>
      <w:r>
        <w:rPr>
          <w:rFonts w:ascii="Times New Roman" w:cs="Times New Roman" w:eastAsia="Times New Roman" w:hAnsi="Times New Roman"/>
          <w:sz w:val="17"/>
          <w:szCs w:val="17"/>
          <w:b w:val="1"/>
          <w:bCs w:val="1"/>
          <w:u w:val="single" w:color="auto"/>
          <w:color w:val="auto"/>
        </w:rPr>
        <w:t>Signature</w:t>
      </w:r>
      <w:r>
        <w:rPr>
          <w:sz w:val="20"/>
          <w:szCs w:val="20"/>
          <w:color w:val="auto"/>
        </w:rPr>
        <w:tab/>
      </w:r>
      <w:r>
        <w:rPr>
          <w:rFonts w:ascii="Times New Roman" w:cs="Times New Roman" w:eastAsia="Times New Roman" w:hAnsi="Times New Roman"/>
          <w:sz w:val="17"/>
          <w:szCs w:val="17"/>
          <w:b w:val="1"/>
          <w:bCs w:val="1"/>
          <w:u w:val="single" w:color="auto"/>
          <w:color w:val="auto"/>
        </w:rPr>
        <w:t>Title</w:t>
      </w:r>
    </w:p>
    <w:p>
      <w:pPr>
        <w:sectPr>
          <w:pgSz w:w="11900" w:h="16838" w:orient="portrait"/>
          <w:cols w:equalWidth="0" w:num="1">
            <w:col w:w="11000"/>
          </w:cols>
          <w:pgMar w:left="320" w:top="868" w:right="579" w:bottom="1440" w:gutter="0" w:footer="0" w:header="0"/>
        </w:sectPr>
      </w:pPr>
    </w:p>
    <w:p>
      <w:pPr>
        <w:spacing w:after="0" w:line="3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Sean P. Galvin</w:t>
      </w: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37465</wp:posOffset>
            </wp:positionV>
            <wp:extent cx="33851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Robert Greifeld</w:t>
      </w:r>
    </w:p>
    <w:p>
      <w:pPr>
        <w:spacing w:after="0" w:line="3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Vincent Viola</w:t>
      </w: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William F. Cruger, Jr.</w:t>
      </w: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Virginia Gambale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Virginia Gambale</w:t>
      </w: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37465</wp:posOffset>
            </wp:positionV>
            <wp:extent cx="33851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Joseph J. Grano, Jr.</w:t>
      </w:r>
    </w:p>
    <w:p>
      <w:pPr>
        <w:spacing w:after="0" w:line="3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Joanne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37465</wp:posOffset>
            </wp:positionV>
            <wp:extent cx="33851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Joanne Minieri</w:t>
      </w:r>
    </w:p>
    <w:p>
      <w:pPr>
        <w:spacing w:after="0" w:line="3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37465</wp:posOffset>
            </wp:positionV>
            <wp:extent cx="33851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John D. Nixon</w:t>
      </w: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20320</wp:posOffset>
            </wp:positionV>
            <wp:extent cx="33851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Christopher Quick</w:t>
      </w: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37465</wp:posOffset>
            </wp:positionV>
            <wp:extent cx="33851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David Urban</w:t>
      </w:r>
    </w:p>
    <w:p>
      <w:pPr>
        <w:spacing w:after="0" w:line="3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29210</wp:posOffset>
            </wp:positionV>
            <wp:extent cx="33851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3385185" cy="8255"/>
                    </a:xfrm>
                    <a:prstGeom prst="rect">
                      <a:avLst/>
                    </a:prstGeom>
                    <a:noFill/>
                  </pic:spPr>
                </pic:pic>
              </a:graphicData>
            </a:graphic>
          </wp:anchor>
        </w:drawing>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Michael T. Viola</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Chief Executive Officer</w:t>
      </w:r>
    </w:p>
    <w:p>
      <w:pPr>
        <w:jc w:val="center"/>
        <w:ind w:right="1140"/>
        <w:spacing w:after="0"/>
        <w:rPr>
          <w:sz w:val="20"/>
          <w:szCs w:val="20"/>
          <w:color w:val="auto"/>
        </w:rPr>
      </w:pPr>
      <w:r>
        <w:rPr>
          <w:rFonts w:ascii="Times New Roman" w:cs="Times New Roman" w:eastAsia="Times New Roman" w:hAnsi="Times New Roman"/>
          <w:sz w:val="17"/>
          <w:szCs w:val="17"/>
          <w:color w:val="auto"/>
        </w:rPr>
        <w:t>(Principal Executive Officer) and Director</w:t>
      </w:r>
    </w:p>
    <w:p>
      <w:pPr>
        <w:spacing w:after="0" w:line="3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Chief Financial Officer</w:t>
      </w:r>
    </w:p>
    <w:p>
      <w:pPr>
        <w:jc w:val="center"/>
        <w:ind w:right="114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Chairman Emeritus and 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Director</w:t>
      </w:r>
    </w:p>
    <w:p>
      <w:pPr>
        <w:spacing w:after="0" w:line="330" w:lineRule="exact"/>
        <w:rPr>
          <w:sz w:val="20"/>
          <w:szCs w:val="20"/>
          <w:color w:val="auto"/>
        </w:rPr>
      </w:pPr>
    </w:p>
    <w:p>
      <w:pPr>
        <w:sectPr>
          <w:pgSz w:w="11900" w:h="16838" w:orient="portrait"/>
          <w:cols w:equalWidth="0" w:num="2">
            <w:col w:w="6000" w:space="720"/>
            <w:col w:w="4280"/>
          </w:cols>
          <w:pgMar w:left="320" w:top="868"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1000"/>
          </w:cols>
          <w:pgMar w:left="320" w:top="868" w:right="579" w:bottom="1440" w:gutter="0" w:footer="0" w:header="0"/>
          <w:type w:val="continuous"/>
        </w:sectPr>
      </w:pPr>
    </w:p>
    <w:bookmarkStart w:id="151" w:name="page152"/>
    <w:bookmarkEnd w:id="151"/>
    <w:p>
      <w:pPr>
        <w:spacing w:after="0" w:line="200" w:lineRule="exact"/>
        <w:rPr>
          <w:sz w:val="20"/>
          <w:szCs w:val="20"/>
          <w:color w:val="auto"/>
        </w:rPr>
      </w:pPr>
    </w:p>
    <w:p>
      <w:pPr>
        <w:spacing w:after="0" w:line="268" w:lineRule="exact"/>
        <w:rPr>
          <w:sz w:val="20"/>
          <w:szCs w:val="20"/>
          <w:color w:val="auto"/>
        </w:rPr>
      </w:pPr>
    </w:p>
    <w:p>
      <w:pPr>
        <w:ind w:right="380" w:firstLine="629"/>
        <w:spacing w:after="0" w:line="234" w:lineRule="auto"/>
        <w:rPr>
          <w:sz w:val="20"/>
          <w:szCs w:val="20"/>
          <w:color w:val="auto"/>
        </w:rPr>
      </w:pPr>
      <w:r>
        <w:rPr>
          <w:rFonts w:ascii="Times New Roman" w:cs="Times New Roman" w:eastAsia="Times New Roman" w:hAnsi="Times New Roman"/>
          <w:sz w:val="18"/>
          <w:szCs w:val="18"/>
          <w:color w:val="auto"/>
        </w:rPr>
        <w:t>Amended and Restated Employment Agreement (this “Agreement”), dated as of December 1, 2022 (the “Effective Date”), between Virtu Financial Operating LLC, a Delaware limited liability company (together with all parents, affiliates and subsidiaries as the "Company"), and Joseph Molluso (“Executive”).</w:t>
      </w:r>
    </w:p>
    <w:p>
      <w:pPr>
        <w:spacing w:after="0" w:line="180"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8"/>
          <w:szCs w:val="18"/>
          <w:color w:val="auto"/>
        </w:rPr>
        <w:t>WHEREAS, the Company and Executive are party to an existing Employment Agreement dated April 30, 2020 (the “Existing Agreement”) and desire to amend and restate the Existing Agreement as herein provided; and</w:t>
      </w:r>
    </w:p>
    <w:p>
      <w:pPr>
        <w:spacing w:after="0" w:line="171" w:lineRule="exact"/>
        <w:rPr>
          <w:sz w:val="20"/>
          <w:szCs w:val="20"/>
          <w:color w:val="auto"/>
        </w:rPr>
      </w:pPr>
    </w:p>
    <w:p>
      <w:pPr>
        <w:jc w:val="both"/>
        <w:ind w:firstLine="629"/>
        <w:spacing w:after="0" w:line="234" w:lineRule="auto"/>
        <w:rPr>
          <w:sz w:val="20"/>
          <w:szCs w:val="20"/>
          <w:color w:val="auto"/>
        </w:rPr>
      </w:pPr>
      <w:r>
        <w:rPr>
          <w:rFonts w:ascii="Times New Roman" w:cs="Times New Roman" w:eastAsia="Times New Roman" w:hAnsi="Times New Roman"/>
          <w:sz w:val="18"/>
          <w:szCs w:val="18"/>
          <w:color w:val="auto"/>
        </w:rPr>
        <w:t>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80"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intending to be legally bound hereby, the parties hereto agree as set forth below:</w:t>
      </w:r>
    </w:p>
    <w:p>
      <w:pPr>
        <w:spacing w:after="0" w:line="167" w:lineRule="exact"/>
        <w:rPr>
          <w:sz w:val="20"/>
          <w:szCs w:val="20"/>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16" w:lineRule="exact"/>
        <w:rPr>
          <w:rFonts w:ascii="Times New Roman" w:cs="Times New Roman" w:eastAsia="Times New Roman" w:hAnsi="Times New Roman"/>
          <w:sz w:val="18"/>
          <w:szCs w:val="18"/>
          <w:color w:val="auto"/>
        </w:rPr>
      </w:pPr>
    </w:p>
    <w:p>
      <w:pPr>
        <w:ind w:left="560" w:right="60" w:hanging="307"/>
        <w:spacing w:after="0" w:line="214" w:lineRule="auto"/>
        <w:tabs>
          <w:tab w:leader="none" w:pos="55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Executive’s employment under this Agreement shall continue from the Effective Date until April 30, 2026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w:t>
      </w:r>
    </w:p>
    <w:p>
      <w:pPr>
        <w:spacing w:after="0" w:line="8" w:lineRule="exact"/>
        <w:rPr>
          <w:rFonts w:ascii="Times New Roman" w:cs="Times New Roman" w:eastAsia="Times New Roman" w:hAnsi="Times New Roman"/>
          <w:sz w:val="18"/>
          <w:szCs w:val="18"/>
          <w:color w:val="auto"/>
        </w:rPr>
      </w:pPr>
    </w:p>
    <w:p>
      <w:pPr>
        <w:ind w:left="560" w:right="24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from the date of such Change in Control, the Term shall automatically be renewed so that the Expiration Date is one (1) year from the effective date of such Change in Control.</w:t>
      </w:r>
    </w:p>
    <w:p>
      <w:pPr>
        <w:spacing w:after="0" w:line="180" w:lineRule="exact"/>
        <w:rPr>
          <w:rFonts w:ascii="Times New Roman" w:cs="Times New Roman" w:eastAsia="Times New Roman" w:hAnsi="Times New Roman"/>
          <w:sz w:val="18"/>
          <w:szCs w:val="18"/>
          <w:color w:val="auto"/>
        </w:rPr>
      </w:pPr>
    </w:p>
    <w:p>
      <w:pPr>
        <w:ind w:left="560" w:right="100" w:hanging="307"/>
        <w:spacing w:after="0" w:line="220" w:lineRule="auto"/>
        <w:tabs>
          <w:tab w:leader="none" w:pos="55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as used herein, shall have the definitions set forth below.</w:t>
      </w:r>
    </w:p>
    <w:p>
      <w:pPr>
        <w:spacing w:after="0" w:line="216" w:lineRule="exact"/>
        <w:rPr>
          <w:rFonts w:ascii="Times New Roman" w:cs="Times New Roman" w:eastAsia="Times New Roman" w:hAnsi="Times New Roman"/>
          <w:sz w:val="18"/>
          <w:szCs w:val="18"/>
          <w:color w:val="auto"/>
        </w:rPr>
      </w:pPr>
    </w:p>
    <w:p>
      <w:pPr>
        <w:jc w:val="both"/>
        <w:ind w:left="560" w:right="20" w:hanging="319"/>
        <w:spacing w:after="0" w:line="234" w:lineRule="auto"/>
        <w:tabs>
          <w:tab w:leader="none" w:pos="5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80"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that any of the following occurs:</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9" w:lineRule="exact"/>
        <w:rPr>
          <w:sz w:val="20"/>
          <w:szCs w:val="20"/>
          <w:color w:val="auto"/>
        </w:rPr>
      </w:pPr>
    </w:p>
    <w:p>
      <w:pPr>
        <w:ind w:left="660" w:right="400" w:hanging="157"/>
        <w:spacing w:after="0" w:line="254" w:lineRule="auto"/>
        <w:rPr>
          <w:sz w:val="20"/>
          <w:szCs w:val="20"/>
          <w:color w:val="auto"/>
        </w:rPr>
      </w:pPr>
      <w:r>
        <w:rPr>
          <w:rFonts w:ascii="Times New Roman" w:cs="Times New Roman" w:eastAsia="Times New Roman" w:hAnsi="Times New Roman"/>
          <w:sz w:val="18"/>
          <w:szCs w:val="18"/>
          <w:color w:val="auto"/>
        </w:rPr>
        <w:t xml:space="preserve">i. Executive is convicted of, or pleads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commits any fraudulent or illegal acts with regard to the Company or its employees, independent contractors, officers, members or managers;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ii.Executive is repeatedly intoxicated or under the influence of illegal substances while performing his employment duties;</w:t>
      </w:r>
    </w:p>
    <w:p>
      <w:pPr>
        <w:spacing w:after="0" w:line="212" w:lineRule="exact"/>
        <w:rPr>
          <w:sz w:val="20"/>
          <w:szCs w:val="20"/>
          <w:color w:val="auto"/>
        </w:rPr>
      </w:pPr>
    </w:p>
    <w:p>
      <w:pPr>
        <w:ind w:left="660" w:right="260" w:hanging="152"/>
        <w:spacing w:after="0" w:line="250"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71" w:lineRule="exact"/>
        <w:rPr>
          <w:rFonts w:ascii="Times New Roman" w:cs="Times New Roman" w:eastAsia="Times New Roman" w:hAnsi="Times New Roman"/>
          <w:sz w:val="18"/>
          <w:szCs w:val="18"/>
          <w:color w:val="auto"/>
        </w:rPr>
      </w:pPr>
    </w:p>
    <w:p>
      <w:pPr>
        <w:ind w:left="660" w:hanging="152"/>
        <w:spacing w:after="0" w:line="221" w:lineRule="auto"/>
        <w:tabs>
          <w:tab w:leader="none" w:pos="9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 violates any material regulatory or trading policy, procedure, requirement, rule or regulation of the Company, any exchange, 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v.Executives intentionally and wrongfully damages material assets of the Company;</w:t>
      </w:r>
    </w:p>
    <w:p>
      <w:pPr>
        <w:spacing w:after="0" w:line="212" w:lineRule="exact"/>
        <w:rPr>
          <w:sz w:val="20"/>
          <w:szCs w:val="20"/>
          <w:color w:val="auto"/>
        </w:rPr>
      </w:pPr>
    </w:p>
    <w:p>
      <w:pPr>
        <w:ind w:left="1020" w:hanging="512"/>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discloses material confidential information of the Company; or</w:t>
      </w:r>
    </w:p>
    <w:p>
      <w:pPr>
        <w:spacing w:after="0" w:line="212" w:lineRule="exact"/>
        <w:rPr>
          <w:rFonts w:ascii="Times New Roman" w:cs="Times New Roman" w:eastAsia="Times New Roman" w:hAnsi="Times New Roman"/>
          <w:sz w:val="18"/>
          <w:szCs w:val="18"/>
          <w:color w:val="auto"/>
        </w:rPr>
      </w:pPr>
    </w:p>
    <w:p>
      <w:pPr>
        <w:ind w:left="660" w:right="140" w:hanging="152"/>
        <w:spacing w:after="0" w:line="250" w:lineRule="auto"/>
        <w:tabs>
          <w:tab w:leader="none" w:pos="10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engages in any competitive activity which constitutes a material breach of this Agreement, the Proprietary Invention Assignment, Noncompetition and Confidentiality Agreement, and/or a breach of his duty of loyalty;</w:t>
      </w:r>
    </w:p>
    <w:p>
      <w:pPr>
        <w:spacing w:after="0" w:line="171" w:lineRule="exact"/>
        <w:rPr>
          <w:sz w:val="20"/>
          <w:szCs w:val="20"/>
          <w:color w:val="auto"/>
        </w:rPr>
      </w:pPr>
    </w:p>
    <w:p>
      <w:pPr>
        <w:ind w:left="660" w:right="220"/>
        <w:spacing w:after="0" w:line="228" w:lineRule="auto"/>
        <w:rPr>
          <w:sz w:val="20"/>
          <w:szCs w:val="20"/>
          <w:color w:val="auto"/>
        </w:rPr>
      </w:pPr>
      <w:r>
        <w:rPr>
          <w:rFonts w:ascii="Times New Roman" w:cs="Times New Roman" w:eastAsia="Times New Roman" w:hAnsi="Times New Roman"/>
          <w:sz w:val="18"/>
          <w:szCs w:val="18"/>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thirty (30) days after receipt of such notice and does not recur within 180 days after the initial act or omission.</w:t>
      </w:r>
    </w:p>
    <w:p>
      <w:pPr>
        <w:spacing w:after="0" w:line="183" w:lineRule="exact"/>
        <w:rPr>
          <w:sz w:val="20"/>
          <w:szCs w:val="20"/>
          <w:color w:val="auto"/>
        </w:rPr>
      </w:pPr>
    </w:p>
    <w:p>
      <w:pPr>
        <w:ind w:left="320" w:hanging="307"/>
        <w:spacing w:after="0"/>
        <w:tabs>
          <w:tab w:leader="none" w:pos="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set forth in the Plan.</w:t>
      </w:r>
    </w:p>
    <w:p>
      <w:pPr>
        <w:spacing w:after="0" w:line="212" w:lineRule="exact"/>
        <w:rPr>
          <w:rFonts w:ascii="Times New Roman" w:cs="Times New Roman" w:eastAsia="Times New Roman" w:hAnsi="Times New Roman"/>
          <w:sz w:val="18"/>
          <w:szCs w:val="18"/>
          <w:color w:val="auto"/>
        </w:rPr>
      </w:pPr>
    </w:p>
    <w:p>
      <w:pPr>
        <w:jc w:val="both"/>
        <w:ind w:left="320" w:right="260" w:hanging="319"/>
        <w:spacing w:after="0" w:line="234" w:lineRule="auto"/>
        <w:tabs>
          <w:tab w:leader="none" w:pos="31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180" w:lineRule="exact"/>
        <w:rPr>
          <w:rFonts w:ascii="Times New Roman" w:cs="Times New Roman" w:eastAsia="Times New Roman" w:hAnsi="Times New Roman"/>
          <w:sz w:val="18"/>
          <w:szCs w:val="18"/>
          <w:color w:val="auto"/>
        </w:rPr>
      </w:pPr>
    </w:p>
    <w:p>
      <w:pPr>
        <w:ind w:left="320" w:right="40" w:hanging="319"/>
        <w:spacing w:after="0" w:line="223" w:lineRule="auto"/>
        <w:tabs>
          <w:tab w:leader="none" w:pos="3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long-term disability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w:t>
      </w:r>
    </w:p>
    <w:p>
      <w:pPr>
        <w:spacing w:after="0" w:line="182" w:lineRule="exact"/>
        <w:rPr>
          <w:rFonts w:ascii="Times New Roman" w:cs="Times New Roman" w:eastAsia="Times New Roman" w:hAnsi="Times New Roman"/>
          <w:sz w:val="18"/>
          <w:szCs w:val="18"/>
          <w:color w:val="auto"/>
        </w:rPr>
      </w:pPr>
    </w:p>
    <w:p>
      <w:pPr>
        <w:ind w:left="320" w:right="340" w:hanging="307"/>
        <w:spacing w:after="0" w:line="250" w:lineRule="auto"/>
        <w:tabs>
          <w:tab w:leader="none" w:pos="3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termination of Executive’s employment at his initiative after, without Executive’s prior written consent, one (1) or more of the following events:</w:t>
      </w:r>
    </w:p>
    <w:p>
      <w:pPr>
        <w:spacing w:after="0" w:line="171" w:lineRule="exact"/>
        <w:rPr>
          <w:rFonts w:ascii="Times New Roman" w:cs="Times New Roman" w:eastAsia="Times New Roman" w:hAnsi="Times New Roman"/>
          <w:sz w:val="18"/>
          <w:szCs w:val="18"/>
          <w:color w:val="auto"/>
        </w:rPr>
      </w:pPr>
    </w:p>
    <w:p>
      <w:pPr>
        <w:ind w:left="660" w:right="200" w:hanging="152"/>
        <w:spacing w:after="0" w:line="234" w:lineRule="auto"/>
        <w:tabs>
          <w:tab w:leader="none" w:pos="651"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Executive’s title or reporting relationship such that he no longer reports directly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00"/>
          </w:cols>
          <w:pgMar w:left="560" w:top="1440" w:right="339" w:bottom="1440" w:gutter="0" w:footer="0" w:header="0"/>
        </w:sectPr>
      </w:pPr>
    </w:p>
    <w:bookmarkStart w:id="153" w:name="page154"/>
    <w:bookmarkEnd w:id="153"/>
    <w:p>
      <w:pPr>
        <w:spacing w:after="0" w:line="233" w:lineRule="exact"/>
        <w:rPr>
          <w:sz w:val="20"/>
          <w:szCs w:val="20"/>
          <w:color w:val="auto"/>
        </w:rPr>
      </w:pPr>
    </w:p>
    <w:p>
      <w:pPr>
        <w:ind w:left="900" w:right="300"/>
        <w:spacing w:after="0" w:line="250" w:lineRule="auto"/>
        <w:rPr>
          <w:sz w:val="20"/>
          <w:szCs w:val="20"/>
          <w:color w:val="auto"/>
        </w:rPr>
      </w:pPr>
      <w:r>
        <w:rPr>
          <w:rFonts w:ascii="Times New Roman" w:cs="Times New Roman" w:eastAsia="Times New Roman" w:hAnsi="Times New Roman"/>
          <w:sz w:val="18"/>
          <w:szCs w:val="18"/>
          <w:color w:val="auto"/>
        </w:rPr>
        <w:t>with a Change in Control, relative to Executive’s authority, title, duties or responsibilities immediately prior to the Change in Control) or being required to report other than to the CEO or the Board or a material reduction in Base Salary;</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ii.a material breach of this Agreement by the Company or a successor employer; or</w:t>
      </w:r>
    </w:p>
    <w:p>
      <w:pPr>
        <w:spacing w:after="0" w:line="212" w:lineRule="exact"/>
        <w:rPr>
          <w:sz w:val="20"/>
          <w:szCs w:val="20"/>
          <w:color w:val="auto"/>
        </w:rPr>
      </w:pPr>
    </w:p>
    <w:p>
      <w:pPr>
        <w:ind w:left="900" w:right="200" w:hanging="152"/>
        <w:spacing w:after="0" w:line="250" w:lineRule="auto"/>
        <w:tabs>
          <w:tab w:leader="none" w:pos="1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71" w:lineRule="exact"/>
        <w:rPr>
          <w:sz w:val="20"/>
          <w:szCs w:val="20"/>
          <w:color w:val="auto"/>
        </w:rPr>
      </w:pPr>
    </w:p>
    <w:p>
      <w:pPr>
        <w:ind w:left="900"/>
        <w:spacing w:after="0" w:line="221" w:lineRule="auto"/>
        <w:rPr>
          <w:sz w:val="20"/>
          <w:szCs w:val="20"/>
          <w:color w:val="auto"/>
        </w:rPr>
      </w:pPr>
      <w:r>
        <w:rPr>
          <w:rFonts w:ascii="Times New Roman" w:cs="Times New Roman" w:eastAsia="Times New Roman" w:hAnsi="Times New Roman"/>
          <w:sz w:val="18"/>
          <w:szCs w:val="18"/>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185" w:lineRule="exact"/>
        <w:rPr>
          <w:sz w:val="20"/>
          <w:szCs w:val="20"/>
          <w:color w:val="auto"/>
        </w:rPr>
      </w:pPr>
    </w:p>
    <w:p>
      <w:pPr>
        <w:ind w:left="560" w:hanging="319"/>
        <w:spacing w:after="0" w:line="250" w:lineRule="auto"/>
        <w:tabs>
          <w:tab w:leader="none" w:pos="55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firm, corporation, partnership, limited liability company, trust, joint venture, association, unincorporated entity or other entity.</w:t>
      </w:r>
    </w:p>
    <w:p>
      <w:pPr>
        <w:spacing w:after="0" w:line="171"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Virtu Financial, Inc. Amended and Restated 2015 Management Incentive Plan.</w:t>
      </w:r>
    </w:p>
    <w:p>
      <w:pPr>
        <w:spacing w:after="0" w:line="20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and Responsibilities.</w:t>
      </w:r>
    </w:p>
    <w:p>
      <w:pPr>
        <w:spacing w:after="0" w:line="216" w:lineRule="exact"/>
        <w:rPr>
          <w:rFonts w:ascii="Times New Roman" w:cs="Times New Roman" w:eastAsia="Times New Roman" w:hAnsi="Times New Roman"/>
          <w:sz w:val="18"/>
          <w:szCs w:val="18"/>
          <w:color w:val="auto"/>
        </w:rPr>
      </w:pPr>
    </w:p>
    <w:p>
      <w:pPr>
        <w:ind w:left="560" w:hanging="307"/>
        <w:spacing w:after="0" w:line="217" w:lineRule="auto"/>
        <w:tabs>
          <w:tab w:leader="none" w:pos="5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employs Executive, and Executive hereby accepts employment, subject to the terms and conditions contained herein, during the Term, as Co-President and Co-Chief Operating Officer reporting directly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and his immediate family’s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as Co-President and Co-Chief Operating Officer of a corporation of the size and nature of the Company. During the Term, upon request Executive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82" w:lineRule="exact"/>
        <w:rPr>
          <w:rFonts w:ascii="Times New Roman" w:cs="Times New Roman" w:eastAsia="Times New Roman" w:hAnsi="Times New Roman"/>
          <w:sz w:val="18"/>
          <w:szCs w:val="18"/>
          <w:color w:val="auto"/>
        </w:rPr>
      </w:pPr>
    </w:p>
    <w:p>
      <w:pPr>
        <w:ind w:left="560" w:right="60" w:hanging="307"/>
        <w:spacing w:after="0" w:line="228" w:lineRule="auto"/>
        <w:tabs>
          <w:tab w:leader="none" w:pos="55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Executive’s principal place of employment shall be in one of the Company’s principal offices, including, but not limited to, the Company’s offices in Manhattan, New York, Short Hills, New Jersey and Palm Beach, Florida, or such other location as may otherwise be agreed with the Company. Executive acknowledges that Executive’s duties and responsibilities shall require Executive to travel on business to the extent reasonably necessary to fully perform Executive’s duties and responsibilities hereunder.</w:t>
      </w:r>
    </w:p>
    <w:p>
      <w:pPr>
        <w:spacing w:after="0" w:line="17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Related Matters.</w:t>
      </w:r>
    </w:p>
    <w:p>
      <w:pPr>
        <w:spacing w:after="0" w:line="212" w:lineRule="exact"/>
        <w:rPr>
          <w:rFonts w:ascii="Times New Roman" w:cs="Times New Roman" w:eastAsia="Times New Roman" w:hAnsi="Times New Roman"/>
          <w:sz w:val="18"/>
          <w:szCs w:val="18"/>
          <w:color w:val="auto"/>
        </w:rPr>
      </w:pPr>
    </w:p>
    <w:p>
      <w:pPr>
        <w:ind w:left="560" w:right="40" w:hanging="307"/>
        <w:spacing w:after="0" w:line="254" w:lineRule="auto"/>
        <w:tabs>
          <w:tab w:leader="none" w:pos="5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As of the Effective Date, Executive shall receive an annual base salary (“Base Salary”) of $600,000 per year, payable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Company’s normal payroll procedures and may be</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33" w:lineRule="exact"/>
        <w:rPr>
          <w:sz w:val="20"/>
          <w:szCs w:val="20"/>
          <w:color w:val="auto"/>
        </w:rPr>
      </w:pPr>
    </w:p>
    <w:p>
      <w:pPr>
        <w:ind w:left="307" w:right="280"/>
        <w:spacing w:after="0" w:line="250" w:lineRule="auto"/>
        <w:rPr>
          <w:sz w:val="20"/>
          <w:szCs w:val="20"/>
          <w:color w:val="auto"/>
        </w:rPr>
      </w:pPr>
      <w:r>
        <w:rPr>
          <w:rFonts w:ascii="Times New Roman" w:cs="Times New Roman" w:eastAsia="Times New Roman" w:hAnsi="Times New Roman"/>
          <w:sz w:val="18"/>
          <w:szCs w:val="18"/>
          <w:color w:val="auto"/>
        </w:rPr>
        <w:t>increased (but not decreased) by the CEO together with the Compensation Committee (as defined below) in its sole discretion (such salary, as may be increased, the “Base Salary”). For the avoidance of doubt, the position is exempt from any and all overtime laws.</w:t>
      </w:r>
    </w:p>
    <w:p>
      <w:pPr>
        <w:spacing w:after="0" w:line="167" w:lineRule="exact"/>
        <w:rPr>
          <w:sz w:val="20"/>
          <w:szCs w:val="20"/>
          <w:color w:val="auto"/>
        </w:rPr>
      </w:pPr>
    </w:p>
    <w:p>
      <w:pPr>
        <w:ind w:left="307" w:hanging="307"/>
        <w:spacing w:after="0" w:line="216" w:lineRule="auto"/>
        <w:tabs>
          <w:tab w:leader="none" w:pos="3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Bonus</w:t>
      </w:r>
      <w:r>
        <w:rPr>
          <w:rFonts w:ascii="Times New Roman" w:cs="Times New Roman" w:eastAsia="Times New Roman" w:hAnsi="Times New Roman"/>
          <w:sz w:val="18"/>
          <w:szCs w:val="18"/>
          <w:color w:val="auto"/>
        </w:rPr>
        <w:t>. During the Term, for each calendar year, Executive shall be eligible to receive an annual bonus (“Annual Bonus”) with a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Bonus amount of $2,000,000 (the “Target Bonus”) and a maximum Annual Bonus amount of $3,000,000 (the “Maximum Bonus”). Fifty percent (50%) of the Annual Bonus shall be based on the achievement of annual quantitative targets established in the sole and absolute discretion of the Compensation Committee (the “Compensation Committee”) of the Board of Directors of Virtu Financial, Inc. (“Virtu”) together with the Company’s CEO (the “Quantitative Goals”) and the remaining fifty percent (50%) of the Annual Bonus will be based on annual qualitative targets established in the sole and absolute discretion of the Compensation Committee together with the Company’s CEO (the “Qualitative Goals”). Accordingly, up to $1,000,000 of the Target Bonus and $1,500,000 of the Maximum Bonus may be earned based on the achievement of the Quantitative Goals and up to $1,000,000 of the Target Bonus and $1,500,000 of the Maximum Bonus may be earned based on the achievement of the Qualitative Goals. The Annual Bonus, if any, shall be paid fifty percent (50%) in cash, thirty percent (30%) in the form of restricted shares or restricted share units (“RSUs”) in respect of Class A common stock of the Company (the “Stock”) that vest in equal annual installments on each of the first three (3) anniversaries of the date of grant, and the remaining twenty percent (20%) shall be paid in the form of fully-vested shares of Stock of fully-vested deferred share units (“DSUs”) in respect of Stock (in each case, in accordance with any applicable timely deferral election made by Executive); provided, that, the form, manner and timing of payment (including vesting of any payment in equity or equity-based awards) with respect to the Annual Bonus is subject to change in the event of (and consistent with) any change to the payout schedule formulations that is made applicable to the senior executives of the Company. The Annual Bonus, if any, shall be payable within the period required by Section 409A of the Code such that it qualifies as a “short-term deferral” pursuant to Section 1.409A-1(b)(4) of the Department of Treasury Regulations (or any successor thereto).</w:t>
      </w:r>
    </w:p>
    <w:p>
      <w:pPr>
        <w:spacing w:after="0" w:line="186" w:lineRule="exact"/>
        <w:rPr>
          <w:rFonts w:ascii="Times New Roman" w:cs="Times New Roman" w:eastAsia="Times New Roman" w:hAnsi="Times New Roman"/>
          <w:sz w:val="18"/>
          <w:szCs w:val="18"/>
          <w:color w:val="auto"/>
        </w:rPr>
      </w:pPr>
    </w:p>
    <w:p>
      <w:pPr>
        <w:ind w:left="307" w:right="180" w:hanging="307"/>
        <w:spacing w:after="0" w:line="230" w:lineRule="auto"/>
        <w:tabs>
          <w:tab w:leader="none" w:pos="3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Equity Awards</w:t>
      </w:r>
      <w:r>
        <w:rPr>
          <w:rFonts w:ascii="Times New Roman" w:cs="Times New Roman" w:eastAsia="Times New Roman" w:hAnsi="Times New Roman"/>
          <w:sz w:val="18"/>
          <w:szCs w:val="18"/>
          <w:color w:val="auto"/>
        </w:rPr>
        <w:t>. Executive shall be eligible to receive an equity award at the beginning of each calendar year during his employment (each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an “Annual Equity Award”). It is the current intention of the Company’s Board and CEO that such Annual Equity Award will be in the form of 75,000 restricted shares or RSUs in respect of Stock, and that any such award shall be earned and vest in accordance with the terms hereof.</w:t>
      </w:r>
    </w:p>
    <w:p>
      <w:pPr>
        <w:spacing w:after="0" w:line="179" w:lineRule="exact"/>
        <w:rPr>
          <w:rFonts w:ascii="Times New Roman" w:cs="Times New Roman" w:eastAsia="Times New Roman" w:hAnsi="Times New Roman"/>
          <w:sz w:val="18"/>
          <w:szCs w:val="18"/>
          <w:color w:val="auto"/>
        </w:rPr>
      </w:pPr>
    </w:p>
    <w:p>
      <w:pPr>
        <w:ind w:left="607" w:right="460" w:hanging="148"/>
        <w:spacing w:after="0" w:line="250" w:lineRule="auto"/>
        <w:tabs>
          <w:tab w:leader="none" w:pos="5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earned with respect to each Annual Equity Award shall be determined based on the percentage of the Company’s budgeted EBITDA achieved in the calendar year to which such award relates in accordance with the following table:</w:t>
      </w:r>
    </w:p>
    <w:p>
      <w:pPr>
        <w:spacing w:after="0" w:line="217" w:lineRule="exact"/>
        <w:rPr>
          <w:sz w:val="20"/>
          <w:szCs w:val="20"/>
          <w:color w:val="auto"/>
        </w:rPr>
      </w:pPr>
    </w:p>
    <w:tbl>
      <w:tblPr>
        <w:tblLayout w:type="fixed"/>
        <w:tblInd w:w="1717" w:type="dxa"/>
        <w:tblCellMar>
          <w:top w:w="0" w:type="dxa"/>
          <w:left w:w="0" w:type="dxa"/>
          <w:bottom w:w="0" w:type="dxa"/>
          <w:right w:w="0" w:type="dxa"/>
        </w:tblCellMar>
      </w:tblPr>
      <w:tr>
        <w:trPr>
          <w:trHeight w:val="183"/>
        </w:trPr>
        <w:tc>
          <w:tcPr>
            <w:tcW w:w="296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Percentage of Budgeted</w:t>
            </w:r>
          </w:p>
        </w:tc>
        <w:tc>
          <w:tcPr>
            <w:tcW w:w="29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Number of Shares Earned</w:t>
            </w:r>
          </w:p>
        </w:tc>
      </w:tr>
      <w:tr>
        <w:trPr>
          <w:trHeight w:val="246"/>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Achieved</w:t>
            </w:r>
          </w:p>
        </w:tc>
        <w:tc>
          <w:tcPr>
            <w:tcW w:w="2960" w:type="dxa"/>
            <w:vAlign w:val="bottom"/>
            <w:tcBorders>
              <w:bottom w:val="single" w:sz="8" w:color="auto"/>
              <w:right w:val="single" w:sz="8" w:color="auto"/>
            </w:tcBorders>
          </w:tcPr>
          <w:p>
            <w:pPr>
              <w:spacing w:after="0"/>
              <w:rPr>
                <w:sz w:val="21"/>
                <w:szCs w:val="21"/>
                <w:color w:val="auto"/>
              </w:rPr>
            </w:pPr>
          </w:p>
        </w:tc>
      </w:tr>
      <w:tr>
        <w:trPr>
          <w:trHeight w:val="232"/>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 or more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r>
      <w:tr>
        <w:trPr>
          <w:trHeight w:val="163"/>
        </w:trPr>
        <w:tc>
          <w:tcPr>
            <w:tcW w:w="2960" w:type="dxa"/>
            <w:vAlign w:val="bottom"/>
            <w:tcBorders>
              <w:left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Less than 65%</w:t>
            </w:r>
          </w:p>
        </w:tc>
        <w:tc>
          <w:tcPr>
            <w:tcW w:w="296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As determined at the sole discretion of</w:t>
            </w:r>
          </w:p>
        </w:tc>
      </w:tr>
      <w:tr>
        <w:trPr>
          <w:trHeight w:val="183"/>
        </w:trPr>
        <w:tc>
          <w:tcPr>
            <w:tcW w:w="2960" w:type="dxa"/>
            <w:vAlign w:val="bottom"/>
            <w:tcBorders>
              <w:left w:val="single" w:sz="8" w:color="auto"/>
              <w:right w:val="single" w:sz="8" w:color="auto"/>
            </w:tcBorders>
          </w:tcPr>
          <w:p>
            <w:pPr>
              <w:spacing w:after="0"/>
              <w:rPr>
                <w:sz w:val="15"/>
                <w:szCs w:val="15"/>
                <w:color w:val="auto"/>
              </w:rPr>
            </w:pPr>
          </w:p>
        </w:tc>
        <w:tc>
          <w:tcPr>
            <w:tcW w:w="29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rPr>
              <w:t>the Compensation Committee of the</w:t>
            </w:r>
          </w:p>
        </w:tc>
      </w:tr>
      <w:tr>
        <w:trPr>
          <w:trHeight w:val="244"/>
        </w:trPr>
        <w:tc>
          <w:tcPr>
            <w:tcW w:w="2960" w:type="dxa"/>
            <w:vAlign w:val="bottom"/>
            <w:tcBorders>
              <w:left w:val="single" w:sz="8" w:color="auto"/>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Board, which may be 0</w:t>
            </w:r>
          </w:p>
        </w:tc>
      </w:tr>
    </w:tbl>
    <w:p>
      <w:pPr>
        <w:spacing w:after="0" w:line="288" w:lineRule="exact"/>
        <w:rPr>
          <w:sz w:val="20"/>
          <w:szCs w:val="20"/>
          <w:color w:val="auto"/>
        </w:rPr>
      </w:pPr>
    </w:p>
    <w:p>
      <w:pPr>
        <w:ind w:left="547" w:right="280" w:hanging="156"/>
        <w:spacing w:after="0" w:line="250" w:lineRule="auto"/>
        <w:rPr>
          <w:sz w:val="20"/>
          <w:szCs w:val="20"/>
          <w:color w:val="auto"/>
        </w:rPr>
      </w:pPr>
      <w:r>
        <w:rPr>
          <w:rFonts w:ascii="Times New Roman" w:cs="Times New Roman" w:eastAsia="Times New Roman" w:hAnsi="Times New Roman"/>
          <w:sz w:val="18"/>
          <w:szCs w:val="18"/>
          <w:color w:val="auto"/>
        </w:rPr>
        <w:t>ii.If the Board determines that the number of shares of Stock subject to the Annual Equity Award will be greater or less than 75,000, then the amounts reflected in the table above shall be adjusted to reflect such number of shares.</w:t>
      </w:r>
    </w:p>
    <w:p>
      <w:pPr>
        <w:spacing w:after="0" w:line="171" w:lineRule="exact"/>
        <w:rPr>
          <w:sz w:val="20"/>
          <w:szCs w:val="20"/>
          <w:color w:val="auto"/>
        </w:rPr>
      </w:pPr>
    </w:p>
    <w:p>
      <w:pPr>
        <w:ind w:left="547" w:right="140" w:hanging="166"/>
        <w:spacing w:after="0" w:line="234" w:lineRule="auto"/>
        <w:tabs>
          <w:tab w:leader="none" w:pos="10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shares of Stock are earned with respect to the Initial Equity Award in accordance with 4(c)(i), 50% of such shares shall vest on the last day of the calendar year to which such award relates and the remaining 50% shall vest on the last day of the subsequent calendar year, subject in all cases to the Executive’s continued employment through the applicable vesting date.</w:t>
      </w:r>
    </w:p>
    <w:p>
      <w:pPr>
        <w:spacing w:after="0" w:line="176" w:lineRule="exact"/>
        <w:rPr>
          <w:rFonts w:ascii="Times New Roman" w:cs="Times New Roman" w:eastAsia="Times New Roman" w:hAnsi="Times New Roman"/>
          <w:sz w:val="18"/>
          <w:szCs w:val="18"/>
          <w:color w:val="auto"/>
        </w:rPr>
      </w:pPr>
    </w:p>
    <w:p>
      <w:pPr>
        <w:ind w:left="307" w:right="260" w:hanging="307"/>
        <w:spacing w:after="0" w:line="235" w:lineRule="auto"/>
        <w:tabs>
          <w:tab w:leader="none" w:pos="3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Benefits and Perquisites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will be eligible for all employee benefits offered by the Company to employees in similar positions.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retains the right to modify or change its benefits and compensation policy from time to time, as it deems necessary, other than those provided for Executive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987"/>
          </w:cols>
          <w:pgMar w:left="573" w:top="1440" w:right="339" w:bottom="1440" w:gutter="0" w:footer="0" w:header="0"/>
        </w:sectPr>
      </w:pPr>
    </w:p>
    <w:bookmarkStart w:id="155" w:name="page156"/>
    <w:bookmarkEnd w:id="155"/>
    <w:p>
      <w:pPr>
        <w:spacing w:after="0" w:line="233" w:lineRule="exact"/>
        <w:rPr>
          <w:sz w:val="20"/>
          <w:szCs w:val="20"/>
          <w:color w:val="auto"/>
        </w:rPr>
      </w:pPr>
    </w:p>
    <w:p>
      <w:pPr>
        <w:ind w:left="560" w:right="260"/>
        <w:spacing w:after="0" w:line="250" w:lineRule="auto"/>
        <w:rPr>
          <w:sz w:val="20"/>
          <w:szCs w:val="20"/>
          <w:color w:val="auto"/>
        </w:rPr>
      </w:pPr>
      <w:r>
        <w:rPr>
          <w:rFonts w:ascii="Times New Roman" w:cs="Times New Roman" w:eastAsia="Times New Roman" w:hAnsi="Times New Roman"/>
          <w:sz w:val="18"/>
          <w:szCs w:val="18"/>
          <w:color w:val="auto"/>
        </w:rPr>
        <w:t>in this employment agreement. The Company also retains the right to assign Executive’s employment agreement to an Affiliate, subject to the terms and conditions of this Agreement.</w:t>
      </w:r>
    </w:p>
    <w:p>
      <w:pPr>
        <w:spacing w:after="0" w:line="167" w:lineRule="exact"/>
        <w:rPr>
          <w:sz w:val="20"/>
          <w:szCs w:val="20"/>
          <w:color w:val="auto"/>
        </w:rPr>
      </w:pPr>
    </w:p>
    <w:p>
      <w:pPr>
        <w:ind w:left="560" w:hanging="307"/>
        <w:spacing w:after="0"/>
        <w:tabs>
          <w:tab w:leader="none" w:pos="5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indemnify Executive to the fullest extent permitted by law and the Company’s governing documents.</w:t>
      </w:r>
    </w:p>
    <w:p>
      <w:pPr>
        <w:spacing w:after="0" w:line="212"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p>
    <w:p>
      <w:pPr>
        <w:spacing w:after="0" w:line="216" w:lineRule="exact"/>
        <w:rPr>
          <w:rFonts w:ascii="Times New Roman" w:cs="Times New Roman" w:eastAsia="Times New Roman" w:hAnsi="Times New Roman"/>
          <w:sz w:val="18"/>
          <w:szCs w:val="18"/>
          <w:color w:val="auto"/>
        </w:rPr>
      </w:pPr>
    </w:p>
    <w:p>
      <w:pPr>
        <w:ind w:left="560" w:right="260" w:hanging="307"/>
        <w:spacing w:after="0" w:line="225" w:lineRule="auto"/>
        <w:tabs>
          <w:tab w:leader="none" w:pos="5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82" w:lineRule="exact"/>
        <w:rPr>
          <w:rFonts w:ascii="Times New Roman" w:cs="Times New Roman" w:eastAsia="Times New Roman" w:hAnsi="Times New Roman"/>
          <w:sz w:val="18"/>
          <w:szCs w:val="18"/>
          <w:color w:val="auto"/>
        </w:rPr>
      </w:pPr>
    </w:p>
    <w:p>
      <w:pPr>
        <w:ind w:left="560" w:right="100" w:hanging="307"/>
        <w:spacing w:after="0" w:line="223" w:lineRule="auto"/>
        <w:tabs>
          <w:tab w:leader="none" w:pos="5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 Executive is entitled under the terms of the applicable arrangements and/or applicable law (all of the foregoing clauses (i)-(iv) collectively, the “Accrued Obligations”).</w:t>
      </w:r>
    </w:p>
    <w:p>
      <w:pPr>
        <w:spacing w:after="0" w:line="182" w:lineRule="exact"/>
        <w:rPr>
          <w:rFonts w:ascii="Times New Roman" w:cs="Times New Roman" w:eastAsia="Times New Roman" w:hAnsi="Times New Roman"/>
          <w:sz w:val="18"/>
          <w:szCs w:val="18"/>
          <w:color w:val="auto"/>
        </w:rPr>
      </w:pPr>
    </w:p>
    <w:p>
      <w:pPr>
        <w:ind w:left="560" w:hanging="307"/>
        <w:spacing w:after="0" w:line="225" w:lineRule="auto"/>
        <w:tabs>
          <w:tab w:leader="none" w:pos="55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82" w:lineRule="exact"/>
        <w:rPr>
          <w:rFonts w:ascii="Times New Roman" w:cs="Times New Roman" w:eastAsia="Times New Roman" w:hAnsi="Times New Roman"/>
          <w:sz w:val="18"/>
          <w:szCs w:val="18"/>
          <w:color w:val="auto"/>
        </w:rPr>
      </w:pPr>
    </w:p>
    <w:p>
      <w:pPr>
        <w:ind w:left="900" w:right="80" w:hanging="152"/>
        <w:spacing w:after="0" w:line="223" w:lineRule="auto"/>
        <w:tabs>
          <w:tab w:leader="none" w:pos="891"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(such amount, the “Severance Amount”), payable in a single lump sum within 30 days of the day the Release (as defined below) becomes irrevocable (or, if earlier, within five business days following irrevocability), except where payment is delayed according to the timing relating to the Release Period as set forth below or pursuant to Section 409A (as defined below) (such date, the “Severance Payment Date”);</w:t>
      </w:r>
    </w:p>
    <w:p>
      <w:pPr>
        <w:spacing w:after="0" w:line="182" w:lineRule="exact"/>
        <w:rPr>
          <w:sz w:val="20"/>
          <w:szCs w:val="20"/>
          <w:color w:val="auto"/>
        </w:rPr>
      </w:pPr>
    </w:p>
    <w:p>
      <w:pPr>
        <w:jc w:val="both"/>
        <w:ind w:left="900"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77" w:lineRule="exact"/>
        <w:rPr>
          <w:sz w:val="20"/>
          <w:szCs w:val="20"/>
          <w:color w:val="auto"/>
        </w:rPr>
      </w:pPr>
    </w:p>
    <w:p>
      <w:pPr>
        <w:ind w:left="1260" w:hanging="512"/>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Executive shall remain eligible to earn restricted shares of Stock or RSUs under his then-current Annual Equity Award in</w:t>
      </w:r>
    </w:p>
    <w:p>
      <w:pPr>
        <w:ind w:left="90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the criteria set forth in Section 4(c)(i) and, to the extent earned, the product of such earned shares multiplied by a fraction, the numerator of which is the number of calendar days the Executive was employed in the calendar year of termination, and the denominator of which is 365, shall be deemed vested on the last day of the calendar year to which such award relates,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“Equity Acceleration”);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32" w:lineRule="exact"/>
        <w:rPr>
          <w:sz w:val="20"/>
          <w:szCs w:val="20"/>
          <w:color w:val="auto"/>
        </w:rPr>
      </w:pPr>
    </w:p>
    <w:p>
      <w:pPr>
        <w:ind w:left="647" w:right="80" w:hanging="152"/>
        <w:spacing w:after="0" w:line="215"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dental, vision and life insurance benefits under the terms of the applicable Company benefit plans for (x) twelve (12) months or (y) the period from Executive’s termination of employment through the Expiration Date, whichever is longer (the “Benefits Continuation Period”), subject to Executive’s payment of the cost of such benefits to the same extent that active employees of the Company are required to pay for such benefits from time to time; provided, however, that such continuation coverage shall end earlier upon Executive’s becoming eligible for comparable coverage under another employer’s benefit plans; provided, further, that following the expiration of the Benefits Continuation Period (which was not terminated as a result of Executive becoming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w:t>
      </w:r>
    </w:p>
    <w:p>
      <w:pPr>
        <w:spacing w:after="0" w:line="3" w:lineRule="exact"/>
        <w:rPr>
          <w:rFonts w:ascii="Times New Roman" w:cs="Times New Roman" w:eastAsia="Times New Roman" w:hAnsi="Times New Roman"/>
          <w:sz w:val="18"/>
          <w:szCs w:val="18"/>
          <w:color w:val="auto"/>
        </w:rPr>
      </w:pPr>
    </w:p>
    <w:p>
      <w:pPr>
        <w:ind w:left="647" w:right="40"/>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Executive’s dependents reaching the age of 26, (Y) Executive or his spouse become eligible for Medicare, or (Z) Executive becoming eligible for comparable coverage under another employer’s benefit plans, subject to Executive’s payment of the full cost of such benefits; and provided, further, that to the extent the provision of such continuation coverage is not permitted under the terms of the Company benefit plans or would result in an adverse tax consequence to the Company, the Company may alternatively provide Executive with a cash payment (the “COBRA Cash Payment”)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provided, further, that the Company will use reasonable best efforts to continue coverage under the Company benefit plans to the extent legally possible without suffering any adverse consequences to the Company or other participants in such plans (the COBRA Cash Payment, if applicable, shall be paid in cash in a lump sum on the Severance Payment Date).</w:t>
      </w:r>
    </w:p>
    <w:p>
      <w:pPr>
        <w:spacing w:after="0" w:line="186" w:lineRule="exact"/>
        <w:rPr>
          <w:rFonts w:ascii="Times New Roman" w:cs="Times New Roman" w:eastAsia="Times New Roman" w:hAnsi="Times New Roman"/>
          <w:sz w:val="18"/>
          <w:szCs w:val="18"/>
          <w:color w:val="auto"/>
        </w:rPr>
      </w:pPr>
    </w:p>
    <w:p>
      <w:pPr>
        <w:ind w:left="307" w:hanging="307"/>
        <w:spacing w:after="0" w:line="223" w:lineRule="auto"/>
        <w:tabs>
          <w:tab w:leader="none" w:pos="3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82" w:lineRule="exact"/>
        <w:rPr>
          <w:rFonts w:ascii="Times New Roman" w:cs="Times New Roman" w:eastAsia="Times New Roman" w:hAnsi="Times New Roman"/>
          <w:sz w:val="18"/>
          <w:szCs w:val="18"/>
          <w:color w:val="auto"/>
        </w:rPr>
      </w:pPr>
    </w:p>
    <w:p>
      <w:pPr>
        <w:jc w:val="both"/>
        <w:ind w:left="647" w:right="340" w:hanging="152"/>
        <w:spacing w:after="0" w:line="234" w:lineRule="auto"/>
        <w:tabs>
          <w:tab w:leader="none" w:pos="63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and a half (2.5) times the sum of (x) Executive’s Base Salary and (y) the Annual Bonus (including any amounts deferred or satisfied through the grant of equity awards) most recently awarded to Executive for completed fiscal years of the Company (collectively, the “CIC Severance Amount”) payable in a single lump sum on the Severance Payment Date;</w:t>
      </w:r>
    </w:p>
    <w:p>
      <w:pPr>
        <w:spacing w:after="0" w:line="180" w:lineRule="exact"/>
        <w:rPr>
          <w:sz w:val="20"/>
          <w:szCs w:val="20"/>
          <w:color w:val="auto"/>
        </w:rPr>
      </w:pPr>
    </w:p>
    <w:p>
      <w:pPr>
        <w:jc w:val="both"/>
        <w:ind w:left="647"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80" w:lineRule="exact"/>
        <w:rPr>
          <w:sz w:val="20"/>
          <w:szCs w:val="20"/>
          <w:color w:val="auto"/>
        </w:rPr>
      </w:pPr>
    </w:p>
    <w:p>
      <w:pPr>
        <w:ind w:left="647" w:right="40" w:hanging="152"/>
        <w:spacing w:after="0" w:line="223" w:lineRule="auto"/>
        <w:tabs>
          <w:tab w:leader="none" w:pos="10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“CIC Equity Acceleration”; and</w:t>
      </w:r>
    </w:p>
    <w:p>
      <w:pPr>
        <w:spacing w:after="0" w:line="182" w:lineRule="exact"/>
        <w:rPr>
          <w:rFonts w:ascii="Times New Roman" w:cs="Times New Roman" w:eastAsia="Times New Roman" w:hAnsi="Times New Roman"/>
          <w:sz w:val="18"/>
          <w:szCs w:val="18"/>
          <w:color w:val="auto"/>
        </w:rPr>
      </w:pPr>
    </w:p>
    <w:p>
      <w:pPr>
        <w:ind w:left="647" w:right="160" w:hanging="152"/>
        <w:spacing w:after="0" w:line="250"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described in Section 5(c)(iv) above, except that the Benefits Continuation Period shall be extended to (x) twenty-four (24) months or (y) the period from Executive’s termination of employment through the Expiration Date, whichever is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87"/>
          </w:cols>
          <w:pgMar w:left="573" w:top="1440" w:right="339" w:bottom="1440" w:gutter="0" w:footer="0" w:header="0"/>
        </w:sectPr>
      </w:pPr>
    </w:p>
    <w:bookmarkStart w:id="157" w:name="page158"/>
    <w:bookmarkEnd w:id="157"/>
    <w:p>
      <w:pPr>
        <w:spacing w:after="0" w:line="233" w:lineRule="exact"/>
        <w:rPr>
          <w:sz w:val="20"/>
          <w:szCs w:val="20"/>
          <w:color w:val="auto"/>
        </w:rPr>
      </w:pPr>
    </w:p>
    <w:p>
      <w:pPr>
        <w:ind w:left="560" w:right="720" w:hanging="307"/>
        <w:spacing w:after="0" w:line="250" w:lineRule="auto"/>
        <w:tabs>
          <w:tab w:leader="none" w:pos="55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all payments owed to the Executive under Section 5 of this Agreement will be paid in a single lump sum on the Severance Payment Date.</w:t>
      </w:r>
    </w:p>
    <w:p>
      <w:pPr>
        <w:spacing w:after="0" w:line="171" w:lineRule="exact"/>
        <w:rPr>
          <w:rFonts w:ascii="Times New Roman" w:cs="Times New Roman" w:eastAsia="Times New Roman" w:hAnsi="Times New Roman"/>
          <w:sz w:val="18"/>
          <w:szCs w:val="18"/>
          <w:color w:val="auto"/>
        </w:rPr>
      </w:pPr>
    </w:p>
    <w:p>
      <w:pPr>
        <w:ind w:left="560" w:right="120" w:hanging="307"/>
        <w:spacing w:after="0" w:line="228" w:lineRule="auto"/>
        <w:tabs>
          <w:tab w:leader="none" w:pos="55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Executive’s employment is terminated prior to a Change in Control but material steps have been taken at the time of such termination and such Change of Control actually occurs, in the event that Executive receives the Severance Amount or the Equity Acceleration prior to the occurrence of the Change in Control, then any such amounts paid prior to the Change in Control shall reduce the amount required to be paid pursuant to CIC Severance Amount or the CIC Equity Acceleration, respectively.</w:t>
      </w:r>
    </w:p>
    <w:p>
      <w:pPr>
        <w:spacing w:after="0" w:line="182" w:lineRule="exact"/>
        <w:rPr>
          <w:rFonts w:ascii="Times New Roman" w:cs="Times New Roman" w:eastAsia="Times New Roman" w:hAnsi="Times New Roman"/>
          <w:sz w:val="18"/>
          <w:szCs w:val="18"/>
          <w:color w:val="auto"/>
        </w:rPr>
      </w:pPr>
    </w:p>
    <w:p>
      <w:pPr>
        <w:ind w:left="560" w:right="40" w:hanging="307"/>
        <w:spacing w:after="0" w:line="221" w:lineRule="auto"/>
        <w:tabs>
          <w:tab w:leader="none" w:pos="5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and which shall not contain any restrictive covenants more onerous than those to which Executive already subject. Such release and waiver must be executed and become irrevocable within sixty (60) days following the date Executive’s employment ends (the “Release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85" w:lineRule="exact"/>
        <w:rPr>
          <w:rFonts w:ascii="Times New Roman" w:cs="Times New Roman" w:eastAsia="Times New Roman" w:hAnsi="Times New Roman"/>
          <w:sz w:val="18"/>
          <w:szCs w:val="18"/>
          <w:color w:val="auto"/>
        </w:rPr>
      </w:pPr>
    </w:p>
    <w:p>
      <w:pPr>
        <w:ind w:left="560" w:right="20" w:hanging="307"/>
        <w:spacing w:after="0" w:line="225" w:lineRule="auto"/>
        <w:tabs>
          <w:tab w:leader="none" w:pos="5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280G Matters.</w:t>
      </w:r>
    </w:p>
    <w:p>
      <w:pPr>
        <w:spacing w:after="0" w:line="216" w:lineRule="exact"/>
        <w:rPr>
          <w:rFonts w:ascii="Times New Roman" w:cs="Times New Roman" w:eastAsia="Times New Roman" w:hAnsi="Times New Roman"/>
          <w:sz w:val="18"/>
          <w:szCs w:val="18"/>
          <w:color w:val="auto"/>
        </w:rPr>
      </w:pPr>
    </w:p>
    <w:p>
      <w:pPr>
        <w:ind w:left="560" w:right="220" w:hanging="307"/>
        <w:spacing w:after="0" w:line="228" w:lineRule="auto"/>
        <w:tabs>
          <w:tab w:leader="none" w:pos="5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32" w:lineRule="exact"/>
        <w:rPr>
          <w:sz w:val="20"/>
          <w:szCs w:val="20"/>
          <w:color w:val="auto"/>
        </w:rPr>
      </w:pPr>
    </w:p>
    <w:p>
      <w:pPr>
        <w:ind w:left="560" w:right="80" w:hanging="307"/>
        <w:spacing w:after="0" w:line="220" w:lineRule="auto"/>
        <w:tabs>
          <w:tab w:leader="none" w:pos="5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pacing w:after="0" w:line="184" w:lineRule="exact"/>
        <w:rPr>
          <w:rFonts w:ascii="Times New Roman" w:cs="Times New Roman" w:eastAsia="Times New Roman" w:hAnsi="Times New Roman"/>
          <w:sz w:val="18"/>
          <w:szCs w:val="18"/>
          <w:color w:val="auto"/>
        </w:rPr>
      </w:pPr>
    </w:p>
    <w:p>
      <w:pPr>
        <w:ind w:left="560" w:right="40" w:hanging="307"/>
        <w:spacing w:after="0" w:line="217" w:lineRule="auto"/>
        <w:tabs>
          <w:tab w:leader="none" w:pos="55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 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 Paragraph shall be borne by the Company.</w:t>
      </w:r>
    </w:p>
    <w:p>
      <w:pPr>
        <w:spacing w:after="0" w:line="178" w:lineRule="exact"/>
        <w:rPr>
          <w:rFonts w:ascii="Times New Roman" w:cs="Times New Roman" w:eastAsia="Times New Roman" w:hAnsi="Times New Roman"/>
          <w:sz w:val="18"/>
          <w:szCs w:val="18"/>
          <w:color w:val="auto"/>
        </w:rPr>
      </w:pPr>
    </w:p>
    <w:p>
      <w:pPr>
        <w:ind w:left="560" w:hanging="307"/>
        <w:spacing w:after="0" w:line="216" w:lineRule="auto"/>
        <w:tabs>
          <w:tab w:leader="none" w:pos="5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Definitions</w:t>
      </w:r>
      <w:r>
        <w:rPr>
          <w:rFonts w:ascii="Times New Roman" w:cs="Times New Roman" w:eastAsia="Times New Roman" w:hAnsi="Times New Roman"/>
          <w:sz w:val="18"/>
          <w:szCs w:val="18"/>
          <w:color w:val="auto"/>
        </w:rPr>
        <w:t>. The following terms shall have the following meanings for purposes of this Paragraph. (1) A “Payment” shall mean any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83" w:lineRule="exact"/>
        <w:rPr>
          <w:rFonts w:ascii="Times New Roman" w:cs="Times New Roman" w:eastAsia="Times New Roman" w:hAnsi="Times New Roman"/>
          <w:sz w:val="18"/>
          <w:szCs w:val="18"/>
          <w:color w:val="auto"/>
        </w:rPr>
      </w:pPr>
    </w:p>
    <w:p>
      <w:pPr>
        <w:ind w:left="320" w:right="540" w:hanging="315"/>
        <w:spacing w:after="0" w:line="254" w:lineRule="auto"/>
        <w:tabs>
          <w:tab w:leader="none" w:pos="3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Mutual Arbitration. </w:t>
      </w:r>
      <w:r>
        <w:rPr>
          <w:rFonts w:ascii="Times New Roman" w:cs="Times New Roman" w:eastAsia="Times New Roman" w:hAnsi="Times New Roman"/>
          <w:sz w:val="18"/>
          <w:szCs w:val="18"/>
          <w:color w:val="auto"/>
        </w:rPr>
        <w:t>Executive and the Company both knowingly and voluntarily agree to a pre-dispute arbitration clause so that should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controversy or dispute arise in connection with Executive’s</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32" w:lineRule="exact"/>
        <w:rPr>
          <w:sz w:val="20"/>
          <w:szCs w:val="20"/>
          <w:color w:val="auto"/>
        </w:rPr>
      </w:pPr>
    </w:p>
    <w:p>
      <w:pPr>
        <w:ind w:left="315"/>
        <w:spacing w:after="0" w:line="232" w:lineRule="auto"/>
        <w:rPr>
          <w:sz w:val="20"/>
          <w:szCs w:val="20"/>
          <w:color w:val="auto"/>
        </w:rPr>
      </w:pPr>
      <w:r>
        <w:rPr>
          <w:rFonts w:ascii="Times New Roman" w:cs="Times New Roman" w:eastAsia="Times New Roman" w:hAnsi="Times New Roman"/>
          <w:sz w:val="18"/>
          <w:szCs w:val="18"/>
          <w:color w:val="auto"/>
        </w:rPr>
        <w:t>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 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81" w:lineRule="exact"/>
        <w:rPr>
          <w:sz w:val="20"/>
          <w:szCs w:val="20"/>
          <w:color w:val="auto"/>
        </w:rPr>
      </w:pPr>
    </w:p>
    <w:p>
      <w:pPr>
        <w:jc w:val="both"/>
        <w:ind w:left="315" w:right="180" w:hanging="315"/>
        <w:spacing w:after="0" w:line="235" w:lineRule="auto"/>
        <w:tabs>
          <w:tab w:leader="none" w:pos="3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Offset and Mitigation. </w:t>
      </w:r>
      <w:r>
        <w:rPr>
          <w:rFonts w:ascii="Times New Roman" w:cs="Times New Roman" w:eastAsia="Times New Roman" w:hAnsi="Times New Roman"/>
          <w:sz w:val="18"/>
          <w:szCs w:val="18"/>
          <w:color w:val="auto"/>
        </w:rPr>
        <w:t>No payments due Executive hereunder shall be subject to any offset for obligations owed by Executive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77" w:lineRule="exact"/>
        <w:rPr>
          <w:rFonts w:ascii="Times New Roman" w:cs="Times New Roman" w:eastAsia="Times New Roman" w:hAnsi="Times New Roman"/>
          <w:sz w:val="18"/>
          <w:szCs w:val="18"/>
          <w:color w:val="auto"/>
        </w:rPr>
      </w:pPr>
    </w:p>
    <w:p>
      <w:pPr>
        <w:ind w:left="315" w:hanging="315"/>
        <w:spacing w:after="0" w:line="220" w:lineRule="auto"/>
        <w:tabs>
          <w:tab w:leader="none" w:pos="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Executive acknowledges and agrees that Executive shall continue to be bound by the restrictive covenants to which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presently bound, including those set forth in the Proprietary Agreement (as defined below) (collectively, the “Restrictive Covenants”), in accordance with the terms and conditions thereof;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78" w:lineRule="exact"/>
        <w:rPr>
          <w:rFonts w:ascii="Times New Roman" w:cs="Times New Roman" w:eastAsia="Times New Roman" w:hAnsi="Times New Roman"/>
          <w:sz w:val="18"/>
          <w:szCs w:val="18"/>
          <w:color w:val="auto"/>
        </w:rPr>
      </w:pPr>
    </w:p>
    <w:p>
      <w:pPr>
        <w:ind w:left="315" w:right="100" w:hanging="315"/>
        <w:spacing w:after="0" w:line="221" w:lineRule="auto"/>
        <w:tabs>
          <w:tab w:leader="none" w:pos="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Property. </w:t>
      </w:r>
      <w:r>
        <w:rPr>
          <w:rFonts w:ascii="Times New Roman" w:cs="Times New Roman" w:eastAsia="Times New Roman" w:hAnsi="Times New Roman"/>
          <w:sz w:val="18"/>
          <w:szCs w:val="18"/>
          <w:color w:val="auto"/>
        </w:rPr>
        <w:t>Executive acknowledges that all notes, memoranda, specifications, devices, formulas, records, files, lists, drawings,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shall be permitted to retain a copy of his contacts/rolodex, including in electronic form, as well as copies of documents regarding the terms of his employment and his compensation and benefits.</w:t>
      </w:r>
    </w:p>
    <w:p>
      <w:pPr>
        <w:spacing w:after="0" w:line="191" w:lineRule="exact"/>
        <w:rPr>
          <w:rFonts w:ascii="Times New Roman" w:cs="Times New Roman" w:eastAsia="Times New Roman" w:hAnsi="Times New Roman"/>
          <w:sz w:val="18"/>
          <w:szCs w:val="18"/>
          <w:color w:val="auto"/>
        </w:rPr>
      </w:pPr>
    </w:p>
    <w:p>
      <w:pPr>
        <w:ind w:left="315" w:right="140" w:hanging="315"/>
        <w:spacing w:after="0" w:line="220" w:lineRule="auto"/>
        <w:tabs>
          <w:tab w:leader="none" w:pos="29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Remedies and Injunctive Relief. </w:t>
      </w:r>
      <w:r>
        <w:rPr>
          <w:rFonts w:ascii="Times New Roman" w:cs="Times New Roman" w:eastAsia="Times New Roman" w:hAnsi="Times New Roman"/>
          <w:sz w:val="18"/>
          <w:szCs w:val="18"/>
          <w:color w:val="auto"/>
        </w:rPr>
        <w:t>Executive acknowledges that a violation by Executive of any of the covenants contained in Sections 9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135"/>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35"/>
          </w:cols>
          <w:pgMar w:left="325" w:top="1440" w:right="339" w:bottom="1440" w:gutter="0" w:footer="0" w:header="0"/>
        </w:sectPr>
      </w:pPr>
    </w:p>
    <w:bookmarkStart w:id="160" w:name="page161"/>
    <w:bookmarkEnd w:id="160"/>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that the Company may have for damages under this Agreement or otherwise, and all of the Company’s rights shall be unrestricted.</w:t>
      </w:r>
    </w:p>
    <w:p>
      <w:pPr>
        <w:spacing w:after="0" w:line="208" w:lineRule="exact"/>
        <w:rPr>
          <w:sz w:val="20"/>
          <w:szCs w:val="20"/>
          <w:color w:val="auto"/>
        </w:rPr>
      </w:pPr>
    </w:p>
    <w:p>
      <w:pPr>
        <w:ind w:left="320" w:hanging="315"/>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Executive; Advice of Counsel.</w:t>
      </w:r>
    </w:p>
    <w:p>
      <w:pPr>
        <w:spacing w:after="0" w:line="216" w:lineRule="exact"/>
        <w:rPr>
          <w:rFonts w:ascii="Times New Roman" w:cs="Times New Roman" w:eastAsia="Times New Roman" w:hAnsi="Times New Roman"/>
          <w:sz w:val="18"/>
          <w:szCs w:val="18"/>
          <w:color w:val="auto"/>
        </w:rPr>
      </w:pPr>
    </w:p>
    <w:p>
      <w:pPr>
        <w:ind w:left="560" w:right="240" w:hanging="319"/>
        <w:spacing w:after="0" w:line="225" w:lineRule="auto"/>
        <w:tabs>
          <w:tab w:leader="none" w:pos="5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2" w:lineRule="exact"/>
        <w:rPr>
          <w:rFonts w:ascii="Times New Roman" w:cs="Times New Roman" w:eastAsia="Times New Roman" w:hAnsi="Times New Roman"/>
          <w:sz w:val="18"/>
          <w:szCs w:val="18"/>
          <w:color w:val="auto"/>
        </w:rPr>
      </w:pPr>
    </w:p>
    <w:p>
      <w:pPr>
        <w:ind w:left="560" w:right="80" w:hanging="319"/>
        <w:spacing w:after="0" w:line="223" w:lineRule="auto"/>
        <w:tabs>
          <w:tab w:leader="none" w:pos="5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18"/>
          <w:szCs w:val="18"/>
          <w:color w:val="auto"/>
        </w:rPr>
      </w:pPr>
    </w:p>
    <w:p>
      <w:pPr>
        <w:ind w:left="320" w:right="20" w:hanging="315"/>
        <w:spacing w:after="0" w:line="221" w:lineRule="auto"/>
        <w:tabs>
          <w:tab w:leader="none" w:pos="3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78" w:lineRule="exact"/>
        <w:rPr>
          <w:rFonts w:ascii="Times New Roman" w:cs="Times New Roman" w:eastAsia="Times New Roman" w:hAnsi="Times New Roman"/>
          <w:sz w:val="18"/>
          <w:szCs w:val="18"/>
          <w:color w:val="auto"/>
        </w:rPr>
      </w:pPr>
    </w:p>
    <w:p>
      <w:pPr>
        <w:ind w:left="320" w:right="40" w:hanging="315"/>
        <w:spacing w:after="0" w:line="254" w:lineRule="auto"/>
        <w:tabs>
          <w:tab w:leader="none" w:pos="3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deduct and withhold from any amounts payable under this Agreement such Federal, state, local, non-U.S.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as are required to be withheld pursuant to any applicable law or regulation.</w:t>
      </w:r>
    </w:p>
    <w:p>
      <w:pPr>
        <w:spacing w:after="0" w:line="1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16" w:lineRule="exact"/>
        <w:rPr>
          <w:rFonts w:ascii="Times New Roman" w:cs="Times New Roman" w:eastAsia="Times New Roman" w:hAnsi="Times New Roman"/>
          <w:sz w:val="18"/>
          <w:szCs w:val="18"/>
          <w:color w:val="auto"/>
        </w:rPr>
      </w:pPr>
    </w:p>
    <w:p>
      <w:pPr>
        <w:ind w:left="640" w:right="20" w:hanging="321"/>
        <w:spacing w:after="0" w:line="228" w:lineRule="auto"/>
        <w:tabs>
          <w:tab w:leader="none" w:pos="63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15(b).</w:t>
      </w:r>
    </w:p>
    <w:p>
      <w:pPr>
        <w:spacing w:after="0" w:line="182" w:lineRule="exact"/>
        <w:rPr>
          <w:rFonts w:ascii="Times New Roman" w:cs="Times New Roman" w:eastAsia="Times New Roman" w:hAnsi="Times New Roman"/>
          <w:sz w:val="18"/>
          <w:szCs w:val="18"/>
          <w:color w:val="auto"/>
        </w:rPr>
      </w:pPr>
    </w:p>
    <w:p>
      <w:pPr>
        <w:ind w:left="640" w:right="20" w:hanging="321"/>
        <w:spacing w:after="0" w:line="219" w:lineRule="auto"/>
        <w:tabs>
          <w:tab w:leader="none" w:pos="633"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33" w:lineRule="exact"/>
        <w:rPr>
          <w:sz w:val="20"/>
          <w:szCs w:val="20"/>
          <w:color w:val="auto"/>
        </w:rPr>
      </w:pPr>
    </w:p>
    <w:p>
      <w:pPr>
        <w:ind w:left="640" w:right="400" w:hanging="321"/>
        <w:spacing w:after="0" w:line="250" w:lineRule="auto"/>
        <w:tabs>
          <w:tab w:leader="none" w:pos="6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67" w:lineRule="exact"/>
        <w:rPr>
          <w:rFonts w:ascii="Times New Roman" w:cs="Times New Roman" w:eastAsia="Times New Roman" w:hAnsi="Times New Roman"/>
          <w:sz w:val="18"/>
          <w:szCs w:val="18"/>
          <w:color w:val="auto"/>
        </w:rPr>
      </w:pPr>
    </w:p>
    <w:p>
      <w:pPr>
        <w:ind w:left="320" w:right="240" w:hanging="315"/>
        <w:spacing w:after="0" w:line="226" w:lineRule="auto"/>
        <w:tabs>
          <w:tab w:leader="none" w:pos="31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No Construction Against Drafter. </w:t>
      </w:r>
      <w:r>
        <w:rPr>
          <w:rFonts w:ascii="Times New Roman" w:cs="Times New Roman" w:eastAsia="Times New Roman" w:hAnsi="Times New Roman"/>
          <w:sz w:val="18"/>
          <w:szCs w:val="18"/>
          <w:color w:val="auto"/>
        </w:rPr>
        <w:t>This Agreement shall be deemed to be made in the State of New York, and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Amendment; No Waiver; Severability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40" w:right="20" w:hanging="321"/>
        <w:spacing w:after="0" w:line="223" w:lineRule="auto"/>
        <w:tabs>
          <w:tab w:leader="none" w:pos="6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2" w:lineRule="exact"/>
        <w:rPr>
          <w:rFonts w:ascii="Times New Roman" w:cs="Times New Roman" w:eastAsia="Times New Roman" w:hAnsi="Times New Roman"/>
          <w:sz w:val="18"/>
          <w:szCs w:val="18"/>
          <w:color w:val="auto"/>
        </w:rPr>
      </w:pPr>
    </w:p>
    <w:p>
      <w:pPr>
        <w:ind w:left="640" w:right="80" w:hanging="321"/>
        <w:spacing w:after="0" w:line="219" w:lineRule="auto"/>
        <w:tabs>
          <w:tab w:leader="none" w:pos="6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6" w:lineRule="exact"/>
        <w:rPr>
          <w:rFonts w:ascii="Times New Roman" w:cs="Times New Roman" w:eastAsia="Times New Roman" w:hAnsi="Times New Roman"/>
          <w:sz w:val="18"/>
          <w:szCs w:val="18"/>
          <w:color w:val="auto"/>
        </w:rPr>
      </w:pPr>
    </w:p>
    <w:p>
      <w:pPr>
        <w:ind w:left="320" w:right="60" w:hanging="315"/>
        <w:spacing w:after="0" w:line="222" w:lineRule="auto"/>
        <w:tabs>
          <w:tab w:leader="none" w:pos="3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and understanding between the Company and Executive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April 30, 2020, the Separation Agreement dated as of September 3, 2019,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 subject to Section 4(c)(iv) herein.</w:t>
      </w:r>
    </w:p>
    <w:p>
      <w:pPr>
        <w:spacing w:after="0" w:line="179" w:lineRule="exact"/>
        <w:rPr>
          <w:rFonts w:ascii="Times New Roman" w:cs="Times New Roman" w:eastAsia="Times New Roman" w:hAnsi="Times New Roman"/>
          <w:sz w:val="18"/>
          <w:szCs w:val="18"/>
          <w:color w:val="auto"/>
        </w:rPr>
      </w:pPr>
    </w:p>
    <w:p>
      <w:pPr>
        <w:ind w:left="320" w:right="240" w:hanging="315"/>
        <w:spacing w:after="0" w:line="230" w:lineRule="auto"/>
        <w:tabs>
          <w:tab w:leader="none" w:pos="3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rights and obligations of the parties under the provisions of this Agreement shall survive, and remain binding and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5" w:lineRule="exact"/>
        <w:rPr>
          <w:rFonts w:ascii="Times New Roman" w:cs="Times New Roman" w:eastAsia="Times New Roman" w:hAnsi="Times New Roman"/>
          <w:sz w:val="18"/>
          <w:szCs w:val="18"/>
          <w:color w:val="auto"/>
        </w:rPr>
      </w:pPr>
    </w:p>
    <w:p>
      <w:pPr>
        <w:ind w:left="320" w:right="140" w:hanging="315"/>
        <w:spacing w:after="0" w:line="230" w:lineRule="auto"/>
        <w:tabs>
          <w:tab w:leader="none" w:pos="3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or other communications required or permitted to be given hereunder shall be in writing and shall be delivered by hand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65" w:lineRule="exact"/>
        <w:rPr>
          <w:sz w:val="20"/>
          <w:szCs w:val="20"/>
          <w:color w:val="auto"/>
        </w:rPr>
      </w:pPr>
    </w:p>
    <w:p>
      <w:pPr>
        <w:ind w:left="941"/>
        <w:spacing w:after="0"/>
        <w:tabs>
          <w:tab w:leader="none" w:pos="286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8"/>
          <w:szCs w:val="18"/>
          <w:color w:val="auto"/>
        </w:rPr>
        <w:t>Virtu Financial</w:t>
      </w:r>
    </w:p>
    <w:p>
      <w:pPr>
        <w:ind w:left="1861"/>
        <w:spacing w:after="0" w:line="182" w:lineRule="auto"/>
        <w:rPr>
          <w:sz w:val="20"/>
          <w:szCs w:val="20"/>
          <w:color w:val="auto"/>
        </w:rPr>
      </w:pPr>
      <w:r>
        <w:rPr>
          <w:rFonts w:ascii="Times New Roman" w:cs="Times New Roman" w:eastAsia="Times New Roman" w:hAnsi="Times New Roman"/>
          <w:sz w:val="17"/>
          <w:szCs w:val="17"/>
          <w:color w:val="auto"/>
        </w:rPr>
        <w:t>1633 Broadway, 41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7"/>
          <w:szCs w:val="17"/>
          <w:color w:val="auto"/>
        </w:rPr>
        <w:t xml:space="preserve"> Floor</w:t>
      </w:r>
    </w:p>
    <w:p>
      <w:pPr>
        <w:ind w:left="1861"/>
        <w:spacing w:after="0" w:line="212" w:lineRule="auto"/>
        <w:rPr>
          <w:sz w:val="20"/>
          <w:szCs w:val="20"/>
          <w:color w:val="auto"/>
        </w:rPr>
      </w:pPr>
      <w:r>
        <w:rPr>
          <w:rFonts w:ascii="Times New Roman" w:cs="Times New Roman" w:eastAsia="Times New Roman" w:hAnsi="Times New Roman"/>
          <w:sz w:val="18"/>
          <w:szCs w:val="18"/>
          <w:color w:val="auto"/>
        </w:rPr>
        <w:t>New York, NY 10019</w:t>
      </w:r>
    </w:p>
    <w:p>
      <w:pPr>
        <w:ind w:left="1841"/>
        <w:spacing w:after="0" w:line="213" w:lineRule="auto"/>
        <w:rPr>
          <w:sz w:val="20"/>
          <w:szCs w:val="20"/>
          <w:color w:val="auto"/>
        </w:rPr>
      </w:pPr>
      <w:r>
        <w:rPr>
          <w:rFonts w:ascii="Times New Roman" w:cs="Times New Roman" w:eastAsia="Times New Roman" w:hAnsi="Times New Roman"/>
          <w:sz w:val="18"/>
          <w:szCs w:val="18"/>
          <w:color w:val="auto"/>
        </w:rPr>
        <w:t>Attn: Legal Department</w:t>
      </w:r>
    </w:p>
    <w:p>
      <w:pPr>
        <w:ind w:left="1861"/>
        <w:spacing w:after="0"/>
        <w:rPr>
          <w:sz w:val="20"/>
          <w:szCs w:val="20"/>
          <w:color w:val="auto"/>
        </w:rPr>
      </w:pPr>
      <w:r>
        <w:rPr>
          <w:rFonts w:ascii="Times New Roman" w:cs="Times New Roman" w:eastAsia="Times New Roman" w:hAnsi="Times New Roman"/>
          <w:sz w:val="18"/>
          <w:szCs w:val="18"/>
          <w:color w:val="auto"/>
        </w:rPr>
        <w:t>E-mail: Legal @virtu.com</w:t>
      </w:r>
    </w:p>
    <w:p>
      <w:pPr>
        <w:spacing w:after="0" w:line="189" w:lineRule="exact"/>
        <w:rPr>
          <w:sz w:val="20"/>
          <w:szCs w:val="20"/>
          <w:color w:val="auto"/>
        </w:rPr>
      </w:pPr>
    </w:p>
    <w:p>
      <w:pPr>
        <w:ind w:left="941"/>
        <w:spacing w:after="0"/>
        <w:tabs>
          <w:tab w:leader="none" w:pos="2280" w:val="left"/>
        </w:tabs>
        <w:rPr>
          <w:sz w:val="20"/>
          <w:szCs w:val="20"/>
          <w:color w:val="auto"/>
        </w:rPr>
      </w:pPr>
      <w:r>
        <w:rPr>
          <w:rFonts w:ascii="Times New Roman" w:cs="Times New Roman" w:eastAsia="Times New Roman" w:hAnsi="Times New Roman"/>
          <w:sz w:val="18"/>
          <w:szCs w:val="18"/>
          <w:color w:val="auto"/>
        </w:rPr>
        <w:t>If to Executive:</w:t>
        <w:tab/>
        <w:t>At the most recent address on file in the</w:t>
      </w:r>
    </w:p>
    <w:p>
      <w:pPr>
        <w:ind w:left="4081"/>
        <w:spacing w:after="0"/>
        <w:rPr>
          <w:sz w:val="20"/>
          <w:szCs w:val="20"/>
          <w:color w:val="auto"/>
        </w:rPr>
      </w:pPr>
      <w:r>
        <w:rPr>
          <w:rFonts w:ascii="Times New Roman" w:cs="Times New Roman" w:eastAsia="Times New Roman" w:hAnsi="Times New Roman"/>
          <w:sz w:val="18"/>
          <w:szCs w:val="18"/>
          <w:color w:val="auto"/>
        </w:rPr>
        <w:t>Company’s records</w:t>
      </w:r>
    </w:p>
    <w:p>
      <w:pPr>
        <w:spacing w:after="0" w:line="192"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Notices delivered by email shall have the same legal effect as if such notice had been delivered in person.</w:t>
      </w:r>
    </w:p>
    <w:p>
      <w:pPr>
        <w:spacing w:after="0" w:line="208" w:lineRule="exact"/>
        <w:rPr>
          <w:sz w:val="20"/>
          <w:szCs w:val="20"/>
          <w:color w:val="auto"/>
        </w:rPr>
      </w:pPr>
    </w:p>
    <w:p>
      <w:pPr>
        <w:ind w:left="321" w:right="80" w:hanging="321"/>
        <w:spacing w:after="0" w:line="235" w:lineRule="auto"/>
        <w:tabs>
          <w:tab w:leader="none" w:pos="3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and References. </w:t>
      </w:r>
      <w:r>
        <w:rPr>
          <w:rFonts w:ascii="Times New Roman" w:cs="Times New Roman" w:eastAsia="Times New Roman" w:hAnsi="Times New Roman"/>
          <w:sz w:val="18"/>
          <w:szCs w:val="18"/>
          <w:color w:val="auto"/>
        </w:rPr>
        <w:t>The headings of this Agreement are inserted for convenience only and neither constitute a part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affect in any way the meaning or interpretation of this Agreement. When a reference in this Agreement is made to a Section, such reference shall be to a Section of this Agreement unless otherwise indicated.</w:t>
      </w:r>
    </w:p>
    <w:p>
      <w:pPr>
        <w:spacing w:after="0" w:line="177" w:lineRule="exact"/>
        <w:rPr>
          <w:rFonts w:ascii="Times New Roman" w:cs="Times New Roman" w:eastAsia="Times New Roman" w:hAnsi="Times New Roman"/>
          <w:sz w:val="18"/>
          <w:szCs w:val="18"/>
          <w:color w:val="auto"/>
        </w:rPr>
      </w:pPr>
    </w:p>
    <w:p>
      <w:pPr>
        <w:jc w:val="both"/>
        <w:ind w:left="321" w:right="40" w:hanging="321"/>
        <w:spacing w:after="0" w:line="235" w:lineRule="auto"/>
        <w:tabs>
          <w:tab w:leader="none" w:pos="3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(including via facsimile and electronic image scan (.pdf)),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921"/>
          </w:cols>
          <w:pgMar w:left="639"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duly executed by the parties as of the date first written above.</w:t>
      </w: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989965" cy="33274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989965" cy="332740"/>
                    </a:xfrm>
                    <a:prstGeom prst="rect">
                      <a:avLst/>
                    </a:prstGeom>
                    <a:noFill/>
                    <a:ln>
                      <a:noFill/>
                    </a:ln>
                  </pic:spPr>
                </pic:pic>
              </a:graphicData>
            </a:graphic>
          </wp:inline>
        </w:drawing>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Douglas A. Cifu</w:t>
      </w:r>
    </w:p>
    <w:p>
      <w:pPr>
        <w:ind w:left="3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596265</wp:posOffset>
            </wp:positionV>
            <wp:extent cx="1347470" cy="415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1347470"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By:</w:t>
      </w:r>
    </w:p>
    <w:p>
      <w:pPr>
        <w:ind w:left="3140"/>
        <w:spacing w:after="0"/>
        <w:rPr>
          <w:sz w:val="20"/>
          <w:szCs w:val="20"/>
          <w:color w:val="auto"/>
        </w:rPr>
      </w:pPr>
      <w:r>
        <w:rPr>
          <w:rFonts w:ascii="Times New Roman" w:cs="Times New Roman" w:eastAsia="Times New Roman" w:hAnsi="Times New Roman"/>
          <w:sz w:val="18"/>
          <w:szCs w:val="18"/>
          <w:color w:val="auto"/>
        </w:rPr>
        <w:t>Name: Joseph Molluso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00"/>
          </w:cols>
          <w:pgMar w:left="960" w:top="1440" w:right="339" w:bottom="1440" w:gutter="0" w:footer="0" w:header="0"/>
        </w:sectPr>
      </w:pPr>
    </w:p>
    <w:bookmarkStart w:id="164" w:name="page165"/>
    <w:bookmarkEnd w:id="164"/>
    <w:p>
      <w:pPr>
        <w:spacing w:after="0" w:line="200" w:lineRule="exact"/>
        <w:rPr>
          <w:sz w:val="20"/>
          <w:szCs w:val="20"/>
          <w:color w:val="auto"/>
        </w:rPr>
      </w:pPr>
    </w:p>
    <w:p>
      <w:pPr>
        <w:spacing w:after="0" w:line="268" w:lineRule="exact"/>
        <w:rPr>
          <w:sz w:val="20"/>
          <w:szCs w:val="20"/>
          <w:color w:val="auto"/>
        </w:rPr>
      </w:pPr>
    </w:p>
    <w:p>
      <w:pPr>
        <w:jc w:val="both"/>
        <w:ind w:right="520" w:firstLine="629"/>
        <w:spacing w:after="0" w:line="234" w:lineRule="auto"/>
        <w:rPr>
          <w:sz w:val="20"/>
          <w:szCs w:val="20"/>
          <w:color w:val="auto"/>
        </w:rPr>
      </w:pPr>
      <w:r>
        <w:rPr>
          <w:rFonts w:ascii="Times New Roman" w:cs="Times New Roman" w:eastAsia="Times New Roman" w:hAnsi="Times New Roman"/>
          <w:sz w:val="18"/>
          <w:szCs w:val="18"/>
          <w:color w:val="auto"/>
        </w:rPr>
        <w:t>Amended and Restated Employment Agreement (this “Agreement”), dated as of December 1, 2022 (the “Effective Date”), between Virtu Financial Operating LLC, a Delaware limited liability company (together with all parents, affiliates and subsidiaries as the "Company"), and Brett Fairclough (“Executive”).</w:t>
      </w:r>
    </w:p>
    <w:p>
      <w:pPr>
        <w:spacing w:after="0" w:line="180"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8"/>
          <w:szCs w:val="18"/>
          <w:color w:val="auto"/>
        </w:rPr>
        <w:t>WHEREAS, the Company and Executive are party to an existing Amended and Restated Employment Agreement dated February 26, 2020 (the “Existing Agreement”) and desire to amend and restate the Existing Agreement as herein provided; and</w:t>
      </w:r>
    </w:p>
    <w:p>
      <w:pPr>
        <w:spacing w:after="0" w:line="171" w:lineRule="exact"/>
        <w:rPr>
          <w:sz w:val="20"/>
          <w:szCs w:val="20"/>
          <w:color w:val="auto"/>
        </w:rPr>
      </w:pPr>
    </w:p>
    <w:p>
      <w:pPr>
        <w:jc w:val="both"/>
        <w:ind w:firstLine="629"/>
        <w:spacing w:after="0" w:line="234" w:lineRule="auto"/>
        <w:rPr>
          <w:sz w:val="20"/>
          <w:szCs w:val="20"/>
          <w:color w:val="auto"/>
        </w:rPr>
      </w:pPr>
      <w:r>
        <w:rPr>
          <w:rFonts w:ascii="Times New Roman" w:cs="Times New Roman" w:eastAsia="Times New Roman" w:hAnsi="Times New Roman"/>
          <w:sz w:val="18"/>
          <w:szCs w:val="18"/>
          <w:color w:val="auto"/>
        </w:rPr>
        <w:t>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80"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intending to be legally bound hereby, the parties hereto agree as set forth below:</w:t>
      </w:r>
    </w:p>
    <w:p>
      <w:pPr>
        <w:spacing w:after="0" w:line="167" w:lineRule="exact"/>
        <w:rPr>
          <w:sz w:val="20"/>
          <w:szCs w:val="20"/>
          <w:color w:val="auto"/>
        </w:rPr>
      </w:pPr>
    </w:p>
    <w:p>
      <w:pPr>
        <w:ind w:left="320" w:hanging="315"/>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16" w:lineRule="exact"/>
        <w:rPr>
          <w:rFonts w:ascii="Times New Roman" w:cs="Times New Roman" w:eastAsia="Times New Roman" w:hAnsi="Times New Roman"/>
          <w:sz w:val="18"/>
          <w:szCs w:val="18"/>
          <w:color w:val="auto"/>
        </w:rPr>
      </w:pPr>
    </w:p>
    <w:p>
      <w:pPr>
        <w:ind w:left="560" w:right="160" w:hanging="307"/>
        <w:spacing w:after="0" w:line="218" w:lineRule="auto"/>
        <w:tabs>
          <w:tab w:leader="none" w:pos="55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Executive’s employment under this Agreement shall continue from the Effective Date until February 26, 2027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 (1) year from the effective date of such Change in Control.</w:t>
      </w:r>
    </w:p>
    <w:p>
      <w:pPr>
        <w:spacing w:after="0" w:line="180" w:lineRule="exact"/>
        <w:rPr>
          <w:rFonts w:ascii="Times New Roman" w:cs="Times New Roman" w:eastAsia="Times New Roman" w:hAnsi="Times New Roman"/>
          <w:sz w:val="18"/>
          <w:szCs w:val="18"/>
          <w:color w:val="auto"/>
        </w:rPr>
      </w:pPr>
    </w:p>
    <w:p>
      <w:pPr>
        <w:ind w:left="560" w:right="100" w:hanging="307"/>
        <w:spacing w:after="0" w:line="220" w:lineRule="auto"/>
        <w:tabs>
          <w:tab w:leader="none" w:pos="55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as used herein, shall have the definitions set forth below.</w:t>
      </w:r>
    </w:p>
    <w:p>
      <w:pPr>
        <w:spacing w:after="0" w:line="216" w:lineRule="exact"/>
        <w:rPr>
          <w:rFonts w:ascii="Times New Roman" w:cs="Times New Roman" w:eastAsia="Times New Roman" w:hAnsi="Times New Roman"/>
          <w:sz w:val="18"/>
          <w:szCs w:val="18"/>
          <w:color w:val="auto"/>
        </w:rPr>
      </w:pPr>
    </w:p>
    <w:p>
      <w:pPr>
        <w:jc w:val="both"/>
        <w:ind w:left="560" w:right="20" w:hanging="319"/>
        <w:spacing w:after="0" w:line="234" w:lineRule="auto"/>
        <w:tabs>
          <w:tab w:leader="none" w:pos="5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80"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that any of the following occurs:</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28" w:lineRule="exact"/>
        <w:rPr>
          <w:sz w:val="20"/>
          <w:szCs w:val="20"/>
          <w:color w:val="auto"/>
        </w:rPr>
      </w:pPr>
    </w:p>
    <w:p>
      <w:pPr>
        <w:ind w:left="660" w:right="400" w:hanging="157"/>
        <w:spacing w:after="0" w:line="254" w:lineRule="auto"/>
        <w:rPr>
          <w:sz w:val="20"/>
          <w:szCs w:val="20"/>
          <w:color w:val="auto"/>
        </w:rPr>
      </w:pPr>
      <w:r>
        <w:rPr>
          <w:rFonts w:ascii="Times New Roman" w:cs="Times New Roman" w:eastAsia="Times New Roman" w:hAnsi="Times New Roman"/>
          <w:sz w:val="18"/>
          <w:szCs w:val="18"/>
          <w:color w:val="auto"/>
        </w:rPr>
        <w:t xml:space="preserve">i. Executive is convicted of, or pleads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commits any fraudulent or illegal acts with regard to the Company or its employees, independent contractors, officers, members or managers;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ii.Executive is repeatedly intoxicated or under the influence of illegal substances while performing his employment duties;</w:t>
      </w:r>
    </w:p>
    <w:p>
      <w:pPr>
        <w:spacing w:after="0" w:line="212" w:lineRule="exact"/>
        <w:rPr>
          <w:sz w:val="20"/>
          <w:szCs w:val="20"/>
          <w:color w:val="auto"/>
        </w:rPr>
      </w:pPr>
    </w:p>
    <w:p>
      <w:pPr>
        <w:ind w:left="660" w:right="260" w:hanging="152"/>
        <w:spacing w:after="0" w:line="250" w:lineRule="auto"/>
        <w:tabs>
          <w:tab w:leader="none" w:pos="10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71" w:lineRule="exact"/>
        <w:rPr>
          <w:rFonts w:ascii="Times New Roman" w:cs="Times New Roman" w:eastAsia="Times New Roman" w:hAnsi="Times New Roman"/>
          <w:sz w:val="18"/>
          <w:szCs w:val="18"/>
          <w:color w:val="auto"/>
        </w:rPr>
      </w:pPr>
    </w:p>
    <w:p>
      <w:pPr>
        <w:ind w:left="660" w:hanging="152"/>
        <w:spacing w:after="0" w:line="221" w:lineRule="auto"/>
        <w:tabs>
          <w:tab w:leader="none" w:pos="9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 violates any material regulatory or trading policy, procedure, requirement, rule or regulation of the Company, any exchange, 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v.Executives intentionally and wrongfully damages material assets of the Company;</w:t>
      </w:r>
    </w:p>
    <w:p>
      <w:pPr>
        <w:spacing w:after="0" w:line="212" w:lineRule="exact"/>
        <w:rPr>
          <w:sz w:val="20"/>
          <w:szCs w:val="20"/>
          <w:color w:val="auto"/>
        </w:rPr>
      </w:pPr>
    </w:p>
    <w:p>
      <w:pPr>
        <w:ind w:left="1020" w:hanging="512"/>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discloses material confidential information of the Company; or</w:t>
      </w:r>
    </w:p>
    <w:p>
      <w:pPr>
        <w:spacing w:after="0" w:line="212" w:lineRule="exact"/>
        <w:rPr>
          <w:rFonts w:ascii="Times New Roman" w:cs="Times New Roman" w:eastAsia="Times New Roman" w:hAnsi="Times New Roman"/>
          <w:sz w:val="18"/>
          <w:szCs w:val="18"/>
          <w:color w:val="auto"/>
        </w:rPr>
      </w:pPr>
    </w:p>
    <w:p>
      <w:pPr>
        <w:ind w:left="660" w:right="140" w:hanging="152"/>
        <w:spacing w:after="0" w:line="250" w:lineRule="auto"/>
        <w:tabs>
          <w:tab w:leader="none" w:pos="10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engages in any competitive activity which constitutes a material breach of this Agreement, the Proprietary Invention Assignment, Noncompetition and Confidentiality Agreement, and/or a breach of his duty of loyalty;</w:t>
      </w:r>
    </w:p>
    <w:p>
      <w:pPr>
        <w:spacing w:after="0" w:line="171" w:lineRule="exact"/>
        <w:rPr>
          <w:sz w:val="20"/>
          <w:szCs w:val="20"/>
          <w:color w:val="auto"/>
        </w:rPr>
      </w:pPr>
    </w:p>
    <w:p>
      <w:pPr>
        <w:ind w:left="660" w:right="220"/>
        <w:spacing w:after="0" w:line="228" w:lineRule="auto"/>
        <w:rPr>
          <w:sz w:val="20"/>
          <w:szCs w:val="20"/>
          <w:color w:val="auto"/>
        </w:rPr>
      </w:pPr>
      <w:r>
        <w:rPr>
          <w:rFonts w:ascii="Times New Roman" w:cs="Times New Roman" w:eastAsia="Times New Roman" w:hAnsi="Times New Roman"/>
          <w:sz w:val="18"/>
          <w:szCs w:val="18"/>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w:t>
      </w:r>
    </w:p>
    <w:p>
      <w:pPr>
        <w:spacing w:after="0" w:line="183" w:lineRule="exact"/>
        <w:rPr>
          <w:sz w:val="20"/>
          <w:szCs w:val="20"/>
          <w:color w:val="auto"/>
        </w:rPr>
      </w:pPr>
    </w:p>
    <w:p>
      <w:pPr>
        <w:ind w:left="320" w:hanging="307"/>
        <w:spacing w:after="0"/>
        <w:tabs>
          <w:tab w:leader="none" w:pos="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set forth in the Plan.</w:t>
      </w:r>
    </w:p>
    <w:p>
      <w:pPr>
        <w:spacing w:after="0" w:line="212" w:lineRule="exact"/>
        <w:rPr>
          <w:rFonts w:ascii="Times New Roman" w:cs="Times New Roman" w:eastAsia="Times New Roman" w:hAnsi="Times New Roman"/>
          <w:sz w:val="18"/>
          <w:szCs w:val="18"/>
          <w:color w:val="auto"/>
        </w:rPr>
      </w:pPr>
    </w:p>
    <w:p>
      <w:pPr>
        <w:jc w:val="both"/>
        <w:ind w:left="320" w:right="260" w:hanging="319"/>
        <w:spacing w:after="0" w:line="234" w:lineRule="auto"/>
        <w:tabs>
          <w:tab w:leader="none" w:pos="31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180" w:lineRule="exact"/>
        <w:rPr>
          <w:rFonts w:ascii="Times New Roman" w:cs="Times New Roman" w:eastAsia="Times New Roman" w:hAnsi="Times New Roman"/>
          <w:sz w:val="18"/>
          <w:szCs w:val="18"/>
          <w:color w:val="auto"/>
        </w:rPr>
      </w:pPr>
    </w:p>
    <w:p>
      <w:pPr>
        <w:ind w:left="320" w:right="40" w:hanging="319"/>
        <w:spacing w:after="0" w:line="223" w:lineRule="auto"/>
        <w:tabs>
          <w:tab w:leader="none" w:pos="3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long-term disability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w:t>
      </w:r>
    </w:p>
    <w:p>
      <w:pPr>
        <w:spacing w:after="0" w:line="182" w:lineRule="exact"/>
        <w:rPr>
          <w:rFonts w:ascii="Times New Roman" w:cs="Times New Roman" w:eastAsia="Times New Roman" w:hAnsi="Times New Roman"/>
          <w:sz w:val="18"/>
          <w:szCs w:val="18"/>
          <w:color w:val="auto"/>
        </w:rPr>
      </w:pPr>
    </w:p>
    <w:p>
      <w:pPr>
        <w:ind w:left="320" w:right="340" w:hanging="307"/>
        <w:spacing w:after="0" w:line="250" w:lineRule="auto"/>
        <w:tabs>
          <w:tab w:leader="none" w:pos="3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termination of Executive’s employment at his initiative after, without Executive’s prior written consent, one (1) or more of the following events:</w:t>
      </w:r>
    </w:p>
    <w:p>
      <w:pPr>
        <w:spacing w:after="0" w:line="171" w:lineRule="exact"/>
        <w:rPr>
          <w:rFonts w:ascii="Times New Roman" w:cs="Times New Roman" w:eastAsia="Times New Roman" w:hAnsi="Times New Roman"/>
          <w:sz w:val="18"/>
          <w:szCs w:val="18"/>
          <w:color w:val="auto"/>
        </w:rPr>
      </w:pPr>
    </w:p>
    <w:p>
      <w:pPr>
        <w:ind w:left="660" w:right="160" w:hanging="152"/>
        <w:spacing w:after="0" w:line="234" w:lineRule="auto"/>
        <w:tabs>
          <w:tab w:leader="none" w:pos="65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Executive’s title or reporting relationship such that he no longer reports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 with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00"/>
          </w:cols>
          <w:pgMar w:left="560" w:top="1440" w:right="339" w:bottom="1440" w:gutter="0" w:footer="0" w:header="0"/>
        </w:sectPr>
      </w:pPr>
    </w:p>
    <w:bookmarkStart w:id="166" w:name="page167"/>
    <w:bookmarkEnd w:id="166"/>
    <w:p>
      <w:pPr>
        <w:spacing w:after="0" w:line="232" w:lineRule="exact"/>
        <w:rPr>
          <w:sz w:val="20"/>
          <w:szCs w:val="20"/>
          <w:color w:val="auto"/>
        </w:rPr>
      </w:pPr>
    </w:p>
    <w:p>
      <w:pPr>
        <w:ind w:left="900" w:right="360"/>
        <w:spacing w:after="0" w:line="250" w:lineRule="auto"/>
        <w:rPr>
          <w:sz w:val="20"/>
          <w:szCs w:val="20"/>
          <w:color w:val="auto"/>
        </w:rPr>
      </w:pPr>
      <w:r>
        <w:rPr>
          <w:rFonts w:ascii="Times New Roman" w:cs="Times New Roman" w:eastAsia="Times New Roman" w:hAnsi="Times New Roman"/>
          <w:sz w:val="18"/>
          <w:szCs w:val="18"/>
          <w:color w:val="auto"/>
        </w:rPr>
        <w:t>Change in Control, relative to Executive’s authority, title, duties or responsibilities immediately prior to the Change in Control) or being required to report other than to the CEO or the Board or a material reduction in Base Salary;</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ii.a material breach of this Agreement by the Company or a successor employer; or</w:t>
      </w:r>
    </w:p>
    <w:p>
      <w:pPr>
        <w:spacing w:after="0" w:line="212" w:lineRule="exact"/>
        <w:rPr>
          <w:sz w:val="20"/>
          <w:szCs w:val="20"/>
          <w:color w:val="auto"/>
        </w:rPr>
      </w:pPr>
    </w:p>
    <w:p>
      <w:pPr>
        <w:ind w:left="900" w:right="200" w:hanging="152"/>
        <w:spacing w:after="0" w:line="250" w:lineRule="auto"/>
        <w:tabs>
          <w:tab w:leader="none" w:pos="1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71" w:lineRule="exact"/>
        <w:rPr>
          <w:sz w:val="20"/>
          <w:szCs w:val="20"/>
          <w:color w:val="auto"/>
        </w:rPr>
      </w:pPr>
    </w:p>
    <w:p>
      <w:pPr>
        <w:ind w:left="900"/>
        <w:spacing w:after="0" w:line="221" w:lineRule="auto"/>
        <w:rPr>
          <w:sz w:val="20"/>
          <w:szCs w:val="20"/>
          <w:color w:val="auto"/>
        </w:rPr>
      </w:pPr>
      <w:r>
        <w:rPr>
          <w:rFonts w:ascii="Times New Roman" w:cs="Times New Roman" w:eastAsia="Times New Roman" w:hAnsi="Times New Roman"/>
          <w:sz w:val="18"/>
          <w:szCs w:val="18"/>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185" w:lineRule="exact"/>
        <w:rPr>
          <w:sz w:val="20"/>
          <w:szCs w:val="20"/>
          <w:color w:val="auto"/>
        </w:rPr>
      </w:pPr>
    </w:p>
    <w:p>
      <w:pPr>
        <w:ind w:left="560" w:hanging="319"/>
        <w:spacing w:after="0" w:line="250" w:lineRule="auto"/>
        <w:tabs>
          <w:tab w:leader="none" w:pos="55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firm, corporation, partnership, limited liability company, trust, joint venture, association, unincorporated entity or other entity.</w:t>
      </w:r>
    </w:p>
    <w:p>
      <w:pPr>
        <w:spacing w:after="0" w:line="171"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Virtu Financial, Inc. Amended and Restated 2015 Management Incentive Plan.</w:t>
      </w:r>
    </w:p>
    <w:p>
      <w:pPr>
        <w:spacing w:after="0" w:line="20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and Responsibilities.</w:t>
      </w:r>
    </w:p>
    <w:p>
      <w:pPr>
        <w:spacing w:after="0" w:line="216" w:lineRule="exact"/>
        <w:rPr>
          <w:rFonts w:ascii="Times New Roman" w:cs="Times New Roman" w:eastAsia="Times New Roman" w:hAnsi="Times New Roman"/>
          <w:sz w:val="18"/>
          <w:szCs w:val="18"/>
          <w:color w:val="auto"/>
        </w:rPr>
      </w:pPr>
    </w:p>
    <w:p>
      <w:pPr>
        <w:ind w:left="560" w:right="40" w:hanging="307"/>
        <w:spacing w:after="0" w:line="233" w:lineRule="auto"/>
        <w:tabs>
          <w:tab w:leader="none" w:pos="5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employs Executive, and Executive hereby accepts employment, subject to the terms and conditions contained herein, during the Term, as Co-Chief Operating Officer &amp; Co-President reporting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in such capacity of a corporation of the size and nature of the Company. During the Term,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90" w:lineRule="exact"/>
        <w:rPr>
          <w:rFonts w:ascii="Times New Roman" w:cs="Times New Roman" w:eastAsia="Times New Roman" w:hAnsi="Times New Roman"/>
          <w:sz w:val="18"/>
          <w:szCs w:val="18"/>
          <w:color w:val="auto"/>
        </w:rPr>
      </w:pPr>
    </w:p>
    <w:p>
      <w:pPr>
        <w:ind w:left="560" w:right="60" w:hanging="307"/>
        <w:spacing w:after="0" w:line="228" w:lineRule="auto"/>
        <w:tabs>
          <w:tab w:leader="none" w:pos="55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Executive’s principal place of employment shall be in one of the Company’s principal offices, including, but not limited to, the Company’s offices in Manhattan, New York, Short Hills, New Jersey and Palm Beach, Florida, or such other location as may otherwise be agreed with the Company. Executive acknowledges that Executive’s duties and responsibilities shall require Executive to travel on business to the extent reasonably necessary to fully perform Executive’s duties and responsibilities hereunder.</w:t>
      </w:r>
    </w:p>
    <w:p>
      <w:pPr>
        <w:spacing w:after="0" w:line="17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Related Matters.</w:t>
      </w:r>
    </w:p>
    <w:p>
      <w:pPr>
        <w:spacing w:after="0" w:line="212" w:lineRule="exact"/>
        <w:rPr>
          <w:rFonts w:ascii="Times New Roman" w:cs="Times New Roman" w:eastAsia="Times New Roman" w:hAnsi="Times New Roman"/>
          <w:sz w:val="18"/>
          <w:szCs w:val="18"/>
          <w:color w:val="auto"/>
        </w:rPr>
      </w:pPr>
    </w:p>
    <w:p>
      <w:pPr>
        <w:ind w:left="560" w:right="40" w:hanging="307"/>
        <w:spacing w:after="0" w:line="235" w:lineRule="auto"/>
        <w:tabs>
          <w:tab w:leader="none" w:pos="5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As of the Effective Date, Executive shall receive an annual base salary (“Base Salary”) of $600,000 per year, payable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Company’s normal payroll procedures and may be increased (but not decreased) by the CEO together with the Compensation Committee (as defined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33" w:lineRule="exact"/>
        <w:rPr>
          <w:sz w:val="20"/>
          <w:szCs w:val="20"/>
          <w:color w:val="auto"/>
        </w:rPr>
      </w:pPr>
    </w:p>
    <w:p>
      <w:pPr>
        <w:ind w:left="307" w:right="220"/>
        <w:spacing w:after="0" w:line="250" w:lineRule="auto"/>
        <w:rPr>
          <w:sz w:val="20"/>
          <w:szCs w:val="20"/>
          <w:color w:val="auto"/>
        </w:rPr>
      </w:pPr>
      <w:r>
        <w:rPr>
          <w:rFonts w:ascii="Times New Roman" w:cs="Times New Roman" w:eastAsia="Times New Roman" w:hAnsi="Times New Roman"/>
          <w:sz w:val="18"/>
          <w:szCs w:val="18"/>
          <w:color w:val="auto"/>
        </w:rPr>
        <w:t>below) in its sole discretion (such salary, as may be increased, the “Base Salary”). For the avoidance of doubt, the position is exempt from any and all overtime laws.</w:t>
      </w:r>
    </w:p>
    <w:p>
      <w:pPr>
        <w:spacing w:after="0" w:line="167" w:lineRule="exact"/>
        <w:rPr>
          <w:sz w:val="20"/>
          <w:szCs w:val="20"/>
          <w:color w:val="auto"/>
        </w:rPr>
      </w:pPr>
    </w:p>
    <w:p>
      <w:pPr>
        <w:ind w:left="307" w:hanging="307"/>
        <w:spacing w:after="0" w:line="216" w:lineRule="auto"/>
        <w:tabs>
          <w:tab w:leader="none" w:pos="3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Bonus</w:t>
      </w:r>
      <w:r>
        <w:rPr>
          <w:rFonts w:ascii="Times New Roman" w:cs="Times New Roman" w:eastAsia="Times New Roman" w:hAnsi="Times New Roman"/>
          <w:sz w:val="18"/>
          <w:szCs w:val="18"/>
          <w:color w:val="auto"/>
        </w:rPr>
        <w:t>. During the Term, for each calendar year, Executive shall be eligible to receive an annual bonus (“Annual Bonus”) with a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Bonus amount of $2,000,000 (the “Target Bonus”) and a maximum Annual Bonus amount of $3,000,000 (the “Maximum Bonus”). Fifty percent (50%) of the Annual Bonus shall be based on the achievement of annual quantitative targets established in the sole and absolute discretion of the Compensation Committee (the “Compensation Committee”) of the Board of Directors of Virtu Financial, Inc. (“Virtu”) together with the Company’s CEO (the “Quantitative Goals”) and the remaining fifty percent (50%) of the Annual Bonus will be based on annual qualitative targets established in the sole and absolute discretion of the Compensation Committee together with the Company’s CEO (the “Qualitative Goals”). Accordingly, up to $1,000,000 of the Target Bonus and $1,500,000 of the Maximum Bonus may be earned based on the achievement of the Quantitative Goals and up to $1,000,000 of the Target Bonus and $1,500,000 of the Maximum Bonus may be earned based on the achievement of the Qualitative Goals. The Annual Bonus, if any, shall be paid fifty percent (50%) in cash, thirty percent (30%) in the form of restricted shares or restricted share units (“RSUs”) in respect of Class A common stock of the Company (the “Stock”) that vest in equal annual installments on each of the first three (3) anniversaries of the date of grant, and the remaining twenty percent (20%) shall be paid in the form of fully-vested shares of Stock of fully-vested deferred share units (“DSUs”) in respect of Stock (in each case, in accordance with any applicable timely deferral election made by Executive); provided, that, the form, manner and timing of payment (including vesting of any payment in equity or equity-based awards) with respect to the Annual Bonus is subject to change in the event of (and consistent with) any change to the payout schedule formulations that is made applicable to the senior executives of the Company. The Annual Bonus, if any, shall be payable within the period required by Section 409A of the Code such that it qualifies as a “short-term deferral” pursuant to Section 1.409A-1(b)(4) of the Department of Treasury Regulations (or any successor thereto).</w:t>
      </w:r>
    </w:p>
    <w:p>
      <w:pPr>
        <w:spacing w:after="0" w:line="186" w:lineRule="exact"/>
        <w:rPr>
          <w:rFonts w:ascii="Times New Roman" w:cs="Times New Roman" w:eastAsia="Times New Roman" w:hAnsi="Times New Roman"/>
          <w:sz w:val="18"/>
          <w:szCs w:val="18"/>
          <w:color w:val="auto"/>
        </w:rPr>
      </w:pPr>
    </w:p>
    <w:p>
      <w:pPr>
        <w:ind w:left="307" w:right="180" w:hanging="307"/>
        <w:spacing w:after="0" w:line="230" w:lineRule="auto"/>
        <w:tabs>
          <w:tab w:leader="none" w:pos="3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Equity Awards</w:t>
      </w:r>
      <w:r>
        <w:rPr>
          <w:rFonts w:ascii="Times New Roman" w:cs="Times New Roman" w:eastAsia="Times New Roman" w:hAnsi="Times New Roman"/>
          <w:sz w:val="18"/>
          <w:szCs w:val="18"/>
          <w:color w:val="auto"/>
        </w:rPr>
        <w:t>. Executive shall be eligible to receive an equity award at the beginning of each calendar year during his employment (each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an “Annual Equity Award”). It is the current intention of the Company’s Board and CEO that such Annual Equity Award will be in the form of 75,000 restricted shares or RSUs in respect of Stock, and that any such award shall be earned and vest in accordance with the terms hereof.</w:t>
      </w:r>
    </w:p>
    <w:p>
      <w:pPr>
        <w:spacing w:after="0" w:line="179" w:lineRule="exact"/>
        <w:rPr>
          <w:rFonts w:ascii="Times New Roman" w:cs="Times New Roman" w:eastAsia="Times New Roman" w:hAnsi="Times New Roman"/>
          <w:sz w:val="18"/>
          <w:szCs w:val="18"/>
          <w:color w:val="auto"/>
        </w:rPr>
      </w:pPr>
    </w:p>
    <w:p>
      <w:pPr>
        <w:ind w:left="607" w:right="460" w:hanging="148"/>
        <w:spacing w:after="0" w:line="250" w:lineRule="auto"/>
        <w:tabs>
          <w:tab w:leader="none" w:pos="5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earned with respect to each Annual Equity Award shall be determined based on the percentage of the Company’s budgeted EBITDA achieved in the calendar year to which such award relates in accordance with the following table:</w:t>
      </w:r>
    </w:p>
    <w:p>
      <w:pPr>
        <w:spacing w:after="0" w:line="217" w:lineRule="exact"/>
        <w:rPr>
          <w:sz w:val="20"/>
          <w:szCs w:val="20"/>
          <w:color w:val="auto"/>
        </w:rPr>
      </w:pPr>
    </w:p>
    <w:tbl>
      <w:tblPr>
        <w:tblLayout w:type="fixed"/>
        <w:tblInd w:w="1717" w:type="dxa"/>
        <w:tblCellMar>
          <w:top w:w="0" w:type="dxa"/>
          <w:left w:w="0" w:type="dxa"/>
          <w:bottom w:w="0" w:type="dxa"/>
          <w:right w:w="0" w:type="dxa"/>
        </w:tblCellMar>
      </w:tblPr>
      <w:tr>
        <w:trPr>
          <w:trHeight w:val="183"/>
        </w:trPr>
        <w:tc>
          <w:tcPr>
            <w:tcW w:w="296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Percentage of Budgeted</w:t>
            </w:r>
          </w:p>
        </w:tc>
        <w:tc>
          <w:tcPr>
            <w:tcW w:w="29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Number of Shares Earned</w:t>
            </w:r>
          </w:p>
        </w:tc>
      </w:tr>
      <w:tr>
        <w:trPr>
          <w:trHeight w:val="246"/>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Achieved</w:t>
            </w:r>
          </w:p>
        </w:tc>
        <w:tc>
          <w:tcPr>
            <w:tcW w:w="2960" w:type="dxa"/>
            <w:vAlign w:val="bottom"/>
            <w:tcBorders>
              <w:bottom w:val="single" w:sz="8" w:color="auto"/>
              <w:right w:val="single" w:sz="8" w:color="auto"/>
            </w:tcBorders>
          </w:tcPr>
          <w:p>
            <w:pPr>
              <w:spacing w:after="0"/>
              <w:rPr>
                <w:sz w:val="21"/>
                <w:szCs w:val="21"/>
                <w:color w:val="auto"/>
              </w:rPr>
            </w:pPr>
          </w:p>
        </w:tc>
      </w:tr>
      <w:tr>
        <w:trPr>
          <w:trHeight w:val="232"/>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 or more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r>
      <w:tr>
        <w:trPr>
          <w:trHeight w:val="163"/>
        </w:trPr>
        <w:tc>
          <w:tcPr>
            <w:tcW w:w="2960" w:type="dxa"/>
            <w:vAlign w:val="bottom"/>
            <w:tcBorders>
              <w:left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Less than 65%</w:t>
            </w:r>
          </w:p>
        </w:tc>
        <w:tc>
          <w:tcPr>
            <w:tcW w:w="296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As determined at the sole discretion of</w:t>
            </w:r>
          </w:p>
        </w:tc>
      </w:tr>
      <w:tr>
        <w:trPr>
          <w:trHeight w:val="183"/>
        </w:trPr>
        <w:tc>
          <w:tcPr>
            <w:tcW w:w="2960" w:type="dxa"/>
            <w:vAlign w:val="bottom"/>
            <w:tcBorders>
              <w:left w:val="single" w:sz="8" w:color="auto"/>
              <w:right w:val="single" w:sz="8" w:color="auto"/>
            </w:tcBorders>
          </w:tcPr>
          <w:p>
            <w:pPr>
              <w:spacing w:after="0"/>
              <w:rPr>
                <w:sz w:val="15"/>
                <w:szCs w:val="15"/>
                <w:color w:val="auto"/>
              </w:rPr>
            </w:pPr>
          </w:p>
        </w:tc>
        <w:tc>
          <w:tcPr>
            <w:tcW w:w="29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rPr>
              <w:t>the Compensation Committee of the</w:t>
            </w:r>
          </w:p>
        </w:tc>
      </w:tr>
      <w:tr>
        <w:trPr>
          <w:trHeight w:val="244"/>
        </w:trPr>
        <w:tc>
          <w:tcPr>
            <w:tcW w:w="2960" w:type="dxa"/>
            <w:vAlign w:val="bottom"/>
            <w:tcBorders>
              <w:left w:val="single" w:sz="8" w:color="auto"/>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Board, which may be 0</w:t>
            </w:r>
          </w:p>
        </w:tc>
      </w:tr>
    </w:tbl>
    <w:p>
      <w:pPr>
        <w:spacing w:after="0" w:line="288" w:lineRule="exact"/>
        <w:rPr>
          <w:sz w:val="20"/>
          <w:szCs w:val="20"/>
          <w:color w:val="auto"/>
        </w:rPr>
      </w:pPr>
    </w:p>
    <w:p>
      <w:pPr>
        <w:ind w:left="607" w:right="200" w:hanging="156"/>
        <w:spacing w:after="0" w:line="250" w:lineRule="auto"/>
        <w:rPr>
          <w:sz w:val="20"/>
          <w:szCs w:val="20"/>
          <w:color w:val="auto"/>
        </w:rPr>
      </w:pPr>
      <w:r>
        <w:rPr>
          <w:rFonts w:ascii="Times New Roman" w:cs="Times New Roman" w:eastAsia="Times New Roman" w:hAnsi="Times New Roman"/>
          <w:sz w:val="18"/>
          <w:szCs w:val="18"/>
          <w:color w:val="auto"/>
        </w:rPr>
        <w:t>ii.If the Board determines that the number of shares of Stock subject to the Annual Equity Award will be greater or less than 75,000, then the amounts reflected in the table above shall be adjusted to reflect such number of shares.</w:t>
      </w:r>
    </w:p>
    <w:p>
      <w:pPr>
        <w:spacing w:after="0" w:line="171" w:lineRule="exact"/>
        <w:rPr>
          <w:sz w:val="20"/>
          <w:szCs w:val="20"/>
          <w:color w:val="auto"/>
        </w:rPr>
      </w:pPr>
    </w:p>
    <w:p>
      <w:pPr>
        <w:ind w:left="607" w:right="60" w:hanging="148"/>
        <w:spacing w:after="0" w:line="234" w:lineRule="auto"/>
        <w:tabs>
          <w:tab w:leader="none" w:pos="9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shares of Stock are earned with respect to the Initial Equity Award in accordance with 4(c)(i), 50% of such shares shall vest on the last day of the calendar year to which such award relates and the remaining 50% shall vest on the last day of the subsequent calendar year, subject in all cases to the Executive’s continued employment through the applicable vesting date.</w:t>
      </w:r>
    </w:p>
    <w:p>
      <w:pPr>
        <w:spacing w:after="0" w:line="176" w:lineRule="exact"/>
        <w:rPr>
          <w:rFonts w:ascii="Times New Roman" w:cs="Times New Roman" w:eastAsia="Times New Roman" w:hAnsi="Times New Roman"/>
          <w:sz w:val="18"/>
          <w:szCs w:val="18"/>
          <w:color w:val="auto"/>
        </w:rPr>
      </w:pPr>
    </w:p>
    <w:p>
      <w:pPr>
        <w:ind w:left="307" w:right="260" w:hanging="307"/>
        <w:spacing w:after="0" w:line="235" w:lineRule="auto"/>
        <w:tabs>
          <w:tab w:leader="none" w:pos="3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Benefits and Perquisites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will be eligible for all employee benefits offered by the Company to employees in similar positions.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retains the right to modify or change its benefits and compensation policy from time to time, as it deems necessary, other than those provided for Executive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987"/>
          </w:cols>
          <w:pgMar w:left="573" w:top="1440" w:right="339" w:bottom="1440" w:gutter="0" w:footer="0" w:header="0"/>
        </w:sectPr>
      </w:pPr>
    </w:p>
    <w:bookmarkStart w:id="168" w:name="page169"/>
    <w:bookmarkEnd w:id="168"/>
    <w:p>
      <w:pPr>
        <w:spacing w:after="0" w:line="232" w:lineRule="exact"/>
        <w:rPr>
          <w:sz w:val="20"/>
          <w:szCs w:val="20"/>
          <w:color w:val="auto"/>
        </w:rPr>
      </w:pPr>
    </w:p>
    <w:p>
      <w:pPr>
        <w:ind w:left="560" w:right="260"/>
        <w:spacing w:after="0" w:line="250" w:lineRule="auto"/>
        <w:rPr>
          <w:sz w:val="20"/>
          <w:szCs w:val="20"/>
          <w:color w:val="auto"/>
        </w:rPr>
      </w:pPr>
      <w:r>
        <w:rPr>
          <w:rFonts w:ascii="Times New Roman" w:cs="Times New Roman" w:eastAsia="Times New Roman" w:hAnsi="Times New Roman"/>
          <w:sz w:val="18"/>
          <w:szCs w:val="18"/>
          <w:color w:val="auto"/>
        </w:rPr>
        <w:t>in this employment agreement. The Company also retains the right to assign Executive’s employment agreement to an Affiliate, subject to the terms and conditions of this Agreement.</w:t>
      </w:r>
    </w:p>
    <w:p>
      <w:pPr>
        <w:spacing w:after="0" w:line="167" w:lineRule="exact"/>
        <w:rPr>
          <w:sz w:val="20"/>
          <w:szCs w:val="20"/>
          <w:color w:val="auto"/>
        </w:rPr>
      </w:pPr>
    </w:p>
    <w:p>
      <w:pPr>
        <w:ind w:left="560" w:hanging="307"/>
        <w:spacing w:after="0"/>
        <w:tabs>
          <w:tab w:leader="none" w:pos="5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indemnify Executive to the fullest extent permitted by law and the Company’s governing documents.</w:t>
      </w:r>
    </w:p>
    <w:p>
      <w:pPr>
        <w:spacing w:after="0" w:line="212"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p>
    <w:p>
      <w:pPr>
        <w:spacing w:after="0" w:line="216" w:lineRule="exact"/>
        <w:rPr>
          <w:rFonts w:ascii="Times New Roman" w:cs="Times New Roman" w:eastAsia="Times New Roman" w:hAnsi="Times New Roman"/>
          <w:sz w:val="18"/>
          <w:szCs w:val="18"/>
          <w:color w:val="auto"/>
        </w:rPr>
      </w:pPr>
    </w:p>
    <w:p>
      <w:pPr>
        <w:ind w:left="560" w:right="260" w:hanging="307"/>
        <w:spacing w:after="0" w:line="225" w:lineRule="auto"/>
        <w:tabs>
          <w:tab w:leader="none" w:pos="5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82" w:lineRule="exact"/>
        <w:rPr>
          <w:rFonts w:ascii="Times New Roman" w:cs="Times New Roman" w:eastAsia="Times New Roman" w:hAnsi="Times New Roman"/>
          <w:sz w:val="18"/>
          <w:szCs w:val="18"/>
          <w:color w:val="auto"/>
        </w:rPr>
      </w:pPr>
    </w:p>
    <w:p>
      <w:pPr>
        <w:ind w:left="560" w:right="100" w:hanging="307"/>
        <w:spacing w:after="0" w:line="223" w:lineRule="auto"/>
        <w:tabs>
          <w:tab w:leader="none" w:pos="55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 Executive is entitled under the terms of the applicable arrangements and/or applicable law (all of the foregoing clauses (i)-(iv) collectively, the “Accrued Obligations”).</w:t>
      </w:r>
    </w:p>
    <w:p>
      <w:pPr>
        <w:spacing w:after="0" w:line="182" w:lineRule="exact"/>
        <w:rPr>
          <w:rFonts w:ascii="Times New Roman" w:cs="Times New Roman" w:eastAsia="Times New Roman" w:hAnsi="Times New Roman"/>
          <w:sz w:val="18"/>
          <w:szCs w:val="18"/>
          <w:color w:val="auto"/>
        </w:rPr>
      </w:pPr>
    </w:p>
    <w:p>
      <w:pPr>
        <w:ind w:left="560" w:hanging="307"/>
        <w:spacing w:after="0" w:line="225" w:lineRule="auto"/>
        <w:tabs>
          <w:tab w:leader="none" w:pos="5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82" w:lineRule="exact"/>
        <w:rPr>
          <w:rFonts w:ascii="Times New Roman" w:cs="Times New Roman" w:eastAsia="Times New Roman" w:hAnsi="Times New Roman"/>
          <w:sz w:val="18"/>
          <w:szCs w:val="18"/>
          <w:color w:val="auto"/>
        </w:rPr>
      </w:pPr>
    </w:p>
    <w:p>
      <w:pPr>
        <w:ind w:left="900" w:right="80" w:hanging="152"/>
        <w:spacing w:after="0" w:line="223" w:lineRule="auto"/>
        <w:tabs>
          <w:tab w:leader="none" w:pos="89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(such amount, the “Severance Amount”), payable in a single lump sum within 30 days of the day the Release (as defined below) becomes irrevocable (or, if earlier, within five business days following irrevocability), except where payment is delayed according to the timing relating to the Release Period as set forth below or pursuant to Section 409A (as defined below) (such date, the “Severance Payment Date”);</w:t>
      </w:r>
    </w:p>
    <w:p>
      <w:pPr>
        <w:spacing w:after="0" w:line="182" w:lineRule="exact"/>
        <w:rPr>
          <w:sz w:val="20"/>
          <w:szCs w:val="20"/>
          <w:color w:val="auto"/>
        </w:rPr>
      </w:pPr>
    </w:p>
    <w:p>
      <w:pPr>
        <w:jc w:val="both"/>
        <w:ind w:left="900"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77" w:lineRule="exact"/>
        <w:rPr>
          <w:sz w:val="20"/>
          <w:szCs w:val="20"/>
          <w:color w:val="auto"/>
        </w:rPr>
      </w:pPr>
    </w:p>
    <w:p>
      <w:pPr>
        <w:ind w:left="1260" w:hanging="512"/>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Executive shall remain eligible to earn restricted shares of Stock or RSUs under his then-current Annual Equity Award in</w:t>
      </w:r>
    </w:p>
    <w:p>
      <w:pPr>
        <w:ind w:left="90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the criteria set forth in Section 4(c)(i) and, to the extent earned, the product of such earned shares multiplied by a fraction, the numerator of which is the number of calendar days the Executive was employed in the calendar year of termination, and the denominator of which is 365, shall be deemed vested on the last day of the calendar year to which such award relates,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“Equity Acceleration”);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32" w:lineRule="exact"/>
        <w:rPr>
          <w:sz w:val="20"/>
          <w:szCs w:val="20"/>
          <w:color w:val="auto"/>
        </w:rPr>
      </w:pPr>
    </w:p>
    <w:p>
      <w:pPr>
        <w:ind w:left="647" w:right="80" w:hanging="152"/>
        <w:spacing w:after="0" w:line="215" w:lineRule="auto"/>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dental, vision and life insurance benefits under the terms of the applicable Company benefit plans for (x) twelve (12) months or (y) the period from Executive’s termination of employment through the Expiration Date, whichever is longer (the “Benefits Continuation Period”), subject to Executive’s payment of the cost of such benefits to the same extent that active employees of the Company are required to pay for such benefits from time to time; provided, however, that such continuation coverage shall end earlier upon Executive’s becoming eligible for comparable coverage under another employer’s benefit plans; provided, further, that following the expiration of the Benefits Continuation Period (which was not terminated as a result of Executive becoming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w:t>
      </w:r>
    </w:p>
    <w:p>
      <w:pPr>
        <w:spacing w:after="0" w:line="3" w:lineRule="exact"/>
        <w:rPr>
          <w:rFonts w:ascii="Times New Roman" w:cs="Times New Roman" w:eastAsia="Times New Roman" w:hAnsi="Times New Roman"/>
          <w:sz w:val="18"/>
          <w:szCs w:val="18"/>
          <w:color w:val="auto"/>
        </w:rPr>
      </w:pPr>
    </w:p>
    <w:p>
      <w:pPr>
        <w:ind w:left="647" w:right="40"/>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Executive’s dependents reaching the age of 26, (Y) Executive or his spouse become eligible for Medicare, or (Z) Executive becoming eligible for comparable coverage under another employer’s benefit plans, subject to Executive’s payment of the full cost of such benefits; and provided, further, that to the extent the provision of such continuation coverage is not permitted under the terms of the Company benefit plans or would result in an adverse tax consequence to the Company, the Company may alternatively provide Executive with a cash payment (the “COBRA Cash Payment”)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provided, further, that the Company will use reasonable best efforts to continue coverage under the Company benefit plans to the extent legally possible without suffering any adverse consequences to the Company or other participants in such plans (the COBRA Cash Payment, if applicable, shall be paid in cash in a lump sum on the Severance Payment Date).</w:t>
      </w:r>
    </w:p>
    <w:p>
      <w:pPr>
        <w:spacing w:after="0" w:line="186" w:lineRule="exact"/>
        <w:rPr>
          <w:rFonts w:ascii="Times New Roman" w:cs="Times New Roman" w:eastAsia="Times New Roman" w:hAnsi="Times New Roman"/>
          <w:sz w:val="18"/>
          <w:szCs w:val="18"/>
          <w:color w:val="auto"/>
        </w:rPr>
      </w:pPr>
    </w:p>
    <w:p>
      <w:pPr>
        <w:ind w:left="307" w:hanging="307"/>
        <w:spacing w:after="0" w:line="223" w:lineRule="auto"/>
        <w:tabs>
          <w:tab w:leader="none" w:pos="3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82" w:lineRule="exact"/>
        <w:rPr>
          <w:rFonts w:ascii="Times New Roman" w:cs="Times New Roman" w:eastAsia="Times New Roman" w:hAnsi="Times New Roman"/>
          <w:sz w:val="18"/>
          <w:szCs w:val="18"/>
          <w:color w:val="auto"/>
        </w:rPr>
      </w:pPr>
    </w:p>
    <w:p>
      <w:pPr>
        <w:jc w:val="both"/>
        <w:ind w:left="647" w:right="340" w:hanging="152"/>
        <w:spacing w:after="0" w:line="234" w:lineRule="auto"/>
        <w:tabs>
          <w:tab w:leader="none" w:pos="6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and a half (2.5) times the sum of (x) Executive’s Base Salary and (y) the Annual Bonus (including any amounts deferred or satisfied through the grant of equity awards) most recently awarded to Executive for completed fiscal years of the Company (collectively, the “CIC Severance Amount”) payable in a single lump sum on the Severance Payment Date;</w:t>
      </w:r>
    </w:p>
    <w:p>
      <w:pPr>
        <w:spacing w:after="0" w:line="180" w:lineRule="exact"/>
        <w:rPr>
          <w:sz w:val="20"/>
          <w:szCs w:val="20"/>
          <w:color w:val="auto"/>
        </w:rPr>
      </w:pPr>
    </w:p>
    <w:p>
      <w:pPr>
        <w:jc w:val="both"/>
        <w:ind w:left="647"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80" w:lineRule="exact"/>
        <w:rPr>
          <w:sz w:val="20"/>
          <w:szCs w:val="20"/>
          <w:color w:val="auto"/>
        </w:rPr>
      </w:pPr>
    </w:p>
    <w:p>
      <w:pPr>
        <w:ind w:left="647" w:right="40" w:hanging="152"/>
        <w:spacing w:after="0" w:line="223" w:lineRule="auto"/>
        <w:tabs>
          <w:tab w:leader="none" w:pos="10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“CIC Equity Acceleration”; and</w:t>
      </w:r>
    </w:p>
    <w:p>
      <w:pPr>
        <w:spacing w:after="0" w:line="182" w:lineRule="exact"/>
        <w:rPr>
          <w:rFonts w:ascii="Times New Roman" w:cs="Times New Roman" w:eastAsia="Times New Roman" w:hAnsi="Times New Roman"/>
          <w:sz w:val="18"/>
          <w:szCs w:val="18"/>
          <w:color w:val="auto"/>
        </w:rPr>
      </w:pPr>
    </w:p>
    <w:p>
      <w:pPr>
        <w:ind w:left="647" w:right="160" w:hanging="152"/>
        <w:spacing w:after="0" w:line="250"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described in Section 5(c)(iv) above, except that the Benefits Continuation Period shall be extended to (x) twenty-four (24) months or (y) the period from Executive’s termination of employment through the Expiration Date, whichever is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87"/>
          </w:cols>
          <w:pgMar w:left="573" w:top="1440" w:right="339" w:bottom="1440" w:gutter="0" w:footer="0" w:header="0"/>
        </w:sectPr>
      </w:pPr>
    </w:p>
    <w:bookmarkStart w:id="170" w:name="page171"/>
    <w:bookmarkEnd w:id="170"/>
    <w:p>
      <w:pPr>
        <w:spacing w:after="0" w:line="232" w:lineRule="exact"/>
        <w:rPr>
          <w:sz w:val="20"/>
          <w:szCs w:val="20"/>
          <w:color w:val="auto"/>
        </w:rPr>
      </w:pPr>
    </w:p>
    <w:p>
      <w:pPr>
        <w:ind w:left="560" w:right="720" w:hanging="307"/>
        <w:spacing w:after="0" w:line="250" w:lineRule="auto"/>
        <w:tabs>
          <w:tab w:leader="none" w:pos="5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all payments owed to the Executive under Section 5 of this Agreement will be paid in a single lump sum on the Severance Payment Date.</w:t>
      </w:r>
    </w:p>
    <w:p>
      <w:pPr>
        <w:spacing w:after="0" w:line="171" w:lineRule="exact"/>
        <w:rPr>
          <w:rFonts w:ascii="Times New Roman" w:cs="Times New Roman" w:eastAsia="Times New Roman" w:hAnsi="Times New Roman"/>
          <w:sz w:val="18"/>
          <w:szCs w:val="18"/>
          <w:color w:val="auto"/>
        </w:rPr>
      </w:pPr>
    </w:p>
    <w:p>
      <w:pPr>
        <w:ind w:left="560" w:right="120" w:hanging="307"/>
        <w:spacing w:after="0" w:line="228" w:lineRule="auto"/>
        <w:tabs>
          <w:tab w:leader="none" w:pos="55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Executive’s employment is terminated prior to a Change in Control but material steps have been taken at the time of such termination and such Change of Control actually occurs, in the event that Executive receives the Severance Amount or the Equity Acceleration prior to the occurrence of the Change in Control, then any such amounts paid prior to the Change in Control shall reduce the amount required to be paid pursuant to CIC Severance Amount or the CIC Equity Acceleration, respectively.</w:t>
      </w:r>
    </w:p>
    <w:p>
      <w:pPr>
        <w:spacing w:after="0" w:line="182" w:lineRule="exact"/>
        <w:rPr>
          <w:rFonts w:ascii="Times New Roman" w:cs="Times New Roman" w:eastAsia="Times New Roman" w:hAnsi="Times New Roman"/>
          <w:sz w:val="18"/>
          <w:szCs w:val="18"/>
          <w:color w:val="auto"/>
        </w:rPr>
      </w:pPr>
    </w:p>
    <w:p>
      <w:pPr>
        <w:ind w:left="560" w:right="40" w:hanging="307"/>
        <w:spacing w:after="0" w:line="223" w:lineRule="auto"/>
        <w:tabs>
          <w:tab w:leader="none" w:pos="5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Such release and waiver must be executed and become irrevocable within sixty (60) days following the date Executive’s employment ends (the “Release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82" w:lineRule="exact"/>
        <w:rPr>
          <w:rFonts w:ascii="Times New Roman" w:cs="Times New Roman" w:eastAsia="Times New Roman" w:hAnsi="Times New Roman"/>
          <w:sz w:val="18"/>
          <w:szCs w:val="18"/>
          <w:color w:val="auto"/>
        </w:rPr>
      </w:pPr>
    </w:p>
    <w:p>
      <w:pPr>
        <w:ind w:left="560" w:right="20" w:hanging="307"/>
        <w:spacing w:after="0" w:line="225" w:lineRule="auto"/>
        <w:tabs>
          <w:tab w:leader="none" w:pos="5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280G Matters.</w:t>
      </w:r>
    </w:p>
    <w:p>
      <w:pPr>
        <w:spacing w:after="0" w:line="216" w:lineRule="exact"/>
        <w:rPr>
          <w:rFonts w:ascii="Times New Roman" w:cs="Times New Roman" w:eastAsia="Times New Roman" w:hAnsi="Times New Roman"/>
          <w:sz w:val="18"/>
          <w:szCs w:val="18"/>
          <w:color w:val="auto"/>
        </w:rPr>
      </w:pPr>
    </w:p>
    <w:p>
      <w:pPr>
        <w:ind w:left="560" w:right="220" w:hanging="307"/>
        <w:spacing w:after="0" w:line="228" w:lineRule="auto"/>
        <w:tabs>
          <w:tab w:leader="none" w:pos="55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33" w:lineRule="exact"/>
        <w:rPr>
          <w:sz w:val="20"/>
          <w:szCs w:val="20"/>
          <w:color w:val="auto"/>
        </w:rPr>
      </w:pPr>
    </w:p>
    <w:p>
      <w:pPr>
        <w:ind w:left="560" w:right="80" w:hanging="307"/>
        <w:spacing w:after="0" w:line="220" w:lineRule="auto"/>
        <w:tabs>
          <w:tab w:leader="none" w:pos="55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pacing w:after="0" w:line="184" w:lineRule="exact"/>
        <w:rPr>
          <w:rFonts w:ascii="Times New Roman" w:cs="Times New Roman" w:eastAsia="Times New Roman" w:hAnsi="Times New Roman"/>
          <w:sz w:val="18"/>
          <w:szCs w:val="18"/>
          <w:color w:val="auto"/>
        </w:rPr>
      </w:pPr>
    </w:p>
    <w:p>
      <w:pPr>
        <w:ind w:left="560" w:right="40" w:hanging="307"/>
        <w:spacing w:after="0" w:line="217" w:lineRule="auto"/>
        <w:tabs>
          <w:tab w:leader="none" w:pos="55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 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 Paragraph shall be borne by the Company.</w:t>
      </w:r>
    </w:p>
    <w:p>
      <w:pPr>
        <w:spacing w:after="0" w:line="178" w:lineRule="exact"/>
        <w:rPr>
          <w:rFonts w:ascii="Times New Roman" w:cs="Times New Roman" w:eastAsia="Times New Roman" w:hAnsi="Times New Roman"/>
          <w:sz w:val="18"/>
          <w:szCs w:val="18"/>
          <w:color w:val="auto"/>
        </w:rPr>
      </w:pPr>
    </w:p>
    <w:p>
      <w:pPr>
        <w:ind w:left="560" w:hanging="307"/>
        <w:spacing w:after="0" w:line="216" w:lineRule="auto"/>
        <w:tabs>
          <w:tab w:leader="none" w:pos="55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Definitions</w:t>
      </w:r>
      <w:r>
        <w:rPr>
          <w:rFonts w:ascii="Times New Roman" w:cs="Times New Roman" w:eastAsia="Times New Roman" w:hAnsi="Times New Roman"/>
          <w:sz w:val="18"/>
          <w:szCs w:val="18"/>
          <w:color w:val="auto"/>
        </w:rPr>
        <w:t>. The following terms shall have the following meanings for purposes of this Paragraph. (1) A “Payment” shall mean any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83" w:lineRule="exact"/>
        <w:rPr>
          <w:rFonts w:ascii="Times New Roman" w:cs="Times New Roman" w:eastAsia="Times New Roman" w:hAnsi="Times New Roman"/>
          <w:sz w:val="18"/>
          <w:szCs w:val="18"/>
          <w:color w:val="auto"/>
        </w:rPr>
      </w:pPr>
    </w:p>
    <w:p>
      <w:pPr>
        <w:ind w:left="320" w:right="540" w:hanging="315"/>
        <w:spacing w:after="0" w:line="254" w:lineRule="auto"/>
        <w:tabs>
          <w:tab w:leader="none" w:pos="3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Mutual Arbitration. </w:t>
      </w:r>
      <w:r>
        <w:rPr>
          <w:rFonts w:ascii="Times New Roman" w:cs="Times New Roman" w:eastAsia="Times New Roman" w:hAnsi="Times New Roman"/>
          <w:sz w:val="18"/>
          <w:szCs w:val="18"/>
          <w:color w:val="auto"/>
        </w:rPr>
        <w:t>Executive and the Company both knowingly and voluntarily agree to a pre-dispute arbitration clause so that should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controversy or dispute arise in connection with Executive’s</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33" w:lineRule="exact"/>
        <w:rPr>
          <w:sz w:val="20"/>
          <w:szCs w:val="20"/>
          <w:color w:val="auto"/>
        </w:rPr>
      </w:pPr>
    </w:p>
    <w:p>
      <w:pPr>
        <w:ind w:left="315"/>
        <w:spacing w:after="0" w:line="232" w:lineRule="auto"/>
        <w:rPr>
          <w:sz w:val="20"/>
          <w:szCs w:val="20"/>
          <w:color w:val="auto"/>
        </w:rPr>
      </w:pPr>
      <w:r>
        <w:rPr>
          <w:rFonts w:ascii="Times New Roman" w:cs="Times New Roman" w:eastAsia="Times New Roman" w:hAnsi="Times New Roman"/>
          <w:sz w:val="18"/>
          <w:szCs w:val="18"/>
          <w:color w:val="auto"/>
        </w:rPr>
        <w:t>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 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81" w:lineRule="exact"/>
        <w:rPr>
          <w:sz w:val="20"/>
          <w:szCs w:val="20"/>
          <w:color w:val="auto"/>
        </w:rPr>
      </w:pPr>
    </w:p>
    <w:p>
      <w:pPr>
        <w:jc w:val="both"/>
        <w:ind w:left="315" w:right="180" w:hanging="315"/>
        <w:spacing w:after="0" w:line="235" w:lineRule="auto"/>
        <w:tabs>
          <w:tab w:leader="none" w:pos="3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Offset and Mitigation. </w:t>
      </w:r>
      <w:r>
        <w:rPr>
          <w:rFonts w:ascii="Times New Roman" w:cs="Times New Roman" w:eastAsia="Times New Roman" w:hAnsi="Times New Roman"/>
          <w:sz w:val="18"/>
          <w:szCs w:val="18"/>
          <w:color w:val="auto"/>
        </w:rPr>
        <w:t>No payments due Executive hereunder shall be subject to any offset for obligations owed by Executive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77" w:lineRule="exact"/>
        <w:rPr>
          <w:rFonts w:ascii="Times New Roman" w:cs="Times New Roman" w:eastAsia="Times New Roman" w:hAnsi="Times New Roman"/>
          <w:sz w:val="18"/>
          <w:szCs w:val="18"/>
          <w:color w:val="auto"/>
        </w:rPr>
      </w:pPr>
    </w:p>
    <w:p>
      <w:pPr>
        <w:ind w:left="315" w:hanging="315"/>
        <w:spacing w:after="0" w:line="220"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Executive acknowledges and agrees that Executive shall continue to be bound by the restrictive covenants to which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presently bound, including those set forth in the Proprietary Agreement (as defined below) (collectively, the “Restrictive Covenants”), in accordance with the terms and conditions thereof;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78" w:lineRule="exact"/>
        <w:rPr>
          <w:rFonts w:ascii="Times New Roman" w:cs="Times New Roman" w:eastAsia="Times New Roman" w:hAnsi="Times New Roman"/>
          <w:sz w:val="18"/>
          <w:szCs w:val="18"/>
          <w:color w:val="auto"/>
        </w:rPr>
      </w:pPr>
    </w:p>
    <w:p>
      <w:pPr>
        <w:ind w:left="315" w:right="100" w:hanging="315"/>
        <w:spacing w:after="0" w:line="222"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Property. </w:t>
      </w:r>
      <w:r>
        <w:rPr>
          <w:rFonts w:ascii="Times New Roman" w:cs="Times New Roman" w:eastAsia="Times New Roman" w:hAnsi="Times New Roman"/>
          <w:sz w:val="18"/>
          <w:szCs w:val="18"/>
          <w:color w:val="auto"/>
        </w:rPr>
        <w:t>Executive acknowledges that all notes, memoranda, specifications, devices, formulas, records, files, lists, drawings,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shall be permitted to retain a copy of his contacts/rolodex, including in electronic form.</w:t>
      </w:r>
    </w:p>
    <w:p>
      <w:pPr>
        <w:spacing w:after="0" w:line="192" w:lineRule="exact"/>
        <w:rPr>
          <w:rFonts w:ascii="Times New Roman" w:cs="Times New Roman" w:eastAsia="Times New Roman" w:hAnsi="Times New Roman"/>
          <w:sz w:val="18"/>
          <w:szCs w:val="18"/>
          <w:color w:val="auto"/>
        </w:rPr>
      </w:pPr>
    </w:p>
    <w:p>
      <w:pPr>
        <w:ind w:left="315" w:right="140" w:hanging="315"/>
        <w:spacing w:after="0" w:line="220" w:lineRule="auto"/>
        <w:tabs>
          <w:tab w:leader="none" w:pos="29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Remedies and Injunctive Relief. </w:t>
      </w:r>
      <w:r>
        <w:rPr>
          <w:rFonts w:ascii="Times New Roman" w:cs="Times New Roman" w:eastAsia="Times New Roman" w:hAnsi="Times New Roman"/>
          <w:sz w:val="18"/>
          <w:szCs w:val="18"/>
          <w:color w:val="auto"/>
        </w:rPr>
        <w:t>Executive acknowledges that a violation by Executive of any of the covenants contained in Sections 9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135"/>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35"/>
          </w:cols>
          <w:pgMar w:left="325" w:top="1440" w:right="339" w:bottom="1440" w:gutter="0" w:footer="0" w:header="0"/>
        </w:sectPr>
      </w:pPr>
    </w:p>
    <w:bookmarkStart w:id="173" w:name="page174"/>
    <w:bookmarkEnd w:id="173"/>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that the Company may have for damages under this Agreement or otherwise, and all of the Company’s rights shall be unrestricted.</w:t>
      </w:r>
    </w:p>
    <w:p>
      <w:pPr>
        <w:spacing w:after="0" w:line="208" w:lineRule="exact"/>
        <w:rPr>
          <w:sz w:val="20"/>
          <w:szCs w:val="20"/>
          <w:color w:val="auto"/>
        </w:rPr>
      </w:pPr>
    </w:p>
    <w:p>
      <w:pPr>
        <w:ind w:left="320" w:hanging="315"/>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Executive; Advice of Counsel.</w:t>
      </w:r>
    </w:p>
    <w:p>
      <w:pPr>
        <w:spacing w:after="0" w:line="216" w:lineRule="exact"/>
        <w:rPr>
          <w:rFonts w:ascii="Times New Roman" w:cs="Times New Roman" w:eastAsia="Times New Roman" w:hAnsi="Times New Roman"/>
          <w:sz w:val="18"/>
          <w:szCs w:val="18"/>
          <w:color w:val="auto"/>
        </w:rPr>
      </w:pPr>
    </w:p>
    <w:p>
      <w:pPr>
        <w:ind w:left="560" w:right="240" w:hanging="319"/>
        <w:spacing w:after="0" w:line="225" w:lineRule="auto"/>
        <w:tabs>
          <w:tab w:leader="none" w:pos="5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2" w:lineRule="exact"/>
        <w:rPr>
          <w:rFonts w:ascii="Times New Roman" w:cs="Times New Roman" w:eastAsia="Times New Roman" w:hAnsi="Times New Roman"/>
          <w:sz w:val="18"/>
          <w:szCs w:val="18"/>
          <w:color w:val="auto"/>
        </w:rPr>
      </w:pPr>
    </w:p>
    <w:p>
      <w:pPr>
        <w:ind w:left="560" w:right="80" w:hanging="319"/>
        <w:spacing w:after="0" w:line="223" w:lineRule="auto"/>
        <w:tabs>
          <w:tab w:leader="none" w:pos="55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18"/>
          <w:szCs w:val="18"/>
          <w:color w:val="auto"/>
        </w:rPr>
      </w:pPr>
    </w:p>
    <w:p>
      <w:pPr>
        <w:ind w:left="320" w:right="20" w:hanging="315"/>
        <w:spacing w:after="0" w:line="221" w:lineRule="auto"/>
        <w:tabs>
          <w:tab w:leader="none" w:pos="3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78" w:lineRule="exact"/>
        <w:rPr>
          <w:rFonts w:ascii="Times New Roman" w:cs="Times New Roman" w:eastAsia="Times New Roman" w:hAnsi="Times New Roman"/>
          <w:sz w:val="18"/>
          <w:szCs w:val="18"/>
          <w:color w:val="auto"/>
        </w:rPr>
      </w:pPr>
    </w:p>
    <w:p>
      <w:pPr>
        <w:ind w:left="320" w:right="40" w:hanging="315"/>
        <w:spacing w:after="0" w:line="254" w:lineRule="auto"/>
        <w:tabs>
          <w:tab w:leader="none" w:pos="3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deduct and withhold from any amounts payable under this Agreement such Federal, state, local, non-U.S.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as are required to be withheld pursuant to any applicable law or regulation.</w:t>
      </w:r>
    </w:p>
    <w:p>
      <w:pPr>
        <w:spacing w:after="0" w:line="1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16" w:lineRule="exact"/>
        <w:rPr>
          <w:rFonts w:ascii="Times New Roman" w:cs="Times New Roman" w:eastAsia="Times New Roman" w:hAnsi="Times New Roman"/>
          <w:sz w:val="18"/>
          <w:szCs w:val="18"/>
          <w:color w:val="auto"/>
        </w:rPr>
      </w:pPr>
    </w:p>
    <w:p>
      <w:pPr>
        <w:ind w:left="640" w:right="20" w:hanging="321"/>
        <w:spacing w:after="0" w:line="228" w:lineRule="auto"/>
        <w:tabs>
          <w:tab w:leader="none" w:pos="63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pacing w:after="0" w:line="182" w:lineRule="exact"/>
        <w:rPr>
          <w:rFonts w:ascii="Times New Roman" w:cs="Times New Roman" w:eastAsia="Times New Roman" w:hAnsi="Times New Roman"/>
          <w:sz w:val="18"/>
          <w:szCs w:val="18"/>
          <w:color w:val="auto"/>
        </w:rPr>
      </w:pPr>
    </w:p>
    <w:p>
      <w:pPr>
        <w:ind w:left="640" w:right="20" w:hanging="321"/>
        <w:spacing w:after="0" w:line="219" w:lineRule="auto"/>
        <w:tabs>
          <w:tab w:leader="none" w:pos="63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33" w:lineRule="exact"/>
        <w:rPr>
          <w:sz w:val="20"/>
          <w:szCs w:val="20"/>
          <w:color w:val="auto"/>
        </w:rPr>
      </w:pPr>
    </w:p>
    <w:p>
      <w:pPr>
        <w:ind w:left="635" w:right="400" w:hanging="321"/>
        <w:spacing w:after="0" w:line="250" w:lineRule="auto"/>
        <w:tabs>
          <w:tab w:leader="none" w:pos="63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67" w:lineRule="exact"/>
        <w:rPr>
          <w:rFonts w:ascii="Times New Roman" w:cs="Times New Roman" w:eastAsia="Times New Roman" w:hAnsi="Times New Roman"/>
          <w:sz w:val="18"/>
          <w:szCs w:val="18"/>
          <w:color w:val="auto"/>
        </w:rPr>
      </w:pPr>
    </w:p>
    <w:p>
      <w:pPr>
        <w:ind w:left="315" w:right="240" w:hanging="315"/>
        <w:spacing w:after="0" w:line="226" w:lineRule="auto"/>
        <w:tabs>
          <w:tab w:leader="none" w:pos="3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No Construction Against Drafter. </w:t>
      </w:r>
      <w:r>
        <w:rPr>
          <w:rFonts w:ascii="Times New Roman" w:cs="Times New Roman" w:eastAsia="Times New Roman" w:hAnsi="Times New Roman"/>
          <w:sz w:val="18"/>
          <w:szCs w:val="18"/>
          <w:color w:val="auto"/>
        </w:rPr>
        <w:t>This Agreement shall be deemed to be made in the State of New York, and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78" w:lineRule="exact"/>
        <w:rPr>
          <w:sz w:val="20"/>
          <w:szCs w:val="20"/>
          <w:color w:val="auto"/>
        </w:rPr>
      </w:pPr>
    </w:p>
    <w:p>
      <w:pPr>
        <w:ind w:left="75"/>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Amendment; No Waiver; Severability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35" w:right="20" w:hanging="321"/>
        <w:spacing w:after="0" w:line="223" w:lineRule="auto"/>
        <w:tabs>
          <w:tab w:leader="none" w:pos="63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2" w:lineRule="exact"/>
        <w:rPr>
          <w:rFonts w:ascii="Times New Roman" w:cs="Times New Roman" w:eastAsia="Times New Roman" w:hAnsi="Times New Roman"/>
          <w:sz w:val="18"/>
          <w:szCs w:val="18"/>
          <w:color w:val="auto"/>
        </w:rPr>
      </w:pPr>
    </w:p>
    <w:p>
      <w:pPr>
        <w:ind w:left="635" w:right="80" w:hanging="321"/>
        <w:spacing w:after="0" w:line="219" w:lineRule="auto"/>
        <w:tabs>
          <w:tab w:leader="none" w:pos="62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6" w:lineRule="exact"/>
        <w:rPr>
          <w:rFonts w:ascii="Times New Roman" w:cs="Times New Roman" w:eastAsia="Times New Roman" w:hAnsi="Times New Roman"/>
          <w:sz w:val="18"/>
          <w:szCs w:val="18"/>
          <w:color w:val="auto"/>
        </w:rPr>
      </w:pPr>
    </w:p>
    <w:p>
      <w:pPr>
        <w:ind w:left="315" w:hanging="315"/>
        <w:spacing w:after="0" w:line="222" w:lineRule="auto"/>
        <w:tabs>
          <w:tab w:leader="none" w:pos="3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and understanding between the Company and Executive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April 17, 2019, the letter agreements dated on April 17, 2019, July 3, 2019 and September 3, 2019,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w:t>
      </w:r>
    </w:p>
    <w:p>
      <w:pPr>
        <w:spacing w:after="0" w:line="179" w:lineRule="exact"/>
        <w:rPr>
          <w:rFonts w:ascii="Times New Roman" w:cs="Times New Roman" w:eastAsia="Times New Roman" w:hAnsi="Times New Roman"/>
          <w:sz w:val="18"/>
          <w:szCs w:val="18"/>
          <w:color w:val="auto"/>
        </w:rPr>
      </w:pPr>
    </w:p>
    <w:p>
      <w:pPr>
        <w:ind w:left="315" w:right="240" w:hanging="315"/>
        <w:spacing w:after="0" w:line="230" w:lineRule="auto"/>
        <w:tabs>
          <w:tab w:leader="none" w:pos="3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rights and obligations of the parties under the provisions of this Agreement shall survive, and remain binding and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5" w:lineRule="exact"/>
        <w:rPr>
          <w:rFonts w:ascii="Times New Roman" w:cs="Times New Roman" w:eastAsia="Times New Roman" w:hAnsi="Times New Roman"/>
          <w:sz w:val="18"/>
          <w:szCs w:val="18"/>
          <w:color w:val="auto"/>
        </w:rPr>
      </w:pPr>
    </w:p>
    <w:p>
      <w:pPr>
        <w:ind w:left="315" w:right="140" w:hanging="315"/>
        <w:spacing w:after="0" w:line="230" w:lineRule="auto"/>
        <w:tabs>
          <w:tab w:leader="none" w:pos="3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or other communications required or permitted to be given hereunder shall be in writing and shall be delivered by hand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35"/>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35"/>
          </w:cols>
          <w:pgMar w:left="325" w:top="1440" w:right="339" w:bottom="1440" w:gutter="0" w:footer="0" w:header="0"/>
        </w:sectPr>
      </w:pPr>
    </w:p>
    <w:bookmarkStart w:id="175" w:name="page176"/>
    <w:bookmarkEnd w:id="175"/>
    <w:p>
      <w:pPr>
        <w:spacing w:after="0" w:line="200" w:lineRule="exact"/>
        <w:rPr>
          <w:sz w:val="20"/>
          <w:szCs w:val="20"/>
          <w:color w:val="auto"/>
        </w:rPr>
      </w:pPr>
    </w:p>
    <w:p>
      <w:pPr>
        <w:spacing w:after="0" w:line="265" w:lineRule="exact"/>
        <w:rPr>
          <w:sz w:val="20"/>
          <w:szCs w:val="20"/>
          <w:color w:val="auto"/>
        </w:rPr>
      </w:pPr>
    </w:p>
    <w:p>
      <w:pPr>
        <w:ind w:left="941"/>
        <w:spacing w:after="0"/>
        <w:tabs>
          <w:tab w:leader="none" w:pos="286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8"/>
          <w:szCs w:val="18"/>
          <w:color w:val="auto"/>
        </w:rPr>
        <w:t>Virtu Financial</w:t>
      </w:r>
    </w:p>
    <w:p>
      <w:pPr>
        <w:ind w:left="1861"/>
        <w:spacing w:after="0" w:line="182" w:lineRule="auto"/>
        <w:rPr>
          <w:sz w:val="20"/>
          <w:szCs w:val="20"/>
          <w:color w:val="auto"/>
        </w:rPr>
      </w:pPr>
      <w:r>
        <w:rPr>
          <w:rFonts w:ascii="Times New Roman" w:cs="Times New Roman" w:eastAsia="Times New Roman" w:hAnsi="Times New Roman"/>
          <w:sz w:val="17"/>
          <w:szCs w:val="17"/>
          <w:color w:val="auto"/>
        </w:rPr>
        <w:t>1633 Broadway, 41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7"/>
          <w:szCs w:val="17"/>
          <w:color w:val="auto"/>
        </w:rPr>
        <w:t xml:space="preserve"> Floor</w:t>
      </w:r>
    </w:p>
    <w:p>
      <w:pPr>
        <w:ind w:left="1861"/>
        <w:spacing w:after="0" w:line="212" w:lineRule="auto"/>
        <w:rPr>
          <w:sz w:val="20"/>
          <w:szCs w:val="20"/>
          <w:color w:val="auto"/>
        </w:rPr>
      </w:pPr>
      <w:r>
        <w:rPr>
          <w:rFonts w:ascii="Times New Roman" w:cs="Times New Roman" w:eastAsia="Times New Roman" w:hAnsi="Times New Roman"/>
          <w:sz w:val="18"/>
          <w:szCs w:val="18"/>
          <w:color w:val="auto"/>
        </w:rPr>
        <w:t>New York, NY 10019</w:t>
      </w:r>
    </w:p>
    <w:p>
      <w:pPr>
        <w:ind w:left="1841"/>
        <w:spacing w:after="0" w:line="213" w:lineRule="auto"/>
        <w:rPr>
          <w:sz w:val="20"/>
          <w:szCs w:val="20"/>
          <w:color w:val="auto"/>
        </w:rPr>
      </w:pPr>
      <w:r>
        <w:rPr>
          <w:rFonts w:ascii="Times New Roman" w:cs="Times New Roman" w:eastAsia="Times New Roman" w:hAnsi="Times New Roman"/>
          <w:sz w:val="18"/>
          <w:szCs w:val="18"/>
          <w:color w:val="auto"/>
        </w:rPr>
        <w:t>Attn: Legal Department</w:t>
      </w:r>
    </w:p>
    <w:p>
      <w:pPr>
        <w:ind w:left="1861"/>
        <w:spacing w:after="0"/>
        <w:rPr>
          <w:sz w:val="20"/>
          <w:szCs w:val="20"/>
          <w:color w:val="auto"/>
        </w:rPr>
      </w:pPr>
      <w:r>
        <w:rPr>
          <w:rFonts w:ascii="Times New Roman" w:cs="Times New Roman" w:eastAsia="Times New Roman" w:hAnsi="Times New Roman"/>
          <w:sz w:val="18"/>
          <w:szCs w:val="18"/>
          <w:color w:val="auto"/>
        </w:rPr>
        <w:t>E-mail: Legal @virtu.com</w:t>
      </w:r>
    </w:p>
    <w:p>
      <w:pPr>
        <w:spacing w:after="0" w:line="189" w:lineRule="exact"/>
        <w:rPr>
          <w:sz w:val="20"/>
          <w:szCs w:val="20"/>
          <w:color w:val="auto"/>
        </w:rPr>
      </w:pPr>
    </w:p>
    <w:p>
      <w:pPr>
        <w:ind w:left="941"/>
        <w:spacing w:after="0"/>
        <w:tabs>
          <w:tab w:leader="none" w:pos="2280" w:val="left"/>
        </w:tabs>
        <w:rPr>
          <w:sz w:val="20"/>
          <w:szCs w:val="20"/>
          <w:color w:val="auto"/>
        </w:rPr>
      </w:pPr>
      <w:r>
        <w:rPr>
          <w:rFonts w:ascii="Times New Roman" w:cs="Times New Roman" w:eastAsia="Times New Roman" w:hAnsi="Times New Roman"/>
          <w:sz w:val="18"/>
          <w:szCs w:val="18"/>
          <w:color w:val="auto"/>
        </w:rPr>
        <w:t>If to Executive:</w:t>
        <w:tab/>
        <w:t>At the most recent address on file in the</w:t>
      </w:r>
    </w:p>
    <w:p>
      <w:pPr>
        <w:ind w:left="4081"/>
        <w:spacing w:after="0"/>
        <w:rPr>
          <w:sz w:val="20"/>
          <w:szCs w:val="20"/>
          <w:color w:val="auto"/>
        </w:rPr>
      </w:pPr>
      <w:r>
        <w:rPr>
          <w:rFonts w:ascii="Times New Roman" w:cs="Times New Roman" w:eastAsia="Times New Roman" w:hAnsi="Times New Roman"/>
          <w:sz w:val="18"/>
          <w:szCs w:val="18"/>
          <w:color w:val="auto"/>
        </w:rPr>
        <w:t>Company’s records</w:t>
      </w:r>
    </w:p>
    <w:p>
      <w:pPr>
        <w:spacing w:after="0" w:line="192"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Notices delivered by email shall have the same legal effect as if such notice had been delivered in person.</w:t>
      </w:r>
    </w:p>
    <w:p>
      <w:pPr>
        <w:spacing w:after="0" w:line="208" w:lineRule="exact"/>
        <w:rPr>
          <w:sz w:val="20"/>
          <w:szCs w:val="20"/>
          <w:color w:val="auto"/>
        </w:rPr>
      </w:pPr>
    </w:p>
    <w:p>
      <w:pPr>
        <w:ind w:left="321" w:right="80" w:hanging="321"/>
        <w:spacing w:after="0" w:line="235" w:lineRule="auto"/>
        <w:tabs>
          <w:tab w:leader="none" w:pos="3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and References. </w:t>
      </w:r>
      <w:r>
        <w:rPr>
          <w:rFonts w:ascii="Times New Roman" w:cs="Times New Roman" w:eastAsia="Times New Roman" w:hAnsi="Times New Roman"/>
          <w:sz w:val="18"/>
          <w:szCs w:val="18"/>
          <w:color w:val="auto"/>
        </w:rPr>
        <w:t>The headings of this Agreement are inserted for convenience only and neither constitute a part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affect in any way the meaning or interpretation of this Agreement. When a reference in this Agreement is made to a Section, such reference shall be to a Section of this Agreement unless otherwise indicated.</w:t>
      </w:r>
    </w:p>
    <w:p>
      <w:pPr>
        <w:spacing w:after="0" w:line="177" w:lineRule="exact"/>
        <w:rPr>
          <w:rFonts w:ascii="Times New Roman" w:cs="Times New Roman" w:eastAsia="Times New Roman" w:hAnsi="Times New Roman"/>
          <w:sz w:val="18"/>
          <w:szCs w:val="18"/>
          <w:color w:val="auto"/>
        </w:rPr>
      </w:pPr>
    </w:p>
    <w:p>
      <w:pPr>
        <w:jc w:val="both"/>
        <w:ind w:left="321" w:right="40" w:hanging="321"/>
        <w:spacing w:after="0" w:line="235" w:lineRule="auto"/>
        <w:tabs>
          <w:tab w:leader="none" w:pos="3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(including via facsimile and electronic image scan (.pdf)),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921"/>
          </w:cols>
          <w:pgMar w:left="639" w:top="1440" w:right="3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duly executed by the parties as of the date first written above.</w:t>
      </w: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989965" cy="33274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989965" cy="332740"/>
                    </a:xfrm>
                    <a:prstGeom prst="rect">
                      <a:avLst/>
                    </a:prstGeom>
                    <a:noFill/>
                    <a:ln>
                      <a:noFill/>
                    </a:ln>
                  </pic:spPr>
                </pic:pic>
              </a:graphicData>
            </a:graphic>
          </wp:inline>
        </w:drawing>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Douglas A. Cifu</w:t>
      </w:r>
    </w:p>
    <w:p>
      <w:pPr>
        <w:ind w:left="3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596265</wp:posOffset>
            </wp:positionV>
            <wp:extent cx="1214120" cy="6985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1214120"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By:</w:t>
      </w:r>
    </w:p>
    <w:p>
      <w:pPr>
        <w:ind w:left="3140"/>
        <w:spacing w:after="0"/>
        <w:rPr>
          <w:sz w:val="20"/>
          <w:szCs w:val="20"/>
          <w:color w:val="auto"/>
        </w:rPr>
      </w:pPr>
      <w:r>
        <w:rPr>
          <w:rFonts w:ascii="Times New Roman" w:cs="Times New Roman" w:eastAsia="Times New Roman" w:hAnsi="Times New Roman"/>
          <w:sz w:val="18"/>
          <w:szCs w:val="18"/>
          <w:color w:val="auto"/>
        </w:rPr>
        <w:t>Name: Brett Fairclough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00"/>
          </w:cols>
          <w:pgMar w:left="960" w:top="1440" w:right="339" w:bottom="1440" w:gutter="0" w:footer="0" w:header="0"/>
        </w:sectPr>
      </w:pPr>
    </w:p>
    <w:bookmarkStart w:id="177" w:name="page178"/>
    <w:bookmarkEnd w:id="177"/>
    <w:p>
      <w:pPr>
        <w:spacing w:after="0" w:line="200" w:lineRule="exact"/>
        <w:rPr>
          <w:sz w:val="20"/>
          <w:szCs w:val="20"/>
          <w:color w:val="auto"/>
        </w:rPr>
      </w:pPr>
    </w:p>
    <w:p>
      <w:pPr>
        <w:spacing w:after="0" w:line="268" w:lineRule="exact"/>
        <w:rPr>
          <w:sz w:val="20"/>
          <w:szCs w:val="20"/>
          <w:color w:val="auto"/>
        </w:rPr>
      </w:pPr>
    </w:p>
    <w:p>
      <w:pPr>
        <w:ind w:right="300" w:firstLine="629"/>
        <w:spacing w:after="0" w:line="234" w:lineRule="auto"/>
        <w:rPr>
          <w:sz w:val="20"/>
          <w:szCs w:val="20"/>
          <w:color w:val="auto"/>
        </w:rPr>
      </w:pPr>
      <w:r>
        <w:rPr>
          <w:rFonts w:ascii="Times New Roman" w:cs="Times New Roman" w:eastAsia="Times New Roman" w:hAnsi="Times New Roman"/>
          <w:sz w:val="18"/>
          <w:szCs w:val="18"/>
          <w:color w:val="auto"/>
        </w:rPr>
        <w:t>Amended and Restated Employment Agreement (this “Agreement”), dated as of December 1, 2022 (the “Effective Date”), between Virtu Financial Operating LLC, a Delaware limited liability company (together with all parents, affiliates and subsidiaries as the "Company"), and Stephen Cavoli (“Executive”).</w:t>
      </w:r>
    </w:p>
    <w:p>
      <w:pPr>
        <w:spacing w:after="0" w:line="180"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8"/>
          <w:szCs w:val="18"/>
          <w:color w:val="auto"/>
        </w:rPr>
        <w:t>WHEREAS, the Company and Executive are party to an existing Amended and Restated Employment Agreement dated February 26, 2020 (the “Existing Agreement”) and desire to amend and restate the Existing Agreement as herein provided; and</w:t>
      </w:r>
    </w:p>
    <w:p>
      <w:pPr>
        <w:spacing w:after="0" w:line="171" w:lineRule="exact"/>
        <w:rPr>
          <w:sz w:val="20"/>
          <w:szCs w:val="20"/>
          <w:color w:val="auto"/>
        </w:rPr>
      </w:pPr>
    </w:p>
    <w:p>
      <w:pPr>
        <w:jc w:val="both"/>
        <w:ind w:firstLine="629"/>
        <w:spacing w:after="0" w:line="234" w:lineRule="auto"/>
        <w:rPr>
          <w:sz w:val="20"/>
          <w:szCs w:val="20"/>
          <w:color w:val="auto"/>
        </w:rPr>
      </w:pPr>
      <w:r>
        <w:rPr>
          <w:rFonts w:ascii="Times New Roman" w:cs="Times New Roman" w:eastAsia="Times New Roman" w:hAnsi="Times New Roman"/>
          <w:sz w:val="18"/>
          <w:szCs w:val="18"/>
          <w:color w:val="auto"/>
        </w:rPr>
        <w:t>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80"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intending to be legally bound hereby, the parties hereto agree as set forth below:</w:t>
      </w:r>
    </w:p>
    <w:p>
      <w:pPr>
        <w:spacing w:after="0" w:line="167" w:lineRule="exact"/>
        <w:rPr>
          <w:sz w:val="20"/>
          <w:szCs w:val="20"/>
          <w:color w:val="auto"/>
        </w:rPr>
      </w:pPr>
    </w:p>
    <w:p>
      <w:pPr>
        <w:ind w:left="320" w:hanging="315"/>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16" w:lineRule="exact"/>
        <w:rPr>
          <w:rFonts w:ascii="Times New Roman" w:cs="Times New Roman" w:eastAsia="Times New Roman" w:hAnsi="Times New Roman"/>
          <w:sz w:val="18"/>
          <w:szCs w:val="18"/>
          <w:color w:val="auto"/>
        </w:rPr>
      </w:pPr>
    </w:p>
    <w:p>
      <w:pPr>
        <w:ind w:left="560" w:right="160" w:hanging="307"/>
        <w:spacing w:after="0" w:line="218" w:lineRule="auto"/>
        <w:tabs>
          <w:tab w:leader="none" w:pos="559"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Executive’s employment under this Agreement shall continue from the Effective Date until February 26, 2026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 (1) year from the effective date of such Change in Control.</w:t>
      </w:r>
    </w:p>
    <w:p>
      <w:pPr>
        <w:spacing w:after="0" w:line="180" w:lineRule="exact"/>
        <w:rPr>
          <w:rFonts w:ascii="Times New Roman" w:cs="Times New Roman" w:eastAsia="Times New Roman" w:hAnsi="Times New Roman"/>
          <w:sz w:val="18"/>
          <w:szCs w:val="18"/>
          <w:color w:val="auto"/>
        </w:rPr>
      </w:pPr>
    </w:p>
    <w:p>
      <w:pPr>
        <w:ind w:left="560" w:right="100" w:hanging="307"/>
        <w:spacing w:after="0" w:line="220" w:lineRule="auto"/>
        <w:tabs>
          <w:tab w:leader="none" w:pos="556"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as used herein, shall have the definitions set forth below.</w:t>
      </w:r>
    </w:p>
    <w:p>
      <w:pPr>
        <w:spacing w:after="0" w:line="216" w:lineRule="exact"/>
        <w:rPr>
          <w:rFonts w:ascii="Times New Roman" w:cs="Times New Roman" w:eastAsia="Times New Roman" w:hAnsi="Times New Roman"/>
          <w:sz w:val="18"/>
          <w:szCs w:val="18"/>
          <w:color w:val="auto"/>
        </w:rPr>
      </w:pPr>
    </w:p>
    <w:p>
      <w:pPr>
        <w:jc w:val="both"/>
        <w:ind w:left="560" w:right="20" w:hanging="319"/>
        <w:spacing w:after="0" w:line="234" w:lineRule="auto"/>
        <w:tabs>
          <w:tab w:leader="none" w:pos="55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80"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that any of the following occurs:</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28" w:lineRule="exact"/>
        <w:rPr>
          <w:sz w:val="20"/>
          <w:szCs w:val="20"/>
          <w:color w:val="auto"/>
        </w:rPr>
      </w:pPr>
    </w:p>
    <w:p>
      <w:pPr>
        <w:ind w:left="660" w:right="400" w:hanging="157"/>
        <w:spacing w:after="0" w:line="254" w:lineRule="auto"/>
        <w:rPr>
          <w:sz w:val="20"/>
          <w:szCs w:val="20"/>
          <w:color w:val="auto"/>
        </w:rPr>
      </w:pPr>
      <w:r>
        <w:rPr>
          <w:rFonts w:ascii="Times New Roman" w:cs="Times New Roman" w:eastAsia="Times New Roman" w:hAnsi="Times New Roman"/>
          <w:sz w:val="18"/>
          <w:szCs w:val="18"/>
          <w:color w:val="auto"/>
        </w:rPr>
        <w:t xml:space="preserve">i. Executive is convicted of, or pleads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commits any fraudulent or illegal acts with regard to the Company or its employees, independent contractors, officers, members or managers;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ii.Executive is repeatedly intoxicated or under the influence of illegal substances while performing his employment duties;</w:t>
      </w:r>
    </w:p>
    <w:p>
      <w:pPr>
        <w:spacing w:after="0" w:line="212" w:lineRule="exact"/>
        <w:rPr>
          <w:sz w:val="20"/>
          <w:szCs w:val="20"/>
          <w:color w:val="auto"/>
        </w:rPr>
      </w:pPr>
    </w:p>
    <w:p>
      <w:pPr>
        <w:ind w:left="660" w:right="260" w:hanging="152"/>
        <w:spacing w:after="0" w:line="250" w:lineRule="auto"/>
        <w:tabs>
          <w:tab w:leader="none" w:pos="10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71" w:lineRule="exact"/>
        <w:rPr>
          <w:rFonts w:ascii="Times New Roman" w:cs="Times New Roman" w:eastAsia="Times New Roman" w:hAnsi="Times New Roman"/>
          <w:sz w:val="18"/>
          <w:szCs w:val="18"/>
          <w:color w:val="auto"/>
        </w:rPr>
      </w:pPr>
    </w:p>
    <w:p>
      <w:pPr>
        <w:ind w:left="660" w:hanging="152"/>
        <w:spacing w:after="0" w:line="221" w:lineRule="auto"/>
        <w:tabs>
          <w:tab w:leader="none" w:pos="9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 violates any material regulatory or trading policy, procedure, requirement, rule or regulation of the Company, any exchange, 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v.Executives intentionally and wrongfully damages material assets of the Company;</w:t>
      </w:r>
    </w:p>
    <w:p>
      <w:pPr>
        <w:spacing w:after="0" w:line="212" w:lineRule="exact"/>
        <w:rPr>
          <w:sz w:val="20"/>
          <w:szCs w:val="20"/>
          <w:color w:val="auto"/>
        </w:rPr>
      </w:pPr>
    </w:p>
    <w:p>
      <w:pPr>
        <w:ind w:left="1020" w:hanging="512"/>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discloses material confidential information of the Company; or</w:t>
      </w:r>
    </w:p>
    <w:p>
      <w:pPr>
        <w:spacing w:after="0" w:line="212" w:lineRule="exact"/>
        <w:rPr>
          <w:rFonts w:ascii="Times New Roman" w:cs="Times New Roman" w:eastAsia="Times New Roman" w:hAnsi="Times New Roman"/>
          <w:sz w:val="18"/>
          <w:szCs w:val="18"/>
          <w:color w:val="auto"/>
        </w:rPr>
      </w:pPr>
    </w:p>
    <w:p>
      <w:pPr>
        <w:ind w:left="660" w:right="140" w:hanging="152"/>
        <w:spacing w:after="0" w:line="250" w:lineRule="auto"/>
        <w:tabs>
          <w:tab w:leader="none" w:pos="10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intentionally and wrongfully engages in any competitive activity which constitutes a material breach of this Agreement, the Proprietary Invention Assignment, Noncompetition and Confidentiality Agreement, and/or a breach of his duty of loyalty;</w:t>
      </w:r>
    </w:p>
    <w:p>
      <w:pPr>
        <w:spacing w:after="0" w:line="171" w:lineRule="exact"/>
        <w:rPr>
          <w:sz w:val="20"/>
          <w:szCs w:val="20"/>
          <w:color w:val="auto"/>
        </w:rPr>
      </w:pPr>
    </w:p>
    <w:p>
      <w:pPr>
        <w:ind w:left="660" w:right="220"/>
        <w:spacing w:after="0" w:line="228" w:lineRule="auto"/>
        <w:rPr>
          <w:sz w:val="20"/>
          <w:szCs w:val="20"/>
          <w:color w:val="auto"/>
        </w:rPr>
      </w:pPr>
      <w:r>
        <w:rPr>
          <w:rFonts w:ascii="Times New Roman" w:cs="Times New Roman" w:eastAsia="Times New Roman" w:hAnsi="Times New Roman"/>
          <w:sz w:val="18"/>
          <w:szCs w:val="18"/>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w:t>
      </w:r>
    </w:p>
    <w:p>
      <w:pPr>
        <w:spacing w:after="0" w:line="183" w:lineRule="exact"/>
        <w:rPr>
          <w:sz w:val="20"/>
          <w:szCs w:val="20"/>
          <w:color w:val="auto"/>
        </w:rPr>
      </w:pPr>
    </w:p>
    <w:p>
      <w:pPr>
        <w:ind w:left="320" w:hanging="307"/>
        <w:spacing w:after="0"/>
        <w:tabs>
          <w:tab w:leader="none" w:pos="3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set forth in the Plan.</w:t>
      </w:r>
    </w:p>
    <w:p>
      <w:pPr>
        <w:spacing w:after="0" w:line="212" w:lineRule="exact"/>
        <w:rPr>
          <w:rFonts w:ascii="Times New Roman" w:cs="Times New Roman" w:eastAsia="Times New Roman" w:hAnsi="Times New Roman"/>
          <w:sz w:val="18"/>
          <w:szCs w:val="18"/>
          <w:color w:val="auto"/>
        </w:rPr>
      </w:pPr>
    </w:p>
    <w:p>
      <w:pPr>
        <w:jc w:val="both"/>
        <w:ind w:left="320" w:right="260" w:hanging="319"/>
        <w:spacing w:after="0" w:line="234" w:lineRule="auto"/>
        <w:tabs>
          <w:tab w:leader="none" w:pos="31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180" w:lineRule="exact"/>
        <w:rPr>
          <w:rFonts w:ascii="Times New Roman" w:cs="Times New Roman" w:eastAsia="Times New Roman" w:hAnsi="Times New Roman"/>
          <w:sz w:val="18"/>
          <w:szCs w:val="18"/>
          <w:color w:val="auto"/>
        </w:rPr>
      </w:pPr>
    </w:p>
    <w:p>
      <w:pPr>
        <w:ind w:left="320" w:right="40" w:hanging="319"/>
        <w:spacing w:after="0" w:line="223" w:lineRule="auto"/>
        <w:tabs>
          <w:tab w:leader="none" w:pos="3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long-term disability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w:t>
      </w:r>
    </w:p>
    <w:p>
      <w:pPr>
        <w:spacing w:after="0" w:line="182" w:lineRule="exact"/>
        <w:rPr>
          <w:rFonts w:ascii="Times New Roman" w:cs="Times New Roman" w:eastAsia="Times New Roman" w:hAnsi="Times New Roman"/>
          <w:sz w:val="18"/>
          <w:szCs w:val="18"/>
          <w:color w:val="auto"/>
        </w:rPr>
      </w:pPr>
    </w:p>
    <w:p>
      <w:pPr>
        <w:ind w:left="320" w:right="340" w:hanging="307"/>
        <w:spacing w:after="0" w:line="250" w:lineRule="auto"/>
        <w:tabs>
          <w:tab w:leader="none" w:pos="3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termination of Executive’s employment at his initiative after, without Executive’s prior written consent, one (1) or more of the following events:</w:t>
      </w:r>
    </w:p>
    <w:p>
      <w:pPr>
        <w:spacing w:after="0" w:line="171" w:lineRule="exact"/>
        <w:rPr>
          <w:rFonts w:ascii="Times New Roman" w:cs="Times New Roman" w:eastAsia="Times New Roman" w:hAnsi="Times New Roman"/>
          <w:sz w:val="18"/>
          <w:szCs w:val="18"/>
          <w:color w:val="auto"/>
        </w:rPr>
      </w:pPr>
    </w:p>
    <w:p>
      <w:pPr>
        <w:ind w:left="660" w:right="160" w:hanging="152"/>
        <w:spacing w:after="0" w:line="234" w:lineRule="auto"/>
        <w:tabs>
          <w:tab w:leader="none" w:pos="65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Executive’s title or reporting relationship such that he no longer reports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 with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00"/>
          </w:cols>
          <w:pgMar w:left="560" w:top="1440" w:right="339" w:bottom="1440" w:gutter="0" w:footer="0" w:header="0"/>
        </w:sectPr>
      </w:pPr>
    </w:p>
    <w:bookmarkStart w:id="179" w:name="page180"/>
    <w:bookmarkEnd w:id="179"/>
    <w:p>
      <w:pPr>
        <w:spacing w:after="0" w:line="233" w:lineRule="exact"/>
        <w:rPr>
          <w:sz w:val="20"/>
          <w:szCs w:val="20"/>
          <w:color w:val="auto"/>
        </w:rPr>
      </w:pPr>
    </w:p>
    <w:p>
      <w:pPr>
        <w:ind w:left="900" w:right="80"/>
        <w:spacing w:after="0" w:line="250" w:lineRule="auto"/>
        <w:rPr>
          <w:sz w:val="20"/>
          <w:szCs w:val="20"/>
          <w:color w:val="auto"/>
        </w:rPr>
      </w:pPr>
      <w:r>
        <w:rPr>
          <w:rFonts w:ascii="Times New Roman" w:cs="Times New Roman" w:eastAsia="Times New Roman" w:hAnsi="Times New Roman"/>
          <w:sz w:val="18"/>
          <w:szCs w:val="18"/>
          <w:color w:val="auto"/>
        </w:rPr>
        <w:t>Change in Control, relative to Executive’s authority, title, duties or responsibilities immediately prior to the Change in Control) or are being required to report other than to the CEO or the Board or a material reduction in Base Salary;</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ii.a material breach of this Agreement by the Company or a successor employer; or</w:t>
      </w:r>
    </w:p>
    <w:p>
      <w:pPr>
        <w:spacing w:after="0" w:line="212" w:lineRule="exact"/>
        <w:rPr>
          <w:sz w:val="20"/>
          <w:szCs w:val="20"/>
          <w:color w:val="auto"/>
        </w:rPr>
      </w:pPr>
    </w:p>
    <w:p>
      <w:pPr>
        <w:ind w:left="900" w:right="200" w:hanging="152"/>
        <w:spacing w:after="0" w:line="250" w:lineRule="auto"/>
        <w:tabs>
          <w:tab w:leader="none" w:pos="1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71" w:lineRule="exact"/>
        <w:rPr>
          <w:sz w:val="20"/>
          <w:szCs w:val="20"/>
          <w:color w:val="auto"/>
        </w:rPr>
      </w:pPr>
    </w:p>
    <w:p>
      <w:pPr>
        <w:ind w:left="900"/>
        <w:spacing w:after="0" w:line="221" w:lineRule="auto"/>
        <w:rPr>
          <w:sz w:val="20"/>
          <w:szCs w:val="20"/>
          <w:color w:val="auto"/>
        </w:rPr>
      </w:pPr>
      <w:r>
        <w:rPr>
          <w:rFonts w:ascii="Times New Roman" w:cs="Times New Roman" w:eastAsia="Times New Roman" w:hAnsi="Times New Roman"/>
          <w:sz w:val="18"/>
          <w:szCs w:val="18"/>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185" w:lineRule="exact"/>
        <w:rPr>
          <w:sz w:val="20"/>
          <w:szCs w:val="20"/>
          <w:color w:val="auto"/>
        </w:rPr>
      </w:pPr>
    </w:p>
    <w:p>
      <w:pPr>
        <w:ind w:left="560" w:hanging="319"/>
        <w:spacing w:after="0" w:line="250" w:lineRule="auto"/>
        <w:tabs>
          <w:tab w:leader="none" w:pos="55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firm, corporation, partnership, limited liability company, trust, joint venture, association, unincorporated entity or other entity.</w:t>
      </w:r>
    </w:p>
    <w:p>
      <w:pPr>
        <w:spacing w:after="0" w:line="171" w:lineRule="exact"/>
        <w:rPr>
          <w:rFonts w:ascii="Times New Roman" w:cs="Times New Roman" w:eastAsia="Times New Roman" w:hAnsi="Times New Roman"/>
          <w:sz w:val="18"/>
          <w:szCs w:val="18"/>
          <w:color w:val="auto"/>
        </w:rPr>
      </w:pPr>
    </w:p>
    <w:p>
      <w:pPr>
        <w:ind w:left="560" w:hanging="307"/>
        <w:spacing w:after="0"/>
        <w:tabs>
          <w:tab w:leader="none" w:pos="56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Virtu Financial, Inc. Amended and Restated 2015 Management Incentive Plan.</w:t>
      </w:r>
    </w:p>
    <w:p>
      <w:pPr>
        <w:spacing w:after="0" w:line="20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and Responsibilities.</w:t>
      </w:r>
    </w:p>
    <w:p>
      <w:pPr>
        <w:spacing w:after="0" w:line="216" w:lineRule="exact"/>
        <w:rPr>
          <w:rFonts w:ascii="Times New Roman" w:cs="Times New Roman" w:eastAsia="Times New Roman" w:hAnsi="Times New Roman"/>
          <w:sz w:val="18"/>
          <w:szCs w:val="18"/>
          <w:color w:val="auto"/>
        </w:rPr>
      </w:pPr>
    </w:p>
    <w:p>
      <w:pPr>
        <w:ind w:left="560" w:right="40" w:hanging="307"/>
        <w:spacing w:after="0" w:line="217" w:lineRule="auto"/>
        <w:tabs>
          <w:tab w:leader="none" w:pos="5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employs Executive, and Executive hereby accepts employment, subject to the terms and conditions contained herein, during the Term, as Executive Vice President reporting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in such capacity of a corporation of the size and nature of the Company. During the Term,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86" w:lineRule="exact"/>
        <w:rPr>
          <w:rFonts w:ascii="Times New Roman" w:cs="Times New Roman" w:eastAsia="Times New Roman" w:hAnsi="Times New Roman"/>
          <w:sz w:val="18"/>
          <w:szCs w:val="18"/>
          <w:color w:val="auto"/>
        </w:rPr>
      </w:pPr>
    </w:p>
    <w:p>
      <w:pPr>
        <w:ind w:left="560" w:right="60" w:hanging="307"/>
        <w:spacing w:after="0" w:line="228" w:lineRule="auto"/>
        <w:tabs>
          <w:tab w:leader="none" w:pos="556"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Executive’s principal place of employment shall be in one of the Company’s principal offices, including, but not limited to, the Company’s offices in Manhattan, New York, Short Hills, New Jersey and Palm Beach, Florida, or such other location as may otherwise be agreed with the Company. Executive acknowledges that Executive’s duties and responsibilities shall require Executive to travel on business to the extent reasonably necessary to fully perform Executive’s duties and responsibilities hereunder.</w:t>
      </w:r>
    </w:p>
    <w:p>
      <w:pPr>
        <w:spacing w:after="0" w:line="178"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Related Matters.</w:t>
      </w:r>
    </w:p>
    <w:p>
      <w:pPr>
        <w:spacing w:after="0" w:line="212" w:lineRule="exact"/>
        <w:rPr>
          <w:rFonts w:ascii="Times New Roman" w:cs="Times New Roman" w:eastAsia="Times New Roman" w:hAnsi="Times New Roman"/>
          <w:sz w:val="18"/>
          <w:szCs w:val="18"/>
          <w:color w:val="auto"/>
        </w:rPr>
      </w:pPr>
    </w:p>
    <w:p>
      <w:pPr>
        <w:ind w:left="560" w:right="40" w:hanging="307"/>
        <w:spacing w:after="0" w:line="235" w:lineRule="auto"/>
        <w:tabs>
          <w:tab w:leader="none" w:pos="5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As of the Effective Date, Executive shall receive an annual base salary (“Base Salary”) of $600,000 per year, payable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Company’s normal payroll procedures and may be increased (but not decreased) by the CEO together with the Compensation Committee (as defined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33" w:lineRule="exact"/>
        <w:rPr>
          <w:sz w:val="20"/>
          <w:szCs w:val="20"/>
          <w:color w:val="auto"/>
        </w:rPr>
      </w:pPr>
    </w:p>
    <w:p>
      <w:pPr>
        <w:ind w:left="307" w:right="220"/>
        <w:spacing w:after="0" w:line="250" w:lineRule="auto"/>
        <w:rPr>
          <w:sz w:val="20"/>
          <w:szCs w:val="20"/>
          <w:color w:val="auto"/>
        </w:rPr>
      </w:pPr>
      <w:r>
        <w:rPr>
          <w:rFonts w:ascii="Times New Roman" w:cs="Times New Roman" w:eastAsia="Times New Roman" w:hAnsi="Times New Roman"/>
          <w:sz w:val="18"/>
          <w:szCs w:val="18"/>
          <w:color w:val="auto"/>
        </w:rPr>
        <w:t>below) in its sole discretion (such salary, as may be increased, the “Base Salary”). For the avoidance of doubt, the position is exempt from any and all overtime laws.</w:t>
      </w:r>
    </w:p>
    <w:p>
      <w:pPr>
        <w:spacing w:after="0" w:line="167" w:lineRule="exact"/>
        <w:rPr>
          <w:sz w:val="20"/>
          <w:szCs w:val="20"/>
          <w:color w:val="auto"/>
        </w:rPr>
      </w:pPr>
    </w:p>
    <w:p>
      <w:pPr>
        <w:ind w:left="307" w:hanging="307"/>
        <w:spacing w:after="0" w:line="216" w:lineRule="auto"/>
        <w:tabs>
          <w:tab w:leader="none" w:pos="3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Bonus</w:t>
      </w:r>
      <w:r>
        <w:rPr>
          <w:rFonts w:ascii="Times New Roman" w:cs="Times New Roman" w:eastAsia="Times New Roman" w:hAnsi="Times New Roman"/>
          <w:sz w:val="18"/>
          <w:szCs w:val="18"/>
          <w:color w:val="auto"/>
        </w:rPr>
        <w:t>. During the Term, for each calendar year, Executive shall be eligible to receive an annual bonus (“Annual Bonus”) with a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Bonus amount of $2,000,000 (the “Target Bonus”) and a maximum Annual Bonus amount of $3,000,000 (the “Maximum Bonus”). Fifty percent (50%) of the Annual Bonus shall be based on the achievement of annual quantitative targets established in the sole and absolute discretion of the Compensation Committee (the “Compensation Committee”) of the Board of Directors of Virtu Financial, Inc. (“Virtu”) together with the Company’s CEO (the “Quantitative Goals”) and the remaining fifty percent (50%) of the Annual Bonus will be based on annual qualitative targets established in the sole and absolute discretion of the Compensation Committee together with the Company’s CEO (the “Qualitative Goals”). Accordingly, up to $1,000,000 of the Target Bonus and $1,500,000 of the Maximum Bonus may be earned based on the achievement of the Quantitative Goals and up to $1,000,000 of the Target Bonus and $1,500,000 of the Maximum Bonus may be earned based on the achievement of the Qualitative Goals. The Annual Bonus, if any, shall be paid fifty percent (50%) in cash, thirty percent (30%) in the form of restricted shares or restricted share units (“RSUs”) in respect of Class A common stock of the Company (the “Stock”) that vest in equal annual installments on each of the first three (3) anniversaries of the date of grant, and the remaining twenty percent (20%) shall be paid in the form of fully-vested shares of Stock of fully-vested deferred share units (“DSUs”) in respect of Stock (in each case, in accordance with any applicable timely deferral election made by Executive); provided, that, the form, manner and timing of payment (including vesting of any payment in equity or equity-based awards) with respect to the Annual Bonus is subject to change in the event of (and consistent with) any change to the payout schedule formulations that is made applicable to the senior executives of the Company. The Annual Bonus, if any, shall be payable within the period required by Section 409A of the Code such that it qualifies as a “short-term deferral” pursuant to Section 1.409A-1(b)(4) of the Department of Treasury Regulations (or any successor thereto).</w:t>
      </w:r>
    </w:p>
    <w:p>
      <w:pPr>
        <w:spacing w:after="0" w:line="186" w:lineRule="exact"/>
        <w:rPr>
          <w:rFonts w:ascii="Times New Roman" w:cs="Times New Roman" w:eastAsia="Times New Roman" w:hAnsi="Times New Roman"/>
          <w:sz w:val="18"/>
          <w:szCs w:val="18"/>
          <w:color w:val="auto"/>
        </w:rPr>
      </w:pPr>
    </w:p>
    <w:p>
      <w:pPr>
        <w:ind w:left="307" w:right="180" w:hanging="307"/>
        <w:spacing w:after="0" w:line="230" w:lineRule="auto"/>
        <w:tabs>
          <w:tab w:leader="none" w:pos="3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Equity Awards</w:t>
      </w:r>
      <w:r>
        <w:rPr>
          <w:rFonts w:ascii="Times New Roman" w:cs="Times New Roman" w:eastAsia="Times New Roman" w:hAnsi="Times New Roman"/>
          <w:sz w:val="18"/>
          <w:szCs w:val="18"/>
          <w:color w:val="auto"/>
        </w:rPr>
        <w:t>. Executive shall be eligible to receive an equity award at the beginning of each calendar year during his employment (each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an “Annual Equity Award”). It is the current intention of the Company’s Board and CEO that such Annual Equity Award will be in the form of 75,000 restricted shares or RSUs in respect of Stock, and that any such award shall be earned and vest in accordance with the terms hereof.</w:t>
      </w:r>
    </w:p>
    <w:p>
      <w:pPr>
        <w:spacing w:after="0" w:line="179" w:lineRule="exact"/>
        <w:rPr>
          <w:rFonts w:ascii="Times New Roman" w:cs="Times New Roman" w:eastAsia="Times New Roman" w:hAnsi="Times New Roman"/>
          <w:sz w:val="18"/>
          <w:szCs w:val="18"/>
          <w:color w:val="auto"/>
        </w:rPr>
      </w:pPr>
    </w:p>
    <w:p>
      <w:pPr>
        <w:ind w:left="607" w:right="460" w:hanging="148"/>
        <w:spacing w:after="0" w:line="250" w:lineRule="auto"/>
        <w:tabs>
          <w:tab w:leader="none" w:pos="59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earned with respect to each Annual Equity Award shall be determined based on the percentage of the Company’s budgeted EBITDA achieved in the calendar year to which such award relates in accordance with the following table:</w:t>
      </w:r>
    </w:p>
    <w:p>
      <w:pPr>
        <w:spacing w:after="0" w:line="217" w:lineRule="exact"/>
        <w:rPr>
          <w:sz w:val="20"/>
          <w:szCs w:val="20"/>
          <w:color w:val="auto"/>
        </w:rPr>
      </w:pPr>
    </w:p>
    <w:tbl>
      <w:tblPr>
        <w:tblLayout w:type="fixed"/>
        <w:tblInd w:w="1717" w:type="dxa"/>
        <w:tblCellMar>
          <w:top w:w="0" w:type="dxa"/>
          <w:left w:w="0" w:type="dxa"/>
          <w:bottom w:w="0" w:type="dxa"/>
          <w:right w:w="0" w:type="dxa"/>
        </w:tblCellMar>
      </w:tblPr>
      <w:tr>
        <w:trPr>
          <w:trHeight w:val="183"/>
        </w:trPr>
        <w:tc>
          <w:tcPr>
            <w:tcW w:w="296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Percentage of Budgeted</w:t>
            </w:r>
          </w:p>
        </w:tc>
        <w:tc>
          <w:tcPr>
            <w:tcW w:w="29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rPr>
              <w:t>Number of Shares Earned</w:t>
            </w:r>
          </w:p>
        </w:tc>
      </w:tr>
      <w:tr>
        <w:trPr>
          <w:trHeight w:val="246"/>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Achieved</w:t>
            </w:r>
          </w:p>
        </w:tc>
        <w:tc>
          <w:tcPr>
            <w:tcW w:w="2960" w:type="dxa"/>
            <w:vAlign w:val="bottom"/>
            <w:tcBorders>
              <w:bottom w:val="single" w:sz="8" w:color="auto"/>
              <w:right w:val="single" w:sz="8" w:color="auto"/>
            </w:tcBorders>
          </w:tcPr>
          <w:p>
            <w:pPr>
              <w:spacing w:after="0"/>
              <w:rPr>
                <w:sz w:val="21"/>
                <w:szCs w:val="21"/>
                <w:color w:val="auto"/>
              </w:rPr>
            </w:pPr>
          </w:p>
        </w:tc>
      </w:tr>
      <w:tr>
        <w:trPr>
          <w:trHeight w:val="232"/>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 or more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r>
      <w:tr>
        <w:trPr>
          <w:trHeight w:val="163"/>
        </w:trPr>
        <w:tc>
          <w:tcPr>
            <w:tcW w:w="2960" w:type="dxa"/>
            <w:vAlign w:val="bottom"/>
            <w:tcBorders>
              <w:left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Less than 65%</w:t>
            </w:r>
          </w:p>
        </w:tc>
        <w:tc>
          <w:tcPr>
            <w:tcW w:w="296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rPr>
              <w:t>As determined at the sole discretion of</w:t>
            </w:r>
          </w:p>
        </w:tc>
      </w:tr>
      <w:tr>
        <w:trPr>
          <w:trHeight w:val="183"/>
        </w:trPr>
        <w:tc>
          <w:tcPr>
            <w:tcW w:w="2960" w:type="dxa"/>
            <w:vAlign w:val="bottom"/>
            <w:tcBorders>
              <w:left w:val="single" w:sz="8" w:color="auto"/>
              <w:right w:val="single" w:sz="8" w:color="auto"/>
            </w:tcBorders>
          </w:tcPr>
          <w:p>
            <w:pPr>
              <w:spacing w:after="0"/>
              <w:rPr>
                <w:sz w:val="15"/>
                <w:szCs w:val="15"/>
                <w:color w:val="auto"/>
              </w:rPr>
            </w:pPr>
          </w:p>
        </w:tc>
        <w:tc>
          <w:tcPr>
            <w:tcW w:w="29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8"/>
                <w:szCs w:val="18"/>
                <w:color w:val="auto"/>
              </w:rPr>
              <w:t>the Compensation Committee of the</w:t>
            </w:r>
          </w:p>
        </w:tc>
      </w:tr>
      <w:tr>
        <w:trPr>
          <w:trHeight w:val="244"/>
        </w:trPr>
        <w:tc>
          <w:tcPr>
            <w:tcW w:w="2960" w:type="dxa"/>
            <w:vAlign w:val="bottom"/>
            <w:tcBorders>
              <w:left w:val="single" w:sz="8" w:color="auto"/>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Board, which may be 0</w:t>
            </w:r>
          </w:p>
        </w:tc>
      </w:tr>
    </w:tbl>
    <w:p>
      <w:pPr>
        <w:spacing w:after="0" w:line="288" w:lineRule="exact"/>
        <w:rPr>
          <w:sz w:val="20"/>
          <w:szCs w:val="20"/>
          <w:color w:val="auto"/>
        </w:rPr>
      </w:pPr>
    </w:p>
    <w:p>
      <w:pPr>
        <w:ind w:left="607" w:right="200" w:hanging="156"/>
        <w:spacing w:after="0" w:line="250" w:lineRule="auto"/>
        <w:rPr>
          <w:sz w:val="20"/>
          <w:szCs w:val="20"/>
          <w:color w:val="auto"/>
        </w:rPr>
      </w:pPr>
      <w:r>
        <w:rPr>
          <w:rFonts w:ascii="Times New Roman" w:cs="Times New Roman" w:eastAsia="Times New Roman" w:hAnsi="Times New Roman"/>
          <w:sz w:val="18"/>
          <w:szCs w:val="18"/>
          <w:color w:val="auto"/>
        </w:rPr>
        <w:t>ii.If the Board determines that the number of shares of Stock subject to the Annual Equity Award will be greater or less than 75,000, then the amounts reflected in the table above shall be adjusted to reflect such number of shares.</w:t>
      </w:r>
    </w:p>
    <w:p>
      <w:pPr>
        <w:spacing w:after="0" w:line="171" w:lineRule="exact"/>
        <w:rPr>
          <w:sz w:val="20"/>
          <w:szCs w:val="20"/>
          <w:color w:val="auto"/>
        </w:rPr>
      </w:pPr>
    </w:p>
    <w:p>
      <w:pPr>
        <w:ind w:left="607" w:right="60" w:hanging="148"/>
        <w:spacing w:after="0" w:line="234" w:lineRule="auto"/>
        <w:tabs>
          <w:tab w:leader="none" w:pos="98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shares of Stock are earned with respect to the Initial Equity Award in accordance with 4(c)(i), 50% of such shares shall vest on the last day of the calendar year to which such award relates and the remaining 50% shall vest on the last day of the subsequent calendar year, subject in all cases to the Executive’s continued employment through the applicable vesting date.</w:t>
      </w:r>
    </w:p>
    <w:p>
      <w:pPr>
        <w:spacing w:after="0" w:line="176" w:lineRule="exact"/>
        <w:rPr>
          <w:rFonts w:ascii="Times New Roman" w:cs="Times New Roman" w:eastAsia="Times New Roman" w:hAnsi="Times New Roman"/>
          <w:sz w:val="18"/>
          <w:szCs w:val="18"/>
          <w:color w:val="auto"/>
        </w:rPr>
      </w:pPr>
    </w:p>
    <w:p>
      <w:pPr>
        <w:ind w:left="307" w:right="260" w:hanging="307"/>
        <w:spacing w:after="0" w:line="235" w:lineRule="auto"/>
        <w:tabs>
          <w:tab w:leader="none" w:pos="30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Benefits and Perquisites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will be eligible for all employee benefits offered by the Company to employees in similar positions.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retains the right to modify or change its benefits and compensation policy from time to time, as it deems necessary, other than those provided for Executive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987"/>
          </w:cols>
          <w:pgMar w:left="573" w:top="1440" w:right="339" w:bottom="1440" w:gutter="0" w:footer="0" w:header="0"/>
        </w:sectPr>
      </w:pPr>
    </w:p>
    <w:bookmarkStart w:id="181" w:name="page182"/>
    <w:bookmarkEnd w:id="181"/>
    <w:p>
      <w:pPr>
        <w:spacing w:after="0" w:line="233" w:lineRule="exact"/>
        <w:rPr>
          <w:sz w:val="20"/>
          <w:szCs w:val="20"/>
          <w:color w:val="auto"/>
        </w:rPr>
      </w:pPr>
    </w:p>
    <w:p>
      <w:pPr>
        <w:ind w:left="560" w:right="260"/>
        <w:spacing w:after="0" w:line="250" w:lineRule="auto"/>
        <w:rPr>
          <w:sz w:val="20"/>
          <w:szCs w:val="20"/>
          <w:color w:val="auto"/>
        </w:rPr>
      </w:pPr>
      <w:r>
        <w:rPr>
          <w:rFonts w:ascii="Times New Roman" w:cs="Times New Roman" w:eastAsia="Times New Roman" w:hAnsi="Times New Roman"/>
          <w:sz w:val="18"/>
          <w:szCs w:val="18"/>
          <w:color w:val="auto"/>
        </w:rPr>
        <w:t>in this employment agreement. The Company also retains the right to assign Executive’s employment agreement to an Affiliate, subject to the terms and conditions of this Agreement.</w:t>
      </w:r>
    </w:p>
    <w:p>
      <w:pPr>
        <w:spacing w:after="0" w:line="167" w:lineRule="exact"/>
        <w:rPr>
          <w:sz w:val="20"/>
          <w:szCs w:val="20"/>
          <w:color w:val="auto"/>
        </w:rPr>
      </w:pPr>
    </w:p>
    <w:p>
      <w:pPr>
        <w:ind w:left="560" w:hanging="307"/>
        <w:spacing w:after="0"/>
        <w:tabs>
          <w:tab w:leader="none" w:pos="5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indemnify Executive to the fullest extent permitted by law and the Company’s governing documents.</w:t>
      </w:r>
    </w:p>
    <w:p>
      <w:pPr>
        <w:spacing w:after="0" w:line="212"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p>
    <w:p>
      <w:pPr>
        <w:spacing w:after="0" w:line="216" w:lineRule="exact"/>
        <w:rPr>
          <w:rFonts w:ascii="Times New Roman" w:cs="Times New Roman" w:eastAsia="Times New Roman" w:hAnsi="Times New Roman"/>
          <w:sz w:val="18"/>
          <w:szCs w:val="18"/>
          <w:color w:val="auto"/>
        </w:rPr>
      </w:pPr>
    </w:p>
    <w:p>
      <w:pPr>
        <w:ind w:left="560" w:right="260" w:hanging="307"/>
        <w:spacing w:after="0" w:line="225" w:lineRule="auto"/>
        <w:tabs>
          <w:tab w:leader="none" w:pos="55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82" w:lineRule="exact"/>
        <w:rPr>
          <w:rFonts w:ascii="Times New Roman" w:cs="Times New Roman" w:eastAsia="Times New Roman" w:hAnsi="Times New Roman"/>
          <w:sz w:val="18"/>
          <w:szCs w:val="18"/>
          <w:color w:val="auto"/>
        </w:rPr>
      </w:pPr>
    </w:p>
    <w:p>
      <w:pPr>
        <w:ind w:left="560" w:right="100" w:hanging="307"/>
        <w:spacing w:after="0" w:line="223" w:lineRule="auto"/>
        <w:tabs>
          <w:tab w:leader="none" w:pos="55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 Executive is entitled under the terms of the applicable arrangements and/or applicable law (all of the foregoing clauses (i)-(iv) collectively, the “Accrued Obligations”).</w:t>
      </w:r>
    </w:p>
    <w:p>
      <w:pPr>
        <w:spacing w:after="0" w:line="182" w:lineRule="exact"/>
        <w:rPr>
          <w:rFonts w:ascii="Times New Roman" w:cs="Times New Roman" w:eastAsia="Times New Roman" w:hAnsi="Times New Roman"/>
          <w:sz w:val="18"/>
          <w:szCs w:val="18"/>
          <w:color w:val="auto"/>
        </w:rPr>
      </w:pPr>
    </w:p>
    <w:p>
      <w:pPr>
        <w:ind w:left="560" w:hanging="307"/>
        <w:spacing w:after="0" w:line="225" w:lineRule="auto"/>
        <w:tabs>
          <w:tab w:leader="none" w:pos="55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82" w:lineRule="exact"/>
        <w:rPr>
          <w:rFonts w:ascii="Times New Roman" w:cs="Times New Roman" w:eastAsia="Times New Roman" w:hAnsi="Times New Roman"/>
          <w:sz w:val="18"/>
          <w:szCs w:val="18"/>
          <w:color w:val="auto"/>
        </w:rPr>
      </w:pPr>
    </w:p>
    <w:p>
      <w:pPr>
        <w:ind w:left="900" w:right="80" w:hanging="152"/>
        <w:spacing w:after="0" w:line="223" w:lineRule="auto"/>
        <w:tabs>
          <w:tab w:leader="none" w:pos="891"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(such amount, the “Severance Amount”), payable in a single lump sum within 30 days of the day the Release (as defined below) becomes irrevocable (or, if earlier, within five business days following irrevocability), except where payment is delayed according to the timing relating to the Release Period as set forth below or pursuant to Section 409A (as defined below) (such date, the “Severance Payment Date”);</w:t>
      </w:r>
    </w:p>
    <w:p>
      <w:pPr>
        <w:spacing w:after="0" w:line="182" w:lineRule="exact"/>
        <w:rPr>
          <w:sz w:val="20"/>
          <w:szCs w:val="20"/>
          <w:color w:val="auto"/>
        </w:rPr>
      </w:pPr>
    </w:p>
    <w:p>
      <w:pPr>
        <w:jc w:val="both"/>
        <w:ind w:left="900"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77" w:lineRule="exact"/>
        <w:rPr>
          <w:sz w:val="20"/>
          <w:szCs w:val="20"/>
          <w:color w:val="auto"/>
        </w:rPr>
      </w:pPr>
    </w:p>
    <w:p>
      <w:pPr>
        <w:ind w:left="1260" w:hanging="512"/>
        <w:spacing w:after="0"/>
        <w:tabs>
          <w:tab w:leader="none" w:pos="12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Executive shall remain eligible to earn restricted shares of Stock or RSUs under his then-current Annual Equity Award in</w:t>
      </w:r>
    </w:p>
    <w:p>
      <w:pPr>
        <w:ind w:left="90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the criteria set forth in Section 4(c)(i) and, to the extent earned, the product of such earned shares multiplied by a fraction, the numerator of which is the number of calendar days the Executive was employed in the calendar year of termination, and the denominator of which is 365, shall be deemed vested on the last day of the calendar year to which such award relates,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“Equity Acceleration”);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32" w:lineRule="exact"/>
        <w:rPr>
          <w:sz w:val="20"/>
          <w:szCs w:val="20"/>
          <w:color w:val="auto"/>
        </w:rPr>
      </w:pPr>
    </w:p>
    <w:p>
      <w:pPr>
        <w:ind w:left="647" w:right="80" w:hanging="152"/>
        <w:spacing w:after="0" w:line="215"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dental, vision and life insurance benefits under the terms of the applicable Company benefit plans for (x) twelve (12) months or (y) the period from Executive’s termination of employment through the Expiration Date, whichever is longer (the “Benefits Continuation Period”), subject to Executive’s payment of the cost of such benefits to the same extent that active employees of the Company are required to pay for such benefits from time to time; provided, however, that such continuation coverage shall end earlier upon Executive’s becoming eligible for comparable coverage under another employer’s benefit plans; provided, further, that following the expiration of the Benefits Continuation Period (which was not terminated as a result of Executive becoming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w:t>
      </w:r>
    </w:p>
    <w:p>
      <w:pPr>
        <w:spacing w:after="0" w:line="3" w:lineRule="exact"/>
        <w:rPr>
          <w:rFonts w:ascii="Times New Roman" w:cs="Times New Roman" w:eastAsia="Times New Roman" w:hAnsi="Times New Roman"/>
          <w:sz w:val="18"/>
          <w:szCs w:val="18"/>
          <w:color w:val="auto"/>
        </w:rPr>
      </w:pPr>
    </w:p>
    <w:p>
      <w:pPr>
        <w:ind w:left="647" w:right="40"/>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Executive’s dependents reaching the age of 26, (Y) Executive or his spouse become eligible for Medicare, or (Z) Executive becoming eligible for comparable coverage under another employer’s benefit plans, subject to Executive’s payment of the full cost of such benefits; and provided, further, that to the extent the provision of such continuation coverage is not permitted under the terms of the Company benefit plans or would result in an adverse tax consequence to the Company, the Company may alternatively provide Executive with a cash payment (the “COBRA Cash Payment”)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provided, further, that the Company will use reasonable best efforts to continue coverage under the Company benefit plans to the extent legally possible without suffering any adverse consequences to the Company or other participants in such plans (the COBRA Cash Payment, if applicable, shall be paid in cash in a lump sum on the Severance Payment Date).</w:t>
      </w:r>
    </w:p>
    <w:p>
      <w:pPr>
        <w:spacing w:after="0" w:line="186" w:lineRule="exact"/>
        <w:rPr>
          <w:rFonts w:ascii="Times New Roman" w:cs="Times New Roman" w:eastAsia="Times New Roman" w:hAnsi="Times New Roman"/>
          <w:sz w:val="18"/>
          <w:szCs w:val="18"/>
          <w:color w:val="auto"/>
        </w:rPr>
      </w:pPr>
    </w:p>
    <w:p>
      <w:pPr>
        <w:ind w:left="307" w:hanging="307"/>
        <w:spacing w:after="0" w:line="223" w:lineRule="auto"/>
        <w:tabs>
          <w:tab w:leader="none" w:pos="30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82" w:lineRule="exact"/>
        <w:rPr>
          <w:rFonts w:ascii="Times New Roman" w:cs="Times New Roman" w:eastAsia="Times New Roman" w:hAnsi="Times New Roman"/>
          <w:sz w:val="18"/>
          <w:szCs w:val="18"/>
          <w:color w:val="auto"/>
        </w:rPr>
      </w:pPr>
    </w:p>
    <w:p>
      <w:pPr>
        <w:jc w:val="both"/>
        <w:ind w:left="647" w:right="340" w:hanging="152"/>
        <w:spacing w:after="0" w:line="234" w:lineRule="auto"/>
        <w:tabs>
          <w:tab w:leader="none" w:pos="63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and a half (2.5) times the sum of (x) Executive’s Base Salary and (y) the Annual Bonus (including any amounts deferred or satisfied through the grant of equity awards) most recently awarded to Executive for completed fiscal years of the Company (collectively, the “CIC Severance Amount”) payable in a single lump sum on the Severance Payment Date;</w:t>
      </w:r>
    </w:p>
    <w:p>
      <w:pPr>
        <w:spacing w:after="0" w:line="180" w:lineRule="exact"/>
        <w:rPr>
          <w:sz w:val="20"/>
          <w:szCs w:val="20"/>
          <w:color w:val="auto"/>
        </w:rPr>
      </w:pPr>
    </w:p>
    <w:p>
      <w:pPr>
        <w:jc w:val="both"/>
        <w:ind w:left="647" w:right="20" w:hanging="157"/>
        <w:spacing w:after="0" w:line="234" w:lineRule="auto"/>
        <w:rPr>
          <w:sz w:val="20"/>
          <w:szCs w:val="20"/>
          <w:color w:val="auto"/>
        </w:rPr>
      </w:pPr>
      <w:r>
        <w:rPr>
          <w:rFonts w:ascii="Times New Roman" w:cs="Times New Roman" w:eastAsia="Times New Roman" w:hAnsi="Times New Roman"/>
          <w:sz w:val="18"/>
          <w:szCs w:val="18"/>
          <w:color w:val="auto"/>
        </w:rPr>
        <w:t>ii.any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w:t>
      </w:r>
    </w:p>
    <w:p>
      <w:pPr>
        <w:spacing w:after="0" w:line="180" w:lineRule="exact"/>
        <w:rPr>
          <w:sz w:val="20"/>
          <w:szCs w:val="20"/>
          <w:color w:val="auto"/>
        </w:rPr>
      </w:pPr>
    </w:p>
    <w:p>
      <w:pPr>
        <w:ind w:left="647" w:right="40" w:hanging="152"/>
        <w:spacing w:after="0" w:line="223" w:lineRule="auto"/>
        <w:tabs>
          <w:tab w:leader="none" w:pos="100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(B) any earned but unvested restricted shares of Stock or RSUs under the Annual Equity Award granted in the calendar year prior to the calendar year of the Executive’s termination, shall be deemed vested as of the date of termination and (C) the Executive shall receive 75,000 fully-vested shares of Stock or, if Executive has made an applicable and timely deferral election, DSUs (clauses (A), (B) and (C), the “CIC Equity Acceleration”; and</w:t>
      </w:r>
    </w:p>
    <w:p>
      <w:pPr>
        <w:spacing w:after="0" w:line="182" w:lineRule="exact"/>
        <w:rPr>
          <w:rFonts w:ascii="Times New Roman" w:cs="Times New Roman" w:eastAsia="Times New Roman" w:hAnsi="Times New Roman"/>
          <w:sz w:val="18"/>
          <w:szCs w:val="18"/>
          <w:color w:val="auto"/>
        </w:rPr>
      </w:pPr>
    </w:p>
    <w:p>
      <w:pPr>
        <w:ind w:left="647" w:right="160" w:hanging="152"/>
        <w:spacing w:after="0" w:line="250"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described in Section 5(c)(iv) above, except that the Benefits Continuation Period shall be extended to (x) twenty-four (24) months or (y) the period from Executive’s termination of employment through the Expiration Date, whichever is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87"/>
          </w:cols>
          <w:pgMar w:left="573" w:top="1440" w:right="339" w:bottom="1440" w:gutter="0" w:footer="0" w:header="0"/>
        </w:sectPr>
      </w:pPr>
    </w:p>
    <w:bookmarkStart w:id="183" w:name="page184"/>
    <w:bookmarkEnd w:id="183"/>
    <w:p>
      <w:pPr>
        <w:spacing w:after="0" w:line="233" w:lineRule="exact"/>
        <w:rPr>
          <w:sz w:val="20"/>
          <w:szCs w:val="20"/>
          <w:color w:val="auto"/>
        </w:rPr>
      </w:pPr>
    </w:p>
    <w:p>
      <w:pPr>
        <w:ind w:left="560" w:right="720" w:hanging="307"/>
        <w:spacing w:after="0" w:line="250" w:lineRule="auto"/>
        <w:tabs>
          <w:tab w:leader="none" w:pos="55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all payments owed to the Executive under Section 5 of this Agreement will be paid in a single lump sum on the Severance Payment Date.</w:t>
      </w:r>
    </w:p>
    <w:p>
      <w:pPr>
        <w:spacing w:after="0" w:line="171" w:lineRule="exact"/>
        <w:rPr>
          <w:rFonts w:ascii="Times New Roman" w:cs="Times New Roman" w:eastAsia="Times New Roman" w:hAnsi="Times New Roman"/>
          <w:sz w:val="18"/>
          <w:szCs w:val="18"/>
          <w:color w:val="auto"/>
        </w:rPr>
      </w:pPr>
    </w:p>
    <w:p>
      <w:pPr>
        <w:ind w:left="560" w:right="120" w:hanging="307"/>
        <w:spacing w:after="0" w:line="228" w:lineRule="auto"/>
        <w:tabs>
          <w:tab w:leader="none" w:pos="5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Executive’s employment is terminated prior to a Change in Control but material steps have been taken at the time of such termination and such Change of Control actually occurs, in the event that Executive receives the Severance Amount or the Equity Acceleration prior to the occurrence of the Change in Control, then any such amounts paid prior to the Change in Control shall reduce the amount required to be paid pursuant to CIC Severance Amount or the CIC Equity Acceleration, respectively.</w:t>
      </w:r>
    </w:p>
    <w:p>
      <w:pPr>
        <w:spacing w:after="0" w:line="182" w:lineRule="exact"/>
        <w:rPr>
          <w:rFonts w:ascii="Times New Roman" w:cs="Times New Roman" w:eastAsia="Times New Roman" w:hAnsi="Times New Roman"/>
          <w:sz w:val="18"/>
          <w:szCs w:val="18"/>
          <w:color w:val="auto"/>
        </w:rPr>
      </w:pPr>
    </w:p>
    <w:p>
      <w:pPr>
        <w:ind w:left="560" w:right="40" w:hanging="307"/>
        <w:spacing w:after="0" w:line="223" w:lineRule="auto"/>
        <w:tabs>
          <w:tab w:leader="none" w:pos="55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Such release and waiver must be executed and become irrevocable within sixty (60) days following the date Executive’s employment ends (the “Release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82" w:lineRule="exact"/>
        <w:rPr>
          <w:rFonts w:ascii="Times New Roman" w:cs="Times New Roman" w:eastAsia="Times New Roman" w:hAnsi="Times New Roman"/>
          <w:sz w:val="18"/>
          <w:szCs w:val="18"/>
          <w:color w:val="auto"/>
        </w:rPr>
      </w:pPr>
    </w:p>
    <w:p>
      <w:pPr>
        <w:ind w:left="560" w:right="20" w:hanging="307"/>
        <w:spacing w:after="0" w:line="225" w:lineRule="auto"/>
        <w:tabs>
          <w:tab w:leader="none" w:pos="55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8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280G Matters.</w:t>
      </w:r>
    </w:p>
    <w:p>
      <w:pPr>
        <w:spacing w:after="0" w:line="216" w:lineRule="exact"/>
        <w:rPr>
          <w:rFonts w:ascii="Times New Roman" w:cs="Times New Roman" w:eastAsia="Times New Roman" w:hAnsi="Times New Roman"/>
          <w:sz w:val="18"/>
          <w:szCs w:val="18"/>
          <w:color w:val="auto"/>
        </w:rPr>
      </w:pPr>
    </w:p>
    <w:p>
      <w:pPr>
        <w:ind w:left="560" w:right="220" w:hanging="307"/>
        <w:spacing w:after="0" w:line="228" w:lineRule="auto"/>
        <w:tabs>
          <w:tab w:leader="none" w:pos="55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32" w:lineRule="exact"/>
        <w:rPr>
          <w:sz w:val="20"/>
          <w:szCs w:val="20"/>
          <w:color w:val="auto"/>
        </w:rPr>
      </w:pPr>
    </w:p>
    <w:p>
      <w:pPr>
        <w:ind w:left="560" w:right="80" w:hanging="307"/>
        <w:spacing w:after="0" w:line="220" w:lineRule="auto"/>
        <w:tabs>
          <w:tab w:leader="none" w:pos="5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pacing w:after="0" w:line="184" w:lineRule="exact"/>
        <w:rPr>
          <w:rFonts w:ascii="Times New Roman" w:cs="Times New Roman" w:eastAsia="Times New Roman" w:hAnsi="Times New Roman"/>
          <w:sz w:val="18"/>
          <w:szCs w:val="18"/>
          <w:color w:val="auto"/>
        </w:rPr>
      </w:pPr>
    </w:p>
    <w:p>
      <w:pPr>
        <w:ind w:left="560" w:right="40" w:hanging="307"/>
        <w:spacing w:after="0" w:line="217" w:lineRule="auto"/>
        <w:tabs>
          <w:tab w:leader="none" w:pos="55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 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 Paragraph shall be borne by the Company.</w:t>
      </w:r>
    </w:p>
    <w:p>
      <w:pPr>
        <w:spacing w:after="0" w:line="178" w:lineRule="exact"/>
        <w:rPr>
          <w:rFonts w:ascii="Times New Roman" w:cs="Times New Roman" w:eastAsia="Times New Roman" w:hAnsi="Times New Roman"/>
          <w:sz w:val="18"/>
          <w:szCs w:val="18"/>
          <w:color w:val="auto"/>
        </w:rPr>
      </w:pPr>
    </w:p>
    <w:p>
      <w:pPr>
        <w:ind w:left="560" w:hanging="307"/>
        <w:spacing w:after="0" w:line="216" w:lineRule="auto"/>
        <w:tabs>
          <w:tab w:leader="none" w:pos="5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Definitions</w:t>
      </w:r>
      <w:r>
        <w:rPr>
          <w:rFonts w:ascii="Times New Roman" w:cs="Times New Roman" w:eastAsia="Times New Roman" w:hAnsi="Times New Roman"/>
          <w:sz w:val="18"/>
          <w:szCs w:val="18"/>
          <w:color w:val="auto"/>
        </w:rPr>
        <w:t>. The following terms shall have the following meanings for purposes of this Paragraph. (1) A “Payment” shall mean any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83" w:lineRule="exact"/>
        <w:rPr>
          <w:rFonts w:ascii="Times New Roman" w:cs="Times New Roman" w:eastAsia="Times New Roman" w:hAnsi="Times New Roman"/>
          <w:sz w:val="18"/>
          <w:szCs w:val="18"/>
          <w:color w:val="auto"/>
        </w:rPr>
      </w:pPr>
    </w:p>
    <w:p>
      <w:pPr>
        <w:ind w:left="320" w:right="540" w:hanging="315"/>
        <w:spacing w:after="0" w:line="254" w:lineRule="auto"/>
        <w:tabs>
          <w:tab w:leader="none" w:pos="3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Mutual Arbitration. </w:t>
      </w:r>
      <w:r>
        <w:rPr>
          <w:rFonts w:ascii="Times New Roman" w:cs="Times New Roman" w:eastAsia="Times New Roman" w:hAnsi="Times New Roman"/>
          <w:sz w:val="18"/>
          <w:szCs w:val="18"/>
          <w:color w:val="auto"/>
        </w:rPr>
        <w:t>Executive and the Company both knowingly and voluntarily agree to a pre-dispute arbitration clause so that should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controversy or dispute arise in connection with Executive’s</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32" w:lineRule="exact"/>
        <w:rPr>
          <w:sz w:val="20"/>
          <w:szCs w:val="20"/>
          <w:color w:val="auto"/>
        </w:rPr>
      </w:pPr>
    </w:p>
    <w:p>
      <w:pPr>
        <w:ind w:left="315"/>
        <w:spacing w:after="0" w:line="232" w:lineRule="auto"/>
        <w:rPr>
          <w:sz w:val="20"/>
          <w:szCs w:val="20"/>
          <w:color w:val="auto"/>
        </w:rPr>
      </w:pPr>
      <w:r>
        <w:rPr>
          <w:rFonts w:ascii="Times New Roman" w:cs="Times New Roman" w:eastAsia="Times New Roman" w:hAnsi="Times New Roman"/>
          <w:sz w:val="18"/>
          <w:szCs w:val="18"/>
          <w:color w:val="auto"/>
        </w:rPr>
        <w:t>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 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81" w:lineRule="exact"/>
        <w:rPr>
          <w:sz w:val="20"/>
          <w:szCs w:val="20"/>
          <w:color w:val="auto"/>
        </w:rPr>
      </w:pPr>
    </w:p>
    <w:p>
      <w:pPr>
        <w:jc w:val="both"/>
        <w:ind w:left="315" w:right="180" w:hanging="315"/>
        <w:spacing w:after="0" w:line="235" w:lineRule="auto"/>
        <w:tabs>
          <w:tab w:leader="none" w:pos="3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Offset and Mitigation. </w:t>
      </w:r>
      <w:r>
        <w:rPr>
          <w:rFonts w:ascii="Times New Roman" w:cs="Times New Roman" w:eastAsia="Times New Roman" w:hAnsi="Times New Roman"/>
          <w:sz w:val="18"/>
          <w:szCs w:val="18"/>
          <w:color w:val="auto"/>
        </w:rPr>
        <w:t>No payments due Executive hereunder shall be subject to any offset for obligations owed by Executive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77" w:lineRule="exact"/>
        <w:rPr>
          <w:rFonts w:ascii="Times New Roman" w:cs="Times New Roman" w:eastAsia="Times New Roman" w:hAnsi="Times New Roman"/>
          <w:sz w:val="18"/>
          <w:szCs w:val="18"/>
          <w:color w:val="auto"/>
        </w:rPr>
      </w:pPr>
    </w:p>
    <w:p>
      <w:pPr>
        <w:ind w:left="315" w:hanging="315"/>
        <w:spacing w:after="0" w:line="220" w:lineRule="auto"/>
        <w:tabs>
          <w:tab w:leader="none" w:pos="3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Executive acknowledges and agrees that Executive shall continue to be bound by the restrictive covenants to which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presently bound, including those set forth in the Proprietary Agreement (as defined below) (collectively, the “Restrictive Covenants”), in accordance with the terms and conditions thereof;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78" w:lineRule="exact"/>
        <w:rPr>
          <w:rFonts w:ascii="Times New Roman" w:cs="Times New Roman" w:eastAsia="Times New Roman" w:hAnsi="Times New Roman"/>
          <w:sz w:val="18"/>
          <w:szCs w:val="18"/>
          <w:color w:val="auto"/>
        </w:rPr>
      </w:pPr>
    </w:p>
    <w:p>
      <w:pPr>
        <w:ind w:left="315" w:right="100" w:hanging="315"/>
        <w:spacing w:after="0" w:line="222" w:lineRule="auto"/>
        <w:tabs>
          <w:tab w:leader="none" w:pos="3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Property. </w:t>
      </w:r>
      <w:r>
        <w:rPr>
          <w:rFonts w:ascii="Times New Roman" w:cs="Times New Roman" w:eastAsia="Times New Roman" w:hAnsi="Times New Roman"/>
          <w:sz w:val="18"/>
          <w:szCs w:val="18"/>
          <w:color w:val="auto"/>
        </w:rPr>
        <w:t>Executive acknowledges that all notes, memoranda, specifications, devices, formulas, records, files, lists, drawings,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Executive shall be permitted to retain a copy of his contacts/rolodex, including in electronic form.</w:t>
      </w:r>
    </w:p>
    <w:p>
      <w:pPr>
        <w:spacing w:after="0" w:line="192" w:lineRule="exact"/>
        <w:rPr>
          <w:rFonts w:ascii="Times New Roman" w:cs="Times New Roman" w:eastAsia="Times New Roman" w:hAnsi="Times New Roman"/>
          <w:sz w:val="18"/>
          <w:szCs w:val="18"/>
          <w:color w:val="auto"/>
        </w:rPr>
      </w:pPr>
    </w:p>
    <w:p>
      <w:pPr>
        <w:ind w:left="315" w:right="140" w:hanging="315"/>
        <w:spacing w:after="0" w:line="220" w:lineRule="auto"/>
        <w:tabs>
          <w:tab w:leader="none" w:pos="29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Remedies and Injunctive Relief. </w:t>
      </w:r>
      <w:r>
        <w:rPr>
          <w:rFonts w:ascii="Times New Roman" w:cs="Times New Roman" w:eastAsia="Times New Roman" w:hAnsi="Times New Roman"/>
          <w:sz w:val="18"/>
          <w:szCs w:val="18"/>
          <w:color w:val="auto"/>
        </w:rPr>
        <w:t>Executive acknowledges that a violation by Executive of any of the covenants contained in Sections 9 or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135"/>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35"/>
          </w:cols>
          <w:pgMar w:left="325" w:top="1440" w:right="339" w:bottom="1440" w:gutter="0" w:footer="0" w:header="0"/>
        </w:sectPr>
      </w:pPr>
    </w:p>
    <w:bookmarkStart w:id="186" w:name="page187"/>
    <w:bookmarkEnd w:id="186"/>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that the Company may have for damages under this Agreement or otherwise, and all of the Company’s rights shall be unrestricted.</w:t>
      </w:r>
    </w:p>
    <w:p>
      <w:pPr>
        <w:spacing w:after="0" w:line="208" w:lineRule="exact"/>
        <w:rPr>
          <w:sz w:val="20"/>
          <w:szCs w:val="20"/>
          <w:color w:val="auto"/>
        </w:rPr>
      </w:pPr>
    </w:p>
    <w:p>
      <w:pPr>
        <w:ind w:left="320" w:hanging="315"/>
        <w:spacing w:after="0"/>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Executive; Advice of Counsel.</w:t>
      </w:r>
    </w:p>
    <w:p>
      <w:pPr>
        <w:spacing w:after="0" w:line="216" w:lineRule="exact"/>
        <w:rPr>
          <w:rFonts w:ascii="Times New Roman" w:cs="Times New Roman" w:eastAsia="Times New Roman" w:hAnsi="Times New Roman"/>
          <w:sz w:val="18"/>
          <w:szCs w:val="18"/>
          <w:color w:val="auto"/>
        </w:rPr>
      </w:pPr>
    </w:p>
    <w:p>
      <w:pPr>
        <w:ind w:left="560" w:right="240" w:hanging="319"/>
        <w:spacing w:after="0" w:line="225" w:lineRule="auto"/>
        <w:tabs>
          <w:tab w:leader="none" w:pos="55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2" w:lineRule="exact"/>
        <w:rPr>
          <w:rFonts w:ascii="Times New Roman" w:cs="Times New Roman" w:eastAsia="Times New Roman" w:hAnsi="Times New Roman"/>
          <w:sz w:val="18"/>
          <w:szCs w:val="18"/>
          <w:color w:val="auto"/>
        </w:rPr>
      </w:pPr>
    </w:p>
    <w:p>
      <w:pPr>
        <w:ind w:left="560" w:right="80" w:hanging="319"/>
        <w:spacing w:after="0" w:line="223" w:lineRule="auto"/>
        <w:tabs>
          <w:tab w:leader="none" w:pos="55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78" w:lineRule="exact"/>
        <w:rPr>
          <w:rFonts w:ascii="Times New Roman" w:cs="Times New Roman" w:eastAsia="Times New Roman" w:hAnsi="Times New Roman"/>
          <w:sz w:val="18"/>
          <w:szCs w:val="18"/>
          <w:color w:val="auto"/>
        </w:rPr>
      </w:pPr>
    </w:p>
    <w:p>
      <w:pPr>
        <w:ind w:left="320" w:right="20" w:hanging="315"/>
        <w:spacing w:after="0" w:line="221" w:lineRule="auto"/>
        <w:tabs>
          <w:tab w:leader="none" w:pos="3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Executive agrees that, upon reasonable notice and without the necessity of the Company obtaining a subpoena or court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78" w:lineRule="exact"/>
        <w:rPr>
          <w:rFonts w:ascii="Times New Roman" w:cs="Times New Roman" w:eastAsia="Times New Roman" w:hAnsi="Times New Roman"/>
          <w:sz w:val="18"/>
          <w:szCs w:val="18"/>
          <w:color w:val="auto"/>
        </w:rPr>
      </w:pPr>
    </w:p>
    <w:p>
      <w:pPr>
        <w:ind w:left="320" w:right="40" w:hanging="315"/>
        <w:spacing w:after="0" w:line="254" w:lineRule="auto"/>
        <w:tabs>
          <w:tab w:leader="none" w:pos="3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may deduct and withhold from any amounts payable under this Agreement such Federal, state, local, non-U.S.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as are required to be withheld pursuant to any applicable law or regulation.</w:t>
      </w:r>
    </w:p>
    <w:p>
      <w:pPr>
        <w:spacing w:after="0" w:line="1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16" w:lineRule="exact"/>
        <w:rPr>
          <w:rFonts w:ascii="Times New Roman" w:cs="Times New Roman" w:eastAsia="Times New Roman" w:hAnsi="Times New Roman"/>
          <w:sz w:val="18"/>
          <w:szCs w:val="18"/>
          <w:color w:val="auto"/>
        </w:rPr>
      </w:pPr>
    </w:p>
    <w:p>
      <w:pPr>
        <w:ind w:left="640" w:right="20" w:hanging="321"/>
        <w:spacing w:after="0" w:line="228" w:lineRule="auto"/>
        <w:tabs>
          <w:tab w:leader="none" w:pos="636"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pacing w:after="0" w:line="182" w:lineRule="exact"/>
        <w:rPr>
          <w:rFonts w:ascii="Times New Roman" w:cs="Times New Roman" w:eastAsia="Times New Roman" w:hAnsi="Times New Roman"/>
          <w:sz w:val="18"/>
          <w:szCs w:val="18"/>
          <w:color w:val="auto"/>
        </w:rPr>
      </w:pPr>
    </w:p>
    <w:p>
      <w:pPr>
        <w:ind w:left="640" w:right="20" w:hanging="321"/>
        <w:spacing w:after="0" w:line="219" w:lineRule="auto"/>
        <w:tabs>
          <w:tab w:leader="none" w:pos="633"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32" w:lineRule="exact"/>
        <w:rPr>
          <w:sz w:val="20"/>
          <w:szCs w:val="20"/>
          <w:color w:val="auto"/>
        </w:rPr>
      </w:pPr>
    </w:p>
    <w:p>
      <w:pPr>
        <w:ind w:left="640" w:right="400" w:hanging="321"/>
        <w:spacing w:after="0" w:line="250" w:lineRule="auto"/>
        <w:tabs>
          <w:tab w:leader="none" w:pos="63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67" w:lineRule="exact"/>
        <w:rPr>
          <w:rFonts w:ascii="Times New Roman" w:cs="Times New Roman" w:eastAsia="Times New Roman" w:hAnsi="Times New Roman"/>
          <w:sz w:val="18"/>
          <w:szCs w:val="18"/>
          <w:color w:val="auto"/>
        </w:rPr>
      </w:pPr>
    </w:p>
    <w:p>
      <w:pPr>
        <w:ind w:left="320" w:right="240" w:hanging="315"/>
        <w:spacing w:after="0" w:line="226" w:lineRule="auto"/>
        <w:tabs>
          <w:tab w:leader="none" w:pos="3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No Construction Against Drafter. </w:t>
      </w:r>
      <w:r>
        <w:rPr>
          <w:rFonts w:ascii="Times New Roman" w:cs="Times New Roman" w:eastAsia="Times New Roman" w:hAnsi="Times New Roman"/>
          <w:sz w:val="18"/>
          <w:szCs w:val="18"/>
          <w:color w:val="auto"/>
        </w:rPr>
        <w:t>This Agreement shall be deemed to be made in the State of New York, and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Amendment; No Waiver; Severability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40" w:right="20" w:hanging="321"/>
        <w:spacing w:after="0" w:line="223" w:lineRule="auto"/>
        <w:tabs>
          <w:tab w:leader="none" w:pos="63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2" w:lineRule="exact"/>
        <w:rPr>
          <w:rFonts w:ascii="Times New Roman" w:cs="Times New Roman" w:eastAsia="Times New Roman" w:hAnsi="Times New Roman"/>
          <w:sz w:val="18"/>
          <w:szCs w:val="18"/>
          <w:color w:val="auto"/>
        </w:rPr>
      </w:pPr>
    </w:p>
    <w:p>
      <w:pPr>
        <w:ind w:left="640" w:right="80" w:hanging="321"/>
        <w:spacing w:after="0" w:line="219" w:lineRule="auto"/>
        <w:tabs>
          <w:tab w:leader="none" w:pos="63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6" w:lineRule="exact"/>
        <w:rPr>
          <w:rFonts w:ascii="Times New Roman" w:cs="Times New Roman" w:eastAsia="Times New Roman" w:hAnsi="Times New Roman"/>
          <w:sz w:val="18"/>
          <w:szCs w:val="18"/>
          <w:color w:val="auto"/>
        </w:rPr>
      </w:pPr>
    </w:p>
    <w:p>
      <w:pPr>
        <w:ind w:left="320" w:right="160" w:hanging="315"/>
        <w:spacing w:after="0" w:line="226" w:lineRule="auto"/>
        <w:tabs>
          <w:tab w:leader="none" w:pos="3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and understanding between the Company and Executive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June 24, 2015 shall each continue in full force and effect in accordance with their terms, and any award agreements issued pursuant to the Plan shall continue in full force and effect in accordance with their terms.</w:t>
      </w:r>
    </w:p>
    <w:p>
      <w:pPr>
        <w:spacing w:after="0" w:line="178" w:lineRule="exact"/>
        <w:rPr>
          <w:rFonts w:ascii="Times New Roman" w:cs="Times New Roman" w:eastAsia="Times New Roman" w:hAnsi="Times New Roman"/>
          <w:sz w:val="18"/>
          <w:szCs w:val="18"/>
          <w:color w:val="auto"/>
        </w:rPr>
      </w:pPr>
    </w:p>
    <w:p>
      <w:pPr>
        <w:ind w:left="320" w:right="240" w:hanging="315"/>
        <w:spacing w:after="0" w:line="230" w:lineRule="auto"/>
        <w:tabs>
          <w:tab w:leader="none" w:pos="3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rights and obligations of the parties under the provisions of this Agreement shall survive, and remain binding and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5" w:lineRule="exact"/>
        <w:rPr>
          <w:rFonts w:ascii="Times New Roman" w:cs="Times New Roman" w:eastAsia="Times New Roman" w:hAnsi="Times New Roman"/>
          <w:sz w:val="18"/>
          <w:szCs w:val="18"/>
          <w:color w:val="auto"/>
        </w:rPr>
      </w:pPr>
    </w:p>
    <w:p>
      <w:pPr>
        <w:ind w:left="320" w:right="140" w:hanging="315"/>
        <w:spacing w:after="0" w:line="230" w:lineRule="auto"/>
        <w:tabs>
          <w:tab w:leader="none" w:pos="3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or other communications required or permitted to be given hereunder shall be in writing and shall be delivered by hand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pacing w:after="0" w:line="180"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8"/>
          <w:szCs w:val="18"/>
          <w:color w:val="auto"/>
        </w:rPr>
        <w:t>Virtu Financial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1" w:lineRule="exact"/>
        <w:rPr>
          <w:sz w:val="20"/>
          <w:szCs w:val="20"/>
          <w:color w:val="auto"/>
        </w:rPr>
      </w:pPr>
    </w:p>
    <w:p>
      <w:pPr>
        <w:ind w:left="1861"/>
        <w:spacing w:after="0"/>
        <w:rPr>
          <w:sz w:val="20"/>
          <w:szCs w:val="20"/>
          <w:color w:val="auto"/>
        </w:rPr>
      </w:pPr>
      <w:r>
        <w:rPr>
          <w:rFonts w:ascii="Times New Roman" w:cs="Times New Roman" w:eastAsia="Times New Roman" w:hAnsi="Times New Roman"/>
          <w:sz w:val="18"/>
          <w:szCs w:val="18"/>
          <w:color w:val="auto"/>
        </w:rPr>
        <w:t>1633 Broadway, 41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w:t>
      </w:r>
    </w:p>
    <w:p>
      <w:pPr>
        <w:ind w:left="1861"/>
        <w:spacing w:after="0" w:line="212" w:lineRule="auto"/>
        <w:rPr>
          <w:sz w:val="20"/>
          <w:szCs w:val="20"/>
          <w:color w:val="auto"/>
        </w:rPr>
      </w:pPr>
      <w:r>
        <w:rPr>
          <w:rFonts w:ascii="Times New Roman" w:cs="Times New Roman" w:eastAsia="Times New Roman" w:hAnsi="Times New Roman"/>
          <w:sz w:val="18"/>
          <w:szCs w:val="18"/>
          <w:color w:val="auto"/>
        </w:rPr>
        <w:t>New York, NY 10019</w:t>
      </w:r>
    </w:p>
    <w:p>
      <w:pPr>
        <w:ind w:left="1841"/>
        <w:spacing w:after="0" w:line="213" w:lineRule="auto"/>
        <w:rPr>
          <w:sz w:val="20"/>
          <w:szCs w:val="20"/>
          <w:color w:val="auto"/>
        </w:rPr>
      </w:pPr>
      <w:r>
        <w:rPr>
          <w:rFonts w:ascii="Times New Roman" w:cs="Times New Roman" w:eastAsia="Times New Roman" w:hAnsi="Times New Roman"/>
          <w:sz w:val="18"/>
          <w:szCs w:val="18"/>
          <w:color w:val="auto"/>
        </w:rPr>
        <w:t>Attn: Legal Department</w:t>
      </w:r>
    </w:p>
    <w:p>
      <w:pPr>
        <w:ind w:left="1861"/>
        <w:spacing w:after="0"/>
        <w:rPr>
          <w:sz w:val="20"/>
          <w:szCs w:val="20"/>
          <w:color w:val="auto"/>
        </w:rPr>
      </w:pPr>
      <w:r>
        <w:rPr>
          <w:rFonts w:ascii="Times New Roman" w:cs="Times New Roman" w:eastAsia="Times New Roman" w:hAnsi="Times New Roman"/>
          <w:sz w:val="18"/>
          <w:szCs w:val="18"/>
          <w:color w:val="auto"/>
        </w:rPr>
        <w:t>E-mail: Legal @virtu.com</w:t>
      </w:r>
    </w:p>
    <w:p>
      <w:pPr>
        <w:spacing w:after="0" w:line="189" w:lineRule="exact"/>
        <w:rPr>
          <w:sz w:val="20"/>
          <w:szCs w:val="20"/>
          <w:color w:val="auto"/>
        </w:rPr>
      </w:pPr>
    </w:p>
    <w:p>
      <w:pPr>
        <w:ind w:left="941"/>
        <w:spacing w:after="0"/>
        <w:tabs>
          <w:tab w:leader="none" w:pos="2280" w:val="left"/>
        </w:tabs>
        <w:rPr>
          <w:sz w:val="20"/>
          <w:szCs w:val="20"/>
          <w:color w:val="auto"/>
        </w:rPr>
      </w:pPr>
      <w:r>
        <w:rPr>
          <w:rFonts w:ascii="Times New Roman" w:cs="Times New Roman" w:eastAsia="Times New Roman" w:hAnsi="Times New Roman"/>
          <w:sz w:val="18"/>
          <w:szCs w:val="18"/>
          <w:color w:val="auto"/>
        </w:rPr>
        <w:t>If to Executive:</w:t>
        <w:tab/>
        <w:t>At the most recent address on file in the</w:t>
      </w:r>
    </w:p>
    <w:p>
      <w:pPr>
        <w:ind w:left="4081"/>
        <w:spacing w:after="0"/>
        <w:rPr>
          <w:sz w:val="20"/>
          <w:szCs w:val="20"/>
          <w:color w:val="auto"/>
        </w:rPr>
      </w:pPr>
      <w:r>
        <w:rPr>
          <w:rFonts w:ascii="Times New Roman" w:cs="Times New Roman" w:eastAsia="Times New Roman" w:hAnsi="Times New Roman"/>
          <w:sz w:val="18"/>
          <w:szCs w:val="18"/>
          <w:color w:val="auto"/>
        </w:rPr>
        <w:t>Company’s records</w:t>
      </w:r>
    </w:p>
    <w:p>
      <w:pPr>
        <w:spacing w:after="0" w:line="192"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Notices delivered by email shall have the same legal effect as if such notice had been delivered in person.</w:t>
      </w:r>
    </w:p>
    <w:p>
      <w:pPr>
        <w:spacing w:after="0" w:line="208" w:lineRule="exact"/>
        <w:rPr>
          <w:sz w:val="20"/>
          <w:szCs w:val="20"/>
          <w:color w:val="auto"/>
        </w:rPr>
      </w:pPr>
    </w:p>
    <w:p>
      <w:pPr>
        <w:ind w:left="321" w:right="80" w:hanging="321"/>
        <w:spacing w:after="0" w:line="235" w:lineRule="auto"/>
        <w:tabs>
          <w:tab w:leader="none" w:pos="31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and References. </w:t>
      </w:r>
      <w:r>
        <w:rPr>
          <w:rFonts w:ascii="Times New Roman" w:cs="Times New Roman" w:eastAsia="Times New Roman" w:hAnsi="Times New Roman"/>
          <w:sz w:val="18"/>
          <w:szCs w:val="18"/>
          <w:color w:val="auto"/>
        </w:rPr>
        <w:t>The headings of this Agreement are inserted for convenience only and neither constitute a part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affect in any way the meaning or interpretation of this Agreement. When a reference in this Agreement is made to a Section, such reference shall be to a Section of this Agreement unless otherwise indicated.</w:t>
      </w:r>
    </w:p>
    <w:p>
      <w:pPr>
        <w:spacing w:after="0" w:line="177" w:lineRule="exact"/>
        <w:rPr>
          <w:rFonts w:ascii="Times New Roman" w:cs="Times New Roman" w:eastAsia="Times New Roman" w:hAnsi="Times New Roman"/>
          <w:sz w:val="18"/>
          <w:szCs w:val="18"/>
          <w:color w:val="auto"/>
        </w:rPr>
      </w:pPr>
    </w:p>
    <w:p>
      <w:pPr>
        <w:jc w:val="both"/>
        <w:ind w:left="321" w:right="40" w:hanging="321"/>
        <w:spacing w:after="0" w:line="235" w:lineRule="auto"/>
        <w:tabs>
          <w:tab w:leader="none" w:pos="31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one or more counterparts (including via facsimile and electronic image scan (.pdf)),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921"/>
          </w:cols>
          <w:pgMar w:left="639" w:top="1440" w:right="3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duly executed by the parties as of the date first written above.</w:t>
      </w: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989965" cy="33274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989965" cy="332740"/>
                    </a:xfrm>
                    <a:prstGeom prst="rect">
                      <a:avLst/>
                    </a:prstGeom>
                    <a:noFill/>
                    <a:ln>
                      <a:noFill/>
                    </a:ln>
                  </pic:spPr>
                </pic:pic>
              </a:graphicData>
            </a:graphic>
          </wp:inline>
        </w:drawing>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Douglas A. Cifu</w:t>
      </w:r>
    </w:p>
    <w:p>
      <w:pPr>
        <w:ind w:left="3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596265</wp:posOffset>
            </wp:positionV>
            <wp:extent cx="690245" cy="640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690245" cy="64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-3810</wp:posOffset>
            </wp:positionV>
            <wp:extent cx="1162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116205" cy="8255"/>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18"/>
          <w:szCs w:val="18"/>
          <w:color w:val="auto"/>
        </w:rPr>
        <w:t>Name: Stephen Cavoli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00"/>
          </w:cols>
          <w:pgMar w:left="960" w:top="1440" w:right="339" w:bottom="1440" w:gutter="0" w:footer="0" w:header="0"/>
        </w:sectPr>
      </w:pPr>
    </w:p>
    <w:bookmarkStart w:id="190" w:name="page191"/>
    <w:bookmarkEnd w:id="190"/>
    <w:p>
      <w:pPr>
        <w:ind w:left="4500"/>
        <w:spacing w:after="0"/>
        <w:rPr>
          <w:sz w:val="20"/>
          <w:szCs w:val="20"/>
          <w:color w:val="auto"/>
        </w:rPr>
      </w:pPr>
      <w:r>
        <w:rPr>
          <w:rFonts w:ascii="Times New Roman" w:cs="Times New Roman" w:eastAsia="Times New Roman" w:hAnsi="Times New Roman"/>
          <w:sz w:val="19"/>
          <w:szCs w:val="19"/>
          <w:b w:val="1"/>
          <w:bCs w:val="1"/>
          <w:color w:val="auto"/>
        </w:rPr>
        <w:t>VIRTU FINANCIAL, INC.</w:t>
      </w:r>
    </w:p>
    <w:p>
      <w:pPr>
        <w:ind w:left="3820"/>
        <w:spacing w:after="0" w:line="203" w:lineRule="auto"/>
        <w:rPr>
          <w:sz w:val="20"/>
          <w:szCs w:val="20"/>
          <w:color w:val="auto"/>
        </w:rPr>
      </w:pPr>
      <w:r>
        <w:rPr>
          <w:rFonts w:ascii="Times New Roman" w:cs="Times New Roman" w:eastAsia="Times New Roman" w:hAnsi="Times New Roman"/>
          <w:sz w:val="19"/>
          <w:szCs w:val="19"/>
          <w:b w:val="1"/>
          <w:bCs w:val="1"/>
          <w:color w:val="auto"/>
        </w:rPr>
        <w:t>2015 MANAGEMENT INCENTIVE PLAN</w:t>
      </w:r>
    </w:p>
    <w:p>
      <w:pPr>
        <w:jc w:val="center"/>
        <w:spacing w:after="0" w:line="216" w:lineRule="auto"/>
        <w:rPr>
          <w:sz w:val="20"/>
          <w:szCs w:val="20"/>
          <w:color w:val="auto"/>
        </w:rPr>
      </w:pPr>
      <w:r>
        <w:rPr>
          <w:rFonts w:ascii="Times New Roman" w:cs="Times New Roman" w:eastAsia="Times New Roman" w:hAnsi="Times New Roman"/>
          <w:sz w:val="19"/>
          <w:szCs w:val="19"/>
          <w:b w:val="1"/>
          <w:bCs w:val="1"/>
          <w:u w:val="single" w:color="auto"/>
          <w:color w:val="auto"/>
        </w:rPr>
        <w:t>AMENDMENT NO. 1 TO</w:t>
      </w:r>
    </w:p>
    <w:p>
      <w:pPr>
        <w:jc w:val="center"/>
        <w:ind w:right="-39"/>
        <w:spacing w:after="0" w:line="216" w:lineRule="auto"/>
        <w:rPr>
          <w:sz w:val="20"/>
          <w:szCs w:val="20"/>
          <w:color w:val="auto"/>
        </w:rPr>
      </w:pPr>
      <w:r>
        <w:rPr>
          <w:rFonts w:ascii="Times New Roman" w:cs="Times New Roman" w:eastAsia="Times New Roman" w:hAnsi="Times New Roman"/>
          <w:sz w:val="19"/>
          <w:szCs w:val="19"/>
          <w:b w:val="1"/>
          <w:bCs w:val="1"/>
          <w:u w:val="single" w:color="auto"/>
          <w:color w:val="auto"/>
        </w:rPr>
        <w:t>EMPLOYEE</w:t>
      </w:r>
    </w:p>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RESTRICTED STOCK UNIT AWARD AGREEMENT</w:t>
      </w:r>
    </w:p>
    <w:p>
      <w:pPr>
        <w:spacing w:after="0" w:line="100" w:lineRule="exact"/>
        <w:rPr>
          <w:sz w:val="20"/>
          <w:szCs w:val="20"/>
          <w:color w:val="auto"/>
        </w:rPr>
      </w:pPr>
    </w:p>
    <w:p>
      <w:pPr>
        <w:ind w:right="60" w:firstLine="629"/>
        <w:spacing w:after="0" w:line="235" w:lineRule="auto"/>
        <w:rPr>
          <w:sz w:val="20"/>
          <w:szCs w:val="20"/>
          <w:color w:val="auto"/>
        </w:rPr>
      </w:pPr>
      <w:r>
        <w:rPr>
          <w:rFonts w:ascii="Times New Roman" w:cs="Times New Roman" w:eastAsia="Times New Roman" w:hAnsi="Times New Roman"/>
          <w:sz w:val="19"/>
          <w:szCs w:val="19"/>
          <w:color w:val="auto"/>
        </w:rPr>
        <w:t>THIS AMENDMENT NO. 1 TO THE RESTRICTED STOCK UNIT AWARD AGREEMENT (the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entered into as of December 1, 2022 (the “</w:t>
      </w:r>
      <w:r>
        <w:rPr>
          <w:rFonts w:ascii="Times New Roman" w:cs="Times New Roman" w:eastAsia="Times New Roman" w:hAnsi="Times New Roman"/>
          <w:sz w:val="19"/>
          <w:szCs w:val="19"/>
          <w:u w:val="single" w:color="auto"/>
          <w:color w:val="auto"/>
        </w:rPr>
        <w:t>Amendment Date</w:t>
      </w:r>
      <w:r>
        <w:rPr>
          <w:rFonts w:ascii="Times New Roman" w:cs="Times New Roman" w:eastAsia="Times New Roman" w:hAnsi="Times New Roman"/>
          <w:sz w:val="19"/>
          <w:szCs w:val="19"/>
          <w:color w:val="auto"/>
        </w:rPr>
        <w:t>”), by and between Virtu Financial,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Douglas A. Cifu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w:t>
      </w:r>
    </w:p>
    <w:p>
      <w:pPr>
        <w:spacing w:after="0" w:line="92" w:lineRule="exact"/>
        <w:rPr>
          <w:sz w:val="20"/>
          <w:szCs w:val="20"/>
          <w:color w:val="auto"/>
        </w:rPr>
      </w:pPr>
    </w:p>
    <w:p>
      <w:pPr>
        <w:ind w:right="200" w:firstLine="629"/>
        <w:spacing w:after="0" w:line="251" w:lineRule="auto"/>
        <w:rPr>
          <w:sz w:val="20"/>
          <w:szCs w:val="20"/>
          <w:color w:val="auto"/>
        </w:rPr>
      </w:pPr>
      <w:r>
        <w:rPr>
          <w:rFonts w:ascii="Times New Roman" w:cs="Times New Roman" w:eastAsia="Times New Roman" w:hAnsi="Times New Roman"/>
          <w:sz w:val="19"/>
          <w:szCs w:val="19"/>
          <w:color w:val="auto"/>
        </w:rPr>
        <w:t>WHEREAS, the Company has adopted the Virtu Financial, Inc. Amended and Restated 2015 Management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pursuant to which Restricted Stock Units (the “</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may be granted;</w:t>
      </w:r>
    </w:p>
    <w:p>
      <w:pPr>
        <w:spacing w:after="0" w:line="93" w:lineRule="exact"/>
        <w:rPr>
          <w:sz w:val="20"/>
          <w:szCs w:val="20"/>
          <w:color w:val="auto"/>
        </w:rPr>
      </w:pPr>
    </w:p>
    <w:p>
      <w:pPr>
        <w:ind w:right="140" w:firstLine="629"/>
        <w:spacing w:after="0" w:line="220" w:lineRule="auto"/>
        <w:rPr>
          <w:sz w:val="20"/>
          <w:szCs w:val="20"/>
          <w:color w:val="auto"/>
        </w:rPr>
      </w:pPr>
      <w:r>
        <w:rPr>
          <w:rFonts w:ascii="Times New Roman" w:cs="Times New Roman" w:eastAsia="Times New Roman" w:hAnsi="Times New Roman"/>
          <w:sz w:val="19"/>
          <w:szCs w:val="19"/>
          <w:color w:val="auto"/>
        </w:rPr>
        <w:t>WHEREAS, the Company and the Participant entered into that certain Amended and Restated Employment Agreement, dated as of November 15, 2017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pursuant to which the Participant is eligible to receive an equity award at the beginning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each calendar year during the Term (as defined in the Employment Agreement);</w:t>
      </w:r>
    </w:p>
    <w:p>
      <w:pPr>
        <w:spacing w:after="0" w:line="113" w:lineRule="exact"/>
        <w:rPr>
          <w:sz w:val="20"/>
          <w:szCs w:val="20"/>
          <w:color w:val="auto"/>
        </w:rPr>
      </w:pPr>
    </w:p>
    <w:p>
      <w:pPr>
        <w:ind w:right="280" w:firstLine="629"/>
        <w:spacing w:after="0" w:line="220" w:lineRule="auto"/>
        <w:rPr>
          <w:sz w:val="20"/>
          <w:szCs w:val="20"/>
          <w:color w:val="auto"/>
        </w:rPr>
      </w:pPr>
      <w:r>
        <w:rPr>
          <w:rFonts w:ascii="Times New Roman" w:cs="Times New Roman" w:eastAsia="Times New Roman" w:hAnsi="Times New Roman"/>
          <w:sz w:val="19"/>
          <w:szCs w:val="19"/>
          <w:color w:val="auto"/>
        </w:rPr>
        <w:t>WHEREAS, the Company has adopted that certain Deferred Compensation Plan, effective November 13, 2020 and as amended from time to time (the “</w:t>
      </w:r>
      <w:r>
        <w:rPr>
          <w:rFonts w:ascii="Times New Roman" w:cs="Times New Roman" w:eastAsia="Times New Roman" w:hAnsi="Times New Roman"/>
          <w:sz w:val="19"/>
          <w:szCs w:val="19"/>
          <w:u w:val="single" w:color="auto"/>
          <w:color w:val="auto"/>
        </w:rPr>
        <w:t>Deferred Compensation Plan</w:t>
      </w:r>
      <w:r>
        <w:rPr>
          <w:rFonts w:ascii="Times New Roman" w:cs="Times New Roman" w:eastAsia="Times New Roman" w:hAnsi="Times New Roman"/>
          <w:sz w:val="19"/>
          <w:szCs w:val="19"/>
          <w:color w:val="auto"/>
        </w:rPr>
        <w:t>”) pursuant to which eligible employees may elect to defer certain compensation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the terms thereof and any other applicable requirements or conditions;</w:t>
      </w:r>
    </w:p>
    <w:p>
      <w:pPr>
        <w:spacing w:after="0" w:line="113" w:lineRule="exact"/>
        <w:rPr>
          <w:sz w:val="20"/>
          <w:szCs w:val="20"/>
          <w:color w:val="auto"/>
        </w:rPr>
      </w:pPr>
    </w:p>
    <w:p>
      <w:pPr>
        <w:ind w:right="220" w:firstLine="629"/>
        <w:spacing w:after="0" w:line="220" w:lineRule="auto"/>
        <w:rPr>
          <w:sz w:val="20"/>
          <w:szCs w:val="20"/>
          <w:color w:val="auto"/>
        </w:rPr>
      </w:pPr>
      <w:r>
        <w:rPr>
          <w:rFonts w:ascii="Times New Roman" w:cs="Times New Roman" w:eastAsia="Times New Roman" w:hAnsi="Times New Roman"/>
          <w:sz w:val="19"/>
          <w:szCs w:val="19"/>
          <w:color w:val="auto"/>
        </w:rPr>
        <w:t>WHEREAS, the Participant made a deferral election in accordance with the Deferred Compensation Plan on or prior to December 31, 2021 pursuant to which the Participant elected to defer all equity compensation awarded in consideration of services rendered in the fiscal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ended December 31, 2022 (the “</w:t>
      </w:r>
      <w:r>
        <w:rPr>
          <w:rFonts w:ascii="Times New Roman" w:cs="Times New Roman" w:eastAsia="Times New Roman" w:hAnsi="Times New Roman"/>
          <w:sz w:val="19"/>
          <w:szCs w:val="19"/>
          <w:u w:val="single" w:color="auto"/>
          <w:color w:val="auto"/>
        </w:rPr>
        <w:t>Cifu 2022 Deferral Election</w:t>
      </w:r>
      <w:r>
        <w:rPr>
          <w:rFonts w:ascii="Times New Roman" w:cs="Times New Roman" w:eastAsia="Times New Roman" w:hAnsi="Times New Roman"/>
          <w:sz w:val="19"/>
          <w:szCs w:val="19"/>
          <w:color w:val="auto"/>
        </w:rPr>
        <w:t>”);</w:t>
      </w:r>
    </w:p>
    <w:p>
      <w:pPr>
        <w:spacing w:after="0" w:line="100" w:lineRule="exact"/>
        <w:rPr>
          <w:sz w:val="20"/>
          <w:szCs w:val="20"/>
          <w:color w:val="auto"/>
        </w:rPr>
      </w:pPr>
    </w:p>
    <w:p>
      <w:pPr>
        <w:ind w:right="120" w:firstLine="629"/>
        <w:spacing w:after="0" w:line="251" w:lineRule="auto"/>
        <w:rPr>
          <w:sz w:val="20"/>
          <w:szCs w:val="20"/>
          <w:color w:val="auto"/>
        </w:rPr>
      </w:pPr>
      <w:r>
        <w:rPr>
          <w:rFonts w:ascii="Times New Roman" w:cs="Times New Roman" w:eastAsia="Times New Roman" w:hAnsi="Times New Roman"/>
          <w:sz w:val="19"/>
          <w:szCs w:val="19"/>
          <w:color w:val="auto"/>
        </w:rPr>
        <w:t>WHEREAS, on March 1, 2022 the Company issued to the Participant a Restricted Stock Unit Award for the grant of 150,000 Restricted Stock Units of the Company (the “</w:t>
      </w:r>
      <w:r>
        <w:rPr>
          <w:rFonts w:ascii="Times New Roman" w:cs="Times New Roman" w:eastAsia="Times New Roman" w:hAnsi="Times New Roman"/>
          <w:sz w:val="19"/>
          <w:szCs w:val="19"/>
          <w:u w:val="single" w:color="auto"/>
          <w:color w:val="auto"/>
        </w:rPr>
        <w:t>2022 RSU Award</w:t>
      </w:r>
      <w:r>
        <w:rPr>
          <w:rFonts w:ascii="Times New Roman" w:cs="Times New Roman" w:eastAsia="Times New Roman" w:hAnsi="Times New Roman"/>
          <w:sz w:val="19"/>
          <w:szCs w:val="19"/>
          <w:color w:val="auto"/>
        </w:rPr>
        <w:t>”), subject to certain terms and conditions reflected in such award;</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on April 29, 2022 the Company and the Participant entered into the Amended and Restated Employment Agreement (the</w:t>
      </w: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2022 Amended and Restated Employment Agreement</w:t>
      </w:r>
      <w:r>
        <w:rPr>
          <w:rFonts w:ascii="Times New Roman" w:cs="Times New Roman" w:eastAsia="Times New Roman" w:hAnsi="Times New Roman"/>
          <w:sz w:val="19"/>
          <w:szCs w:val="19"/>
          <w:color w:val="auto"/>
        </w:rPr>
        <w:t>”) which amended various terms and conditions of Participant’s employment arrangement,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certain performance conditions in respect of annual equity awards issued thereunder;</w:t>
      </w:r>
    </w:p>
    <w:p>
      <w:pPr>
        <w:spacing w:after="0" w:line="113" w:lineRule="exact"/>
        <w:rPr>
          <w:sz w:val="20"/>
          <w:szCs w:val="20"/>
          <w:color w:val="auto"/>
        </w:rPr>
      </w:pPr>
    </w:p>
    <w:p>
      <w:pPr>
        <w:ind w:right="180" w:firstLine="629"/>
        <w:spacing w:after="0" w:line="238" w:lineRule="auto"/>
        <w:rPr>
          <w:sz w:val="20"/>
          <w:szCs w:val="20"/>
          <w:color w:val="auto"/>
        </w:rPr>
      </w:pPr>
      <w:r>
        <w:rPr>
          <w:rFonts w:ascii="Times New Roman" w:cs="Times New Roman" w:eastAsia="Times New Roman" w:hAnsi="Times New Roman"/>
          <w:sz w:val="19"/>
          <w:szCs w:val="19"/>
          <w:color w:val="auto"/>
        </w:rPr>
        <w:t>WHEREAS, the Company and the Participant desire to amend certain terms of the 2022 RSU Award in order to reflect the terms of the 2022 Amended and Restated Employment Agreement;</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NOW, THEREFORE, for and in consideration of the premises and the covenants of the parties contained in this Agreement, and for other</w:t>
      </w:r>
    </w:p>
    <w:p>
      <w:pPr>
        <w:ind w:right="260"/>
        <w:spacing w:after="0" w:line="226" w:lineRule="auto"/>
        <w:rPr>
          <w:sz w:val="20"/>
          <w:szCs w:val="20"/>
          <w:color w:val="auto"/>
        </w:rPr>
      </w:pPr>
      <w:r>
        <w:rPr>
          <w:rFonts w:ascii="Times New Roman" w:cs="Times New Roman" w:eastAsia="Times New Roman" w:hAnsi="Times New Roman"/>
          <w:sz w:val="19"/>
          <w:szCs w:val="19"/>
          <w:color w:val="auto"/>
        </w:rPr>
        <w:t>good and valuable consideration, the receipt of which is hereby acknowledged, the parties hereto, for themselves, their successors and assigns, hereby agree as follows:</w:t>
      </w:r>
    </w:p>
    <w:p>
      <w:pPr>
        <w:spacing w:after="0" w:line="154" w:lineRule="exact"/>
        <w:rPr>
          <w:sz w:val="20"/>
          <w:szCs w:val="20"/>
          <w:color w:val="auto"/>
        </w:rPr>
      </w:pPr>
    </w:p>
    <w:p>
      <w:pPr>
        <w:ind w:left="640" w:hanging="635"/>
        <w:spacing w:after="0"/>
        <w:tabs>
          <w:tab w:leader="none" w:pos="640"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p>
    <w:p>
      <w:pPr>
        <w:spacing w:after="0" w:line="186" w:lineRule="exact"/>
        <w:rPr>
          <w:sz w:val="20"/>
          <w:szCs w:val="20"/>
          <w:color w:val="auto"/>
        </w:rPr>
      </w:pPr>
    </w:p>
    <w:p>
      <w:pPr>
        <w:ind w:left="640" w:right="32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Section 2 of the 2022 RSU Award is hereby amended and restated in its entirety in accordance with Section 8(k) thereof to read as follows:</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b w:val="1"/>
          <w:bCs w:val="1"/>
          <w:color w:val="auto"/>
        </w:rPr>
        <w:t>2. Vesting; Settlement of Restricted Stock Units.</w:t>
      </w:r>
    </w:p>
    <w:p>
      <w:pPr>
        <w:spacing w:after="0" w:line="188" w:lineRule="exact"/>
        <w:rPr>
          <w:sz w:val="20"/>
          <w:szCs w:val="20"/>
          <w:color w:val="auto"/>
        </w:rPr>
      </w:pPr>
    </w:p>
    <w:p>
      <w:pPr>
        <w:ind w:left="640" w:right="40" w:firstLine="622"/>
        <w:spacing w:after="0" w:line="221" w:lineRule="auto"/>
        <w:tabs>
          <w:tab w:leader="none" w:pos="1885" w:val="left"/>
        </w:tabs>
        <w:numPr>
          <w:ilvl w:val="0"/>
          <w:numId w:val="13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December 31, 2022 and December 31, 2023 (each such date, a “</w:t>
      </w:r>
      <w:r>
        <w:rPr>
          <w:rFonts w:ascii="Times New Roman" w:cs="Times New Roman" w:eastAsia="Times New Roman" w:hAnsi="Times New Roman"/>
          <w:sz w:val="19"/>
          <w:szCs w:val="19"/>
          <w:i w:val="1"/>
          <w:iCs w:val="1"/>
          <w:u w:val="single" w:color="auto"/>
          <w:color w:val="auto"/>
        </w:rPr>
        <w:t>Vesting Date</w:t>
      </w:r>
      <w:r>
        <w:rPr>
          <w:rFonts w:ascii="Times New Roman" w:cs="Times New Roman" w:eastAsia="Times New Roman" w:hAnsi="Times New Roman"/>
          <w:sz w:val="19"/>
          <w:szCs w:val="19"/>
          <w:i w:val="1"/>
          <w:iCs w:val="1"/>
          <w:color w:val="auto"/>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sectPr>
          <w:pgSz w:w="11900" w:h="16838" w:orient="portrait"/>
          <w:cols w:equalWidth="0" w:num="1">
            <w:col w:w="11200"/>
          </w:cols>
          <w:pgMar w:left="320" w:top="1359" w:right="379" w:bottom="1440" w:gutter="0" w:footer="0" w:header="0"/>
        </w:sectPr>
      </w:pPr>
    </w:p>
    <w:bookmarkStart w:id="191" w:name="page192"/>
    <w:bookmarkEnd w:id="191"/>
    <w:p>
      <w:pPr>
        <w:ind w:left="635" w:firstLine="622"/>
        <w:spacing w:after="0" w:line="231" w:lineRule="auto"/>
        <w:tabs>
          <w:tab w:leader="none" w:pos="1880" w:val="left"/>
        </w:tabs>
        <w:numPr>
          <w:ilvl w:val="0"/>
          <w:numId w:val="13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The number of RSUs earned under this Agreement shall be determined based on the percentage of the Company’s Adjusted EBITDA target as set forth in the Company’s approved annual budget (“</w:t>
      </w:r>
      <w:r>
        <w:rPr>
          <w:rFonts w:ascii="Times New Roman" w:cs="Times New Roman" w:eastAsia="Times New Roman" w:hAnsi="Times New Roman"/>
          <w:sz w:val="19"/>
          <w:szCs w:val="19"/>
          <w:i w:val="1"/>
          <w:iCs w:val="1"/>
          <w:u w:val="single" w:color="auto"/>
          <w:color w:val="auto"/>
        </w:rPr>
        <w:t>Budgeted EBITDA</w:t>
      </w:r>
      <w:r>
        <w:rPr>
          <w:rFonts w:ascii="Times New Roman" w:cs="Times New Roman" w:eastAsia="Times New Roman" w:hAnsi="Times New Roman"/>
          <w:sz w:val="19"/>
          <w:szCs w:val="19"/>
          <w:i w:val="1"/>
          <w:iCs w:val="1"/>
          <w:color w:val="auto"/>
        </w:rPr>
        <w:t>”) achieved in calendar year 2022 in accordance with the table below.</w:t>
      </w:r>
    </w:p>
    <w:p>
      <w:pPr>
        <w:spacing w:after="0" w:line="199" w:lineRule="exact"/>
        <w:rPr>
          <w:sz w:val="20"/>
          <w:szCs w:val="20"/>
          <w:color w:val="auto"/>
        </w:rPr>
      </w:pPr>
    </w:p>
    <w:tbl>
      <w:tblPr>
        <w:tblLayout w:type="fixed"/>
        <w:tblInd w:w="2465" w:type="dxa"/>
        <w:tblCellMar>
          <w:top w:w="0" w:type="dxa"/>
          <w:left w:w="0" w:type="dxa"/>
          <w:bottom w:w="0" w:type="dxa"/>
          <w:right w:w="0" w:type="dxa"/>
        </w:tblCellMar>
      </w:tblPr>
      <w:tr>
        <w:trPr>
          <w:trHeight w:val="196"/>
        </w:trPr>
        <w:tc>
          <w:tcPr>
            <w:tcW w:w="286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b w:val="1"/>
                <w:bCs w:val="1"/>
                <w:i w:val="1"/>
                <w:iCs w:val="1"/>
                <w:color w:val="auto"/>
              </w:rPr>
              <w:t>Percentage of Budgeted EBITDA</w:t>
            </w:r>
          </w:p>
        </w:tc>
        <w:tc>
          <w:tcPr>
            <w:tcW w:w="2720" w:type="dxa"/>
            <w:vAlign w:val="bottom"/>
            <w:tcBorders>
              <w:top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b w:val="1"/>
                <w:bCs w:val="1"/>
                <w:i w:val="1"/>
                <w:iCs w:val="1"/>
                <w:color w:val="auto"/>
              </w:rPr>
              <w:t>Number of RSUs Earned</w:t>
            </w:r>
          </w:p>
        </w:tc>
      </w:tr>
      <w:tr>
        <w:trPr>
          <w:trHeight w:val="249"/>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Achieved</w:t>
            </w:r>
          </w:p>
        </w:tc>
        <w:tc>
          <w:tcPr>
            <w:tcW w:w="2720" w:type="dxa"/>
            <w:vAlign w:val="bottom"/>
            <w:tcBorders>
              <w:bottom w:val="single" w:sz="8" w:color="auto"/>
              <w:right w:val="single" w:sz="8" w:color="auto"/>
            </w:tcBorders>
          </w:tcPr>
          <w:p>
            <w:pPr>
              <w:spacing w:after="0"/>
              <w:rPr>
                <w:sz w:val="21"/>
                <w:szCs w:val="21"/>
                <w:color w:val="auto"/>
              </w:rPr>
            </w:pPr>
          </w:p>
        </w:tc>
      </w:tr>
      <w:tr>
        <w:trPr>
          <w:trHeight w:val="242"/>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65% or more</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150,000</w:t>
            </w:r>
          </w:p>
        </w:tc>
      </w:tr>
      <w:tr>
        <w:trPr>
          <w:trHeight w:val="178"/>
        </w:trPr>
        <w:tc>
          <w:tcPr>
            <w:tcW w:w="286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9"/>
                <w:szCs w:val="19"/>
                <w:i w:val="1"/>
                <w:iCs w:val="1"/>
                <w:color w:val="auto"/>
              </w:rPr>
              <w:t>Less than 65%</w:t>
            </w:r>
          </w:p>
        </w:tc>
        <w:tc>
          <w:tcPr>
            <w:tcW w:w="272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9"/>
                <w:szCs w:val="19"/>
                <w:i w:val="1"/>
                <w:iCs w:val="1"/>
                <w:color w:val="auto"/>
              </w:rPr>
              <w:t>As determined at the sole</w:t>
            </w:r>
          </w:p>
        </w:tc>
      </w:tr>
      <w:tr>
        <w:trPr>
          <w:trHeight w:val="195"/>
        </w:trPr>
        <w:tc>
          <w:tcPr>
            <w:tcW w:w="2860" w:type="dxa"/>
            <w:vAlign w:val="bottom"/>
            <w:tcBorders>
              <w:left w:val="single" w:sz="8" w:color="auto"/>
              <w:right w:val="single" w:sz="8" w:color="auto"/>
            </w:tcBorders>
          </w:tcPr>
          <w:p>
            <w:pPr>
              <w:spacing w:after="0"/>
              <w:rPr>
                <w:sz w:val="16"/>
                <w:szCs w:val="16"/>
                <w:color w:val="auto"/>
              </w:rPr>
            </w:pPr>
          </w:p>
        </w:tc>
        <w:tc>
          <w:tcPr>
            <w:tcW w:w="272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9"/>
                <w:szCs w:val="19"/>
                <w:i w:val="1"/>
                <w:iCs w:val="1"/>
                <w:color w:val="auto"/>
              </w:rPr>
              <w:t>discretion of the Compensation</w:t>
            </w:r>
          </w:p>
        </w:tc>
      </w:tr>
      <w:tr>
        <w:trPr>
          <w:trHeight w:val="185"/>
        </w:trPr>
        <w:tc>
          <w:tcPr>
            <w:tcW w:w="2860" w:type="dxa"/>
            <w:vAlign w:val="bottom"/>
            <w:tcBorders>
              <w:left w:val="single" w:sz="8" w:color="auto"/>
              <w:right w:val="single" w:sz="8" w:color="auto"/>
            </w:tcBorders>
          </w:tcPr>
          <w:p>
            <w:pPr>
              <w:spacing w:after="0"/>
              <w:rPr>
                <w:sz w:val="16"/>
                <w:szCs w:val="16"/>
                <w:color w:val="auto"/>
              </w:rPr>
            </w:pPr>
          </w:p>
        </w:tc>
        <w:tc>
          <w:tcPr>
            <w:tcW w:w="2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9"/>
                <w:szCs w:val="19"/>
                <w:i w:val="1"/>
                <w:iCs w:val="1"/>
                <w:color w:val="auto"/>
              </w:rPr>
              <w:t>Committee of the Board, which</w:t>
            </w:r>
          </w:p>
        </w:tc>
      </w:tr>
      <w:tr>
        <w:trPr>
          <w:trHeight w:val="257"/>
        </w:trPr>
        <w:tc>
          <w:tcPr>
            <w:tcW w:w="2860" w:type="dxa"/>
            <w:vAlign w:val="bottom"/>
            <w:tcBorders>
              <w:left w:val="single" w:sz="8" w:color="auto"/>
              <w:bottom w:val="single" w:sz="8" w:color="auto"/>
              <w:right w:val="single" w:sz="8" w:color="auto"/>
            </w:tcBorders>
          </w:tcPr>
          <w:p>
            <w:pPr>
              <w:spacing w:after="0"/>
              <w:rPr>
                <w:sz w:val="22"/>
                <w:szCs w:val="22"/>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rPr>
              <w:t>may be 0</w:t>
            </w:r>
          </w:p>
        </w:tc>
      </w:tr>
    </w:tbl>
    <w:p>
      <w:pPr>
        <w:spacing w:after="0" w:line="200" w:lineRule="exact"/>
        <w:rPr>
          <w:sz w:val="20"/>
          <w:szCs w:val="20"/>
          <w:color w:val="auto"/>
        </w:rPr>
      </w:pPr>
    </w:p>
    <w:p>
      <w:pPr>
        <w:spacing w:after="0" w:line="297" w:lineRule="exact"/>
        <w:rPr>
          <w:sz w:val="20"/>
          <w:szCs w:val="20"/>
          <w:color w:val="auto"/>
        </w:rPr>
      </w:pPr>
    </w:p>
    <w:p>
      <w:pPr>
        <w:ind w:left="635" w:right="12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Section 8(k) of the 2022 RSU Award is hereby amended and restated in its entirety in accordance with Section 8(k) thereof to read as follows:</w:t>
      </w:r>
    </w:p>
    <w:p>
      <w:pPr>
        <w:spacing w:after="0" w:line="153" w:lineRule="exact"/>
        <w:rPr>
          <w:sz w:val="20"/>
          <w:szCs w:val="20"/>
          <w:color w:val="auto"/>
        </w:rPr>
      </w:pPr>
    </w:p>
    <w:p>
      <w:pPr>
        <w:ind w:left="635" w:firstLine="185"/>
        <w:spacing w:after="0" w:line="227" w:lineRule="auto"/>
        <w:tabs>
          <w:tab w:leader="none" w:pos="1232" w:val="left"/>
        </w:tabs>
        <w:numPr>
          <w:ilvl w:val="2"/>
          <w:numId w:val="13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u w:val="single" w:color="auto"/>
          <w:color w:val="auto"/>
        </w:rPr>
        <w:t>Entire Agreement</w:t>
      </w:r>
      <w:r>
        <w:rPr>
          <w:rFonts w:ascii="Times New Roman" w:cs="Times New Roman" w:eastAsia="Times New Roman" w:hAnsi="Times New Roman"/>
          <w:sz w:val="19"/>
          <w:szCs w:val="19"/>
          <w:i w:val="1"/>
          <w:iCs w:val="1"/>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w:t>
      </w:r>
    </w:p>
    <w:p>
      <w:pPr>
        <w:spacing w:after="0" w:line="155" w:lineRule="exact"/>
        <w:rPr>
          <w:rFonts w:ascii="Times New Roman" w:cs="Times New Roman" w:eastAsia="Times New Roman" w:hAnsi="Times New Roman"/>
          <w:sz w:val="19"/>
          <w:szCs w:val="19"/>
          <w:i w:val="1"/>
          <w:iCs w:val="1"/>
          <w:color w:val="auto"/>
        </w:rPr>
      </w:pPr>
    </w:p>
    <w:p>
      <w:pPr>
        <w:ind w:left="635" w:hanging="635"/>
        <w:spacing w:after="0"/>
        <w:tabs>
          <w:tab w:leader="none" w:pos="635" w:val="left"/>
        </w:tabs>
        <w:numPr>
          <w:ilvl w:val="0"/>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p>
    <w:p>
      <w:pPr>
        <w:spacing w:after="0" w:line="176" w:lineRule="exact"/>
        <w:rPr>
          <w:rFonts w:ascii="Times New Roman" w:cs="Times New Roman" w:eastAsia="Times New Roman" w:hAnsi="Times New Roman"/>
          <w:sz w:val="19"/>
          <w:szCs w:val="19"/>
          <w:b w:val="1"/>
          <w:bCs w:val="1"/>
          <w:color w:val="auto"/>
        </w:rPr>
      </w:pPr>
    </w:p>
    <w:p>
      <w:pPr>
        <w:ind w:left="1255" w:hanging="626"/>
        <w:spacing w:after="0"/>
        <w:tabs>
          <w:tab w:leader="none" w:pos="1255"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Except as expressly amended herein, the 2022 RSU Award continues in full force and effect.</w:t>
      </w:r>
    </w:p>
    <w:p>
      <w:pPr>
        <w:spacing w:after="0" w:line="187" w:lineRule="exact"/>
        <w:rPr>
          <w:rFonts w:ascii="Times New Roman" w:cs="Times New Roman" w:eastAsia="Times New Roman" w:hAnsi="Times New Roman"/>
          <w:sz w:val="19"/>
          <w:szCs w:val="19"/>
          <w:color w:val="auto"/>
        </w:rPr>
      </w:pPr>
    </w:p>
    <w:p>
      <w:pPr>
        <w:ind w:left="-5" w:right="80" w:firstLine="634"/>
        <w:spacing w:after="0" w:line="231" w:lineRule="auto"/>
        <w:tabs>
          <w:tab w:leader="none" w:pos="1241"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 Gender</w:t>
      </w:r>
      <w:r>
        <w:rPr>
          <w:rFonts w:ascii="Times New Roman" w:cs="Times New Roman" w:eastAsia="Times New Roman" w:hAnsi="Times New Roman"/>
          <w:sz w:val="19"/>
          <w:szCs w:val="19"/>
          <w:color w:val="auto"/>
        </w:rPr>
        <w:t>. The headings of the Sections hereof are provided for convenience only and are not to serve as a basis for interpretation or construction, and shall not constitute a part, of this Amendment. Masculine pronouns and other words of masculine gender shall refer to both men and women as appropriate.</w:t>
      </w:r>
    </w:p>
    <w:p>
      <w:pPr>
        <w:spacing w:after="0" w:line="155" w:lineRule="exact"/>
        <w:rPr>
          <w:rFonts w:ascii="Times New Roman" w:cs="Times New Roman" w:eastAsia="Times New Roman" w:hAnsi="Times New Roman"/>
          <w:sz w:val="19"/>
          <w:szCs w:val="19"/>
          <w:color w:val="auto"/>
        </w:rPr>
      </w:pPr>
    </w:p>
    <w:p>
      <w:pPr>
        <w:ind w:left="-5" w:right="120" w:firstLine="634"/>
        <w:spacing w:after="0" w:line="231" w:lineRule="auto"/>
        <w:tabs>
          <w:tab w:leader="none" w:pos="1243"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5" w:lineRule="exact"/>
        <w:rPr>
          <w:rFonts w:ascii="Times New Roman" w:cs="Times New Roman" w:eastAsia="Times New Roman" w:hAnsi="Times New Roman"/>
          <w:sz w:val="19"/>
          <w:szCs w:val="19"/>
          <w:color w:val="auto"/>
        </w:rPr>
      </w:pPr>
    </w:p>
    <w:p>
      <w:pPr>
        <w:ind w:left="-5" w:firstLine="634"/>
        <w:spacing w:after="0" w:line="222" w:lineRule="auto"/>
        <w:tabs>
          <w:tab w:leader="none" w:pos="1241"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Signature and Delivery</w:t>
      </w:r>
      <w:r>
        <w:rPr>
          <w:rFonts w:ascii="Times New Roman" w:cs="Times New Roman" w:eastAsia="Times New Roman" w:hAnsi="Times New Roman"/>
          <w:sz w:val="19"/>
          <w:szCs w:val="19"/>
          <w:color w:val="auto"/>
        </w:rPr>
        <w:t>. This Amendment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55" w:lineRule="exact"/>
        <w:rPr>
          <w:rFonts w:ascii="Times New Roman" w:cs="Times New Roman" w:eastAsia="Times New Roman" w:hAnsi="Times New Roman"/>
          <w:sz w:val="19"/>
          <w:szCs w:val="19"/>
          <w:color w:val="auto"/>
        </w:rPr>
      </w:pPr>
    </w:p>
    <w:p>
      <w:pPr>
        <w:ind w:left="-5" w:right="60" w:firstLine="634"/>
        <w:spacing w:after="0" w:line="227" w:lineRule="auto"/>
        <w:tabs>
          <w:tab w:leader="none" w:pos="1243"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Participation in Plan</w:t>
      </w:r>
      <w:r>
        <w:rPr>
          <w:rFonts w:ascii="Times New Roman" w:cs="Times New Roman" w:eastAsia="Times New Roman" w:hAnsi="Times New Roman"/>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15"/>
          </w:cols>
          <w:pgMar w:left="325" w:top="1359" w:right="359" w:bottom="1440" w:gutter="0" w:footer="0" w:header="0"/>
        </w:sectPr>
      </w:pPr>
    </w:p>
    <w:bookmarkStart w:id="192" w:name="page193"/>
    <w:bookmarkEnd w:id="192"/>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440" w:right="1440"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 above.</w:t>
      </w:r>
    </w:p>
    <w:p>
      <w:pPr>
        <w:sectPr>
          <w:pgSz w:w="11900" w:h="16838" w:orient="portrait"/>
          <w:cols w:equalWidth="0" w:num="1">
            <w:col w:w="10100"/>
          </w:cols>
          <w:pgMar w:left="1180" w:top="1361" w:right="619" w:bottom="1440" w:gutter="0" w:footer="0" w:header="0"/>
        </w:sectPr>
      </w:pPr>
    </w:p>
    <w:p>
      <w:pPr>
        <w:spacing w:after="0" w:line="2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VIRTU FINANCIAL, INC.</w:t>
      </w:r>
    </w:p>
    <w:p>
      <w:pPr>
        <w:spacing w:after="0" w:line="38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Greifeld</w:t>
      </w:r>
    </w:p>
    <w:p>
      <w:pPr>
        <w:ind w:left="2920"/>
        <w:spacing w:after="0" w:line="215" w:lineRule="auto"/>
        <w:rPr>
          <w:sz w:val="20"/>
          <w:szCs w:val="20"/>
          <w:color w:val="auto"/>
        </w:rPr>
      </w:pPr>
      <w:r>
        <w:rPr>
          <w:rFonts w:ascii="Times New Roman" w:cs="Times New Roman" w:eastAsia="Times New Roman" w:hAnsi="Times New Roman"/>
          <w:sz w:val="19"/>
          <w:szCs w:val="19"/>
          <w:color w:val="auto"/>
        </w:rPr>
        <w:t>Name: Robert Greifeld</w:t>
      </w:r>
    </w:p>
    <w:p>
      <w:pPr>
        <w:spacing w:after="0" w:line="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u w:val="single" w:color="auto"/>
          <w:color w:val="auto"/>
        </w:rPr>
        <w:t>/s/ Douglas A. Cifu</w:t>
      </w:r>
    </w:p>
    <w:p>
      <w:pPr>
        <w:ind w:left="2920"/>
        <w:spacing w:after="0"/>
        <w:rPr>
          <w:sz w:val="20"/>
          <w:szCs w:val="20"/>
          <w:color w:val="auto"/>
        </w:rPr>
      </w:pPr>
      <w:r>
        <w:rPr>
          <w:rFonts w:ascii="Times New Roman" w:cs="Times New Roman" w:eastAsia="Times New Roman" w:hAnsi="Times New Roman"/>
          <w:sz w:val="19"/>
          <w:szCs w:val="19"/>
          <w:color w:val="auto"/>
        </w:rPr>
        <w:t>Douglas A. Cifu</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i w:val="1"/>
          <w:iCs w:val="1"/>
          <w:color w:val="auto"/>
        </w:rPr>
        <w:t>[Signature Page to Restricted Stock Award Agreement]</w:t>
      </w:r>
    </w:p>
    <w:p>
      <w:pPr>
        <w:sectPr>
          <w:pgSz w:w="11900" w:h="16838" w:orient="portrait"/>
          <w:cols w:equalWidth="0" w:num="1">
            <w:col w:w="10100"/>
          </w:cols>
          <w:pgMar w:left="1180" w:top="1361" w:right="619" w:bottom="1440" w:gutter="0" w:footer="0" w:header="0"/>
          <w:type w:val="continuous"/>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9019"/>
          </w:cols>
          <w:pgMar w:left="1440" w:top="1440"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Virtu Financial, Inc.</w:t>
      </w:r>
    </w:p>
    <w:p>
      <w:pPr>
        <w:spacing w:after="0" w:line="252" w:lineRule="exact"/>
        <w:rPr>
          <w:sz w:val="20"/>
          <w:szCs w:val="20"/>
          <w:color w:val="auto"/>
        </w:rPr>
      </w:pPr>
    </w:p>
    <w:p>
      <w:pPr>
        <w:ind w:right="400" w:firstLine="629"/>
        <w:spacing w:after="0" w:line="276" w:lineRule="auto"/>
        <w:rPr>
          <w:sz w:val="20"/>
          <w:szCs w:val="20"/>
          <w:color w:val="auto"/>
        </w:rPr>
      </w:pPr>
      <w:r>
        <w:rPr>
          <w:rFonts w:ascii="Times New Roman" w:cs="Times New Roman" w:eastAsia="Times New Roman" w:hAnsi="Times New Roman"/>
          <w:sz w:val="17"/>
          <w:szCs w:val="17"/>
          <w:color w:val="auto"/>
        </w:rPr>
        <w:t>The following are subsidiaries of Virtu Financial, Inc. as of December 31, 2022 and the jurisdictions in which they are organized. The names of particular subsidiaries have been omitted because, considered in the aggregate as a single subsidiary, they would not constitute, as of December 31, 2022, a "significant subsidiary" as that term is defined in Rule 1-02(w) of regulation S-X under the Securities Exchange Act of 1934.</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5800" w:type="dxa"/>
            <w:vAlign w:val="bottom"/>
            <w:shd w:val="clear" w:color="auto" w:fill="CCEEFF"/>
          </w:tcPr>
          <w:p>
            <w:pPr>
              <w:jc w:val="center"/>
              <w:ind w:left="1753"/>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Virtu Financial LLC</w:t>
            </w:r>
          </w:p>
        </w:tc>
        <w:tc>
          <w:tcPr>
            <w:tcW w:w="5800" w:type="dxa"/>
            <w:vAlign w:val="bottom"/>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VFH Parent LLC</w:t>
            </w:r>
          </w:p>
        </w:tc>
        <w:tc>
          <w:tcPr>
            <w:tcW w:w="5800" w:type="dxa"/>
            <w:vAlign w:val="bottom"/>
            <w:shd w:val="clear" w:color="auto" w:fill="CCEEFF"/>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Virtu Financial Operating LLC</w:t>
            </w:r>
          </w:p>
        </w:tc>
        <w:tc>
          <w:tcPr>
            <w:tcW w:w="5800" w:type="dxa"/>
            <w:vAlign w:val="bottom"/>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Virtu Financial Global Markets LLC</w:t>
            </w:r>
          </w:p>
        </w:tc>
        <w:tc>
          <w:tcPr>
            <w:tcW w:w="5800" w:type="dxa"/>
            <w:vAlign w:val="bottom"/>
            <w:shd w:val="clear" w:color="auto" w:fill="CCEEFF"/>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Virtu KCG Holdings LLC</w:t>
            </w:r>
          </w:p>
        </w:tc>
        <w:tc>
          <w:tcPr>
            <w:tcW w:w="5800" w:type="dxa"/>
            <w:vAlign w:val="bottom"/>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Virtu Americas LLC</w:t>
            </w:r>
          </w:p>
        </w:tc>
        <w:tc>
          <w:tcPr>
            <w:tcW w:w="5800" w:type="dxa"/>
            <w:vAlign w:val="bottom"/>
            <w:shd w:val="clear" w:color="auto" w:fill="CCEEFF"/>
          </w:tcPr>
          <w:p>
            <w:pPr>
              <w:jc w:val="center"/>
              <w:ind w:left="173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1062" w:right="339" w:bottom="1440" w:gutter="0" w:footer="0" w:header="0"/>
        </w:sectPr>
      </w:pPr>
    </w:p>
    <w:bookmarkStart w:id="196" w:name="page197"/>
    <w:bookmarkEnd w:id="196"/>
    <w:p>
      <w:pPr>
        <w:jc w:val="right"/>
        <w:spacing w:after="0"/>
        <w:rPr>
          <w:sz w:val="20"/>
          <w:szCs w:val="20"/>
          <w:color w:val="auto"/>
        </w:rPr>
      </w:pPr>
      <w:r>
        <w:rPr>
          <w:rFonts w:ascii="Calibri" w:cs="Calibri" w:eastAsia="Calibri" w:hAnsi="Calibri"/>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333-213157), Form S-3ASR (No. 333-255659), and Forms S-8 (Nos. 333-266473, 333-248537, 333-203478, 333-219110, and 333-230012) of Virtu Financial, Inc. of our report dated February 17, 2023 relating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financial statements and the effectiveness of internal control over financial reporting, which appears in this Form 10-K.</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25" w:lineRule="auto"/>
        <w:rPr>
          <w:sz w:val="20"/>
          <w:szCs w:val="20"/>
          <w:color w:val="auto"/>
        </w:rPr>
      </w:pPr>
      <w:r>
        <w:rPr>
          <w:rFonts w:ascii="Times New Roman" w:cs="Times New Roman" w:eastAsia="Times New Roman" w:hAnsi="Times New Roman"/>
          <w:sz w:val="17"/>
          <w:szCs w:val="17"/>
          <w:color w:val="auto"/>
        </w:rPr>
        <w:t>New York, New York</w:t>
      </w:r>
    </w:p>
    <w:p>
      <w:pPr>
        <w:spacing w:after="0"/>
        <w:rPr>
          <w:sz w:val="20"/>
          <w:szCs w:val="20"/>
          <w:color w:val="auto"/>
        </w:rPr>
      </w:pPr>
      <w:r>
        <w:rPr>
          <w:rFonts w:ascii="Times New Roman" w:cs="Times New Roman" w:eastAsia="Times New Roman" w:hAnsi="Times New Roman"/>
          <w:sz w:val="17"/>
          <w:szCs w:val="17"/>
          <w:color w:val="auto"/>
        </w:rPr>
        <w:t>February 17, 2023</w:t>
      </w:r>
    </w:p>
    <w:p>
      <w:pPr>
        <w:sectPr>
          <w:pgSz w:w="11900" w:h="16838" w:orient="portrait"/>
          <w:cols w:equalWidth="0" w:num="1">
            <w:col w:w="11240"/>
          </w:cols>
          <w:pgMar w:left="320" w:top="113"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50" w:lineRule="exact"/>
        <w:rPr>
          <w:sz w:val="20"/>
          <w:szCs w:val="20"/>
          <w:color w:val="auto"/>
        </w:rPr>
      </w:pPr>
    </w:p>
    <w:p>
      <w:pPr>
        <w:ind w:left="640" w:right="120" w:hanging="321"/>
        <w:spacing w:after="0" w:line="296" w:lineRule="auto"/>
        <w:tabs>
          <w:tab w:leader="none" w:pos="6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ending December 31,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17, 2023</w:t>
            </w:r>
          </w:p>
        </w:tc>
        <w:tc>
          <w:tcPr>
            <w:tcW w:w="254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6"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Galvin, certify that:</w:t>
      </w:r>
    </w:p>
    <w:p>
      <w:pPr>
        <w:spacing w:after="0" w:line="224" w:lineRule="exact"/>
        <w:rPr>
          <w:sz w:val="20"/>
          <w:szCs w:val="20"/>
          <w:color w:val="auto"/>
        </w:rPr>
      </w:pPr>
    </w:p>
    <w:p>
      <w:pPr>
        <w:ind w:left="640" w:right="120" w:hanging="321"/>
        <w:spacing w:after="0" w:line="296" w:lineRule="auto"/>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ending December 31,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17, 2023</w:t>
            </w:r>
          </w:p>
        </w:tc>
        <w:tc>
          <w:tcPr>
            <w:tcW w:w="25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Galvin</w:t>
            </w:r>
          </w:p>
        </w:tc>
      </w:tr>
      <w:tr>
        <w:trPr>
          <w:trHeight w:val="228"/>
        </w:trPr>
        <w:tc>
          <w:tcPr>
            <w:tcW w:w="36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on Form 10-K of Virtu Financial, Inc. (the “Company”) for the period ended December 31, 2022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February 17, 2023</w:t>
      </w:r>
    </w:p>
    <w:p>
      <w:pPr>
        <w:sectPr>
          <w:pgSz w:w="11900" w:h="16838" w:orient="portrait"/>
          <w:cols w:equalWidth="0" w:num="1">
            <w:col w:w="11240"/>
          </w:cols>
          <w:pgMar w:left="320" w:top="866"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on Form 10-K of Virtu Financial, Inc. (the “Company”) for the period ended December 31, 2022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Sean Galvin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February 17, 2023</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lvl w:ilvl="1">
      <w:lvlJc w:val="left"/>
      <w:lvlText w:val="◦"/>
      <w:numFmt w:val="bullet"/>
      <w:start w:val="1"/>
    </w:lvl>
  </w:abstractNum>
  <w:abstractNum w:abstractNumId="6">
    <w:nsid w:val="1EBA5D23"/>
    <w:multiLevelType w:val="hybridMultilevel"/>
    <w:lvl w:ilvl="0">
      <w:lvlJc w:val="left"/>
      <w:lvlText w:val="•"/>
      <w:numFmt w:val="bullet"/>
      <w:start w:val="1"/>
    </w:lvl>
    <w:lvl w:ilvl="1">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1)"/>
      <w:numFmt w:val="lowerRoman"/>
      <w:start w:val="2"/>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decimal"/>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1)"/>
      <w:numFmt w:val="decimal"/>
      <w:start w:val="3"/>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lowerRoman"/>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lowerRoman"/>
      <w:start w:val="4"/>
    </w:lvl>
  </w:abstractNum>
  <w:abstractNum w:abstractNumId="35">
    <w:nsid w:val="4C04A8AF"/>
    <w:multiLevelType w:val="hybridMultilevel"/>
    <w:lvl w:ilvl="0">
      <w:lvlJc w:val="left"/>
      <w:lvlText w:val="(%1)"/>
      <w:numFmt w:val="decimal"/>
      <w:start w:val="1"/>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1)"/>
      <w:numFmt w:val="decimal"/>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1)"/>
      <w:numFmt w:val="lowerRoman"/>
      <w:start w:val="1"/>
    </w:lvl>
  </w:abstractNum>
  <w:abstractNum w:abstractNumId="40">
    <w:nsid w:val="68EBC550"/>
    <w:multiLevelType w:val="hybridMultilevel"/>
    <w:lvl w:ilvl="0">
      <w:lvlJc w:val="left"/>
      <w:lvlText w:val="(%1)"/>
      <w:numFmt w:val="decimal"/>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5">
    <w:nsid w:val="57FC4FBB"/>
    <w:multiLevelType w:val="hybridMultilevel"/>
    <w:lvl w:ilvl="0">
      <w:lvlJc w:val="left"/>
      <w:lvlText w:val="%1."/>
      <w:numFmt w:val="lowerRoman"/>
      <w:start w:val="3"/>
    </w:lvl>
  </w:abstractNum>
  <w:abstractNum w:abstractNumId="46">
    <w:nsid w:val="CC1016F"/>
    <w:multiLevelType w:val="hybridMultilevel"/>
    <w:lvl w:ilvl="0">
      <w:lvlJc w:val="left"/>
      <w:lvlText w:val="%1."/>
      <w:numFmt w:val="lowerRoman"/>
      <w:start w:val="6"/>
    </w:lvl>
  </w:abstractNum>
  <w:abstractNum w:abstractNumId="47">
    <w:nsid w:val="43F1842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8">
    <w:nsid w:val="60EF011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9"/>
    </w:lvl>
  </w:abstractNum>
  <w:abstractNum w:abstractNumId="49">
    <w:nsid w:val="26F324BA"/>
    <w:multiLevelType w:val="hybridMultilevel"/>
    <w:lvl w:ilvl="0">
      <w:lvlJc w:val="left"/>
      <w:lvlText w:val="%1."/>
      <w:numFmt w:val="lowerRoman"/>
      <w:start w:val="3"/>
    </w:lvl>
  </w:abstractNum>
  <w:abstractNum w:abstractNumId="50">
    <w:nsid w:val="7F01579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51">
    <w:nsid w:val="49DA307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52">
    <w:nsid w:val="7055A5F5"/>
    <w:multiLevelType w:val="hybridMultilevel"/>
    <w:lvl w:ilvl="0">
      <w:lvlJc w:val="left"/>
      <w:lvlText w:val="%1."/>
      <w:numFmt w:val="lowerLetter"/>
      <w:start w:val="2"/>
    </w:lvl>
    <w:lvl w:ilvl="1">
      <w:lvlJc w:val="left"/>
      <w:lvlText w:val="%2."/>
      <w:numFmt w:val="lowerLetter"/>
      <w:start w:val="9"/>
    </w:lvl>
  </w:abstractNum>
  <w:abstractNum w:abstractNumId="53">
    <w:nsid w:val="5FB8370B"/>
    <w:multiLevelType w:val="hybridMultilevel"/>
    <w:lvl w:ilvl="0">
      <w:lvlJc w:val="left"/>
      <w:lvlText w:val="%1"/>
      <w:numFmt w:val="lowerLetter"/>
      <w:start w:val="1"/>
    </w:lvl>
    <w:lvl w:ilvl="1">
      <w:lvlJc w:val="left"/>
      <w:lvlText w:val="%2."/>
      <w:numFmt w:val="lowerLetter"/>
      <w:start w:val="61"/>
    </w:lvl>
  </w:abstractNum>
  <w:abstractNum w:abstractNumId="54">
    <w:nsid w:val="50801EE1"/>
    <w:multiLevelType w:val="hybridMultilevel"/>
    <w:lvl w:ilvl="0">
      <w:lvlJc w:val="left"/>
      <w:lvlText w:val="%1."/>
      <w:numFmt w:val="lowerLetter"/>
      <w:start w:val="4"/>
    </w:lvl>
    <w:lvl w:ilvl="1">
      <w:lvlJc w:val="left"/>
      <w:lvlText w:val="%2"/>
      <w:numFmt w:val="lowerLetter"/>
      <w:start w:val="1"/>
    </w:lvl>
  </w:abstractNum>
  <w:abstractNum w:abstractNumId="55">
    <w:nsid w:val="488AC1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6">
    <w:nsid w:val="5FB8011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7">
    <w:nsid w:val="6AA78F7F"/>
    <w:multiLevelType w:val="hybridMultilevel"/>
    <w:lvl w:ilvl="0">
      <w:lvlJc w:val="left"/>
      <w:lvlText w:val="%1."/>
      <w:numFmt w:val="lowerRoman"/>
      <w:start w:val="3"/>
    </w:lvl>
  </w:abstractNum>
  <w:abstractNum w:abstractNumId="58">
    <w:nsid w:val="7672BD23"/>
    <w:multiLevelType w:val="hybridMultilevel"/>
    <w:lvl w:ilvl="0">
      <w:lvlJc w:val="left"/>
      <w:lvlText w:val="%1"/>
      <w:numFmt w:val="lowerLetter"/>
      <w:start w:val="1"/>
    </w:lvl>
    <w:lvl w:ilvl="1">
      <w:lvlJc w:val="left"/>
      <w:lvlText w:val="%2."/>
      <w:numFmt w:val="lowerRoman"/>
      <w:start w:val="4"/>
    </w:lvl>
  </w:abstractNum>
  <w:abstractNum w:abstractNumId="59">
    <w:nsid w:val="6FC75AF8"/>
    <w:multiLevelType w:val="hybridMultilevel"/>
    <w:lvl w:ilvl="0">
      <w:lvlJc w:val="left"/>
      <w:lvlText w:val="%1."/>
      <w:numFmt w:val="lowerLetter"/>
      <w:start w:val="4"/>
    </w:lvl>
    <w:lvl w:ilvl="1">
      <w:lvlJc w:val="left"/>
      <w:lvlText w:val="%2."/>
      <w:numFmt w:val="lowerRoman"/>
      <w:start w:val="1"/>
    </w:lvl>
  </w:abstractNum>
  <w:abstractNum w:abstractNumId="60">
    <w:nsid w:val="6A5F7029"/>
    <w:multiLevelType w:val="hybridMultilevel"/>
    <w:lvl w:ilvl="0">
      <w:lvlJc w:val="left"/>
      <w:lvlText w:val="%1."/>
      <w:numFmt w:val="lowerRoman"/>
      <w:start w:val="3"/>
    </w:lvl>
  </w:abstractNum>
  <w:abstractNum w:abstractNumId="61">
    <w:nsid w:val="7D5E18F8"/>
    <w:multiLevelType w:val="hybridMultilevel"/>
    <w:lvl w:ilvl="0">
      <w:lvlJc w:val="left"/>
      <w:lvlText w:val="%1"/>
      <w:numFmt w:val="decimal"/>
      <w:start w:val="1"/>
    </w:lvl>
    <w:lvl w:ilvl="1">
      <w:lvlJc w:val="left"/>
      <w:lvlText w:val="%2."/>
      <w:numFmt w:val="lowerLetter"/>
      <w:start w:val="5"/>
    </w:lvl>
  </w:abstractNum>
  <w:abstractNum w:abstractNumId="62">
    <w:nsid w:val="5F3534A4"/>
    <w:multiLevelType w:val="hybridMultilevel"/>
    <w:lvl w:ilvl="0">
      <w:lvlJc w:val="left"/>
      <w:lvlText w:val="%1."/>
      <w:numFmt w:val="decimal"/>
      <w:start w:val="6"/>
    </w:lvl>
    <w:lvl w:ilvl="1">
      <w:lvlJc w:val="left"/>
      <w:lvlText w:val="%2."/>
      <w:numFmt w:val="lowerLetter"/>
      <w:start w:val="1"/>
    </w:lvl>
  </w:abstractNum>
  <w:abstractNum w:abstractNumId="63">
    <w:nsid w:val="73A1821B"/>
    <w:multiLevelType w:val="hybridMultilevel"/>
    <w:lvl w:ilvl="0">
      <w:lvlJc w:val="left"/>
      <w:lvlText w:val="%1"/>
      <w:numFmt w:val="decimal"/>
      <w:start w:val="1"/>
    </w:lvl>
    <w:lvl w:ilvl="1">
      <w:lvlJc w:val="left"/>
      <w:lvlText w:val="%2."/>
      <w:numFmt w:val="lowerLetter"/>
      <w:start w:val="2"/>
    </w:lvl>
  </w:abstractNum>
  <w:abstractNum w:abstractNumId="64">
    <w:nsid w:val="7DE67713"/>
    <w:multiLevelType w:val="hybridMultilevel"/>
    <w:lvl w:ilvl="0">
      <w:lvlJc w:val="left"/>
      <w:lvlText w:val="%1."/>
      <w:numFmt w:val="decimal"/>
      <w:start w:val="7"/>
    </w:lvl>
    <w:lvl w:ilvl="1">
      <w:lvlJc w:val="left"/>
      <w:lvlText w:val="%2"/>
      <w:numFmt w:val="lowerLetter"/>
      <w:start w:val="1"/>
    </w:lvl>
  </w:abstractNum>
  <w:abstractNum w:abstractNumId="65">
    <w:nsid w:val="555C55B5"/>
    <w:multiLevelType w:val="hybridMultilevel"/>
    <w:lvl w:ilvl="0">
      <w:lvlJc w:val="left"/>
      <w:lvlText w:val="%1."/>
      <w:numFmt w:val="decimal"/>
      <w:start w:val="8"/>
    </w:lvl>
  </w:abstractNum>
  <w:abstractNum w:abstractNumId="66">
    <w:nsid w:val="3FA62AC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67">
    <w:nsid w:val="14FCE74E"/>
    <w:multiLevelType w:val="hybridMultilevel"/>
    <w:lvl w:ilvl="0">
      <w:lvlJc w:val="left"/>
      <w:lvlText w:val="%1"/>
      <w:numFmt w:val="decimal"/>
      <w:start w:val="1"/>
    </w:lvl>
    <w:lvl w:ilvl="1">
      <w:lvlJc w:val="left"/>
      <w:lvlText w:val="%2."/>
      <w:numFmt w:val="lowerLetter"/>
      <w:start w:val="3"/>
    </w:lvl>
  </w:abstractNum>
  <w:abstractNum w:abstractNumId="68">
    <w:nsid w:val="6A3DD3E8"/>
    <w:multiLevelType w:val="hybridMultilevel"/>
    <w:lvl w:ilvl="0">
      <w:lvlJc w:val="left"/>
      <w:lvlText w:val="%1."/>
      <w:numFmt w:val="decimal"/>
      <w:start w:val="16"/>
    </w:lvl>
    <w:lvl w:ilvl="1">
      <w:lvlJc w:val="left"/>
      <w:lvlText w:val="%2"/>
      <w:numFmt w:val="lowerLetter"/>
      <w:start w:val="1"/>
    </w:lvl>
  </w:abstractNum>
  <w:abstractNum w:abstractNumId="69">
    <w:nsid w:val="71C91298"/>
    <w:multiLevelType w:val="hybridMultilevel"/>
    <w:lvl w:ilvl="0">
      <w:lvlJc w:val="left"/>
      <w:lvlText w:val="%1"/>
      <w:numFmt w:val="decimal"/>
      <w:start w:val="1"/>
    </w:lvl>
    <w:lvl w:ilvl="1">
      <w:lvlJc w:val="left"/>
      <w:lvlText w:val="%2."/>
      <w:numFmt w:val="lowerLetter"/>
      <w:start w:val="1"/>
    </w:lvl>
  </w:abstractNum>
  <w:abstractNum w:abstractNumId="70">
    <w:nsid w:val="9DAF632"/>
    <w:multiLevelType w:val="hybridMultilevel"/>
    <w:lvl w:ilvl="0">
      <w:lvlJc w:val="left"/>
      <w:lvlText w:val="%1."/>
      <w:numFmt w:val="decimal"/>
      <w:start w:val="18"/>
    </w:lvl>
    <w:lvl w:ilvl="1">
      <w:lvlJc w:val="left"/>
      <w:lvlText w:val="%2"/>
      <w:numFmt w:val="lowerLetter"/>
      <w:start w:val="1"/>
    </w:lvl>
  </w:abstractNum>
  <w:abstractNum w:abstractNumId="71">
    <w:nsid w:val="53299938"/>
    <w:multiLevelType w:val="hybridMultilevel"/>
    <w:lvl w:ilvl="0">
      <w:lvlJc w:val="left"/>
      <w:lvlText w:val="%1."/>
      <w:numFmt w:val="decimal"/>
      <w:start w:val="21"/>
    </w:lvl>
  </w:abstractNum>
  <w:abstractNum w:abstractNumId="72">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4">
    <w:nsid w:val="1D545C4D"/>
    <w:multiLevelType w:val="hybridMultilevel"/>
    <w:lvl w:ilvl="0">
      <w:lvlJc w:val="left"/>
      <w:lvlText w:val="%1."/>
      <w:numFmt w:val="lowerRoman"/>
      <w:start w:val="3"/>
    </w:lvl>
  </w:abstractNum>
  <w:abstractNum w:abstractNumId="75">
    <w:nsid w:val="59ADEA3D"/>
    <w:multiLevelType w:val="hybridMultilevel"/>
    <w:lvl w:ilvl="0">
      <w:lvlJc w:val="left"/>
      <w:lvlText w:val="%1."/>
      <w:numFmt w:val="lowerRoman"/>
      <w:start w:val="6"/>
    </w:lvl>
  </w:abstractNum>
  <w:abstractNum w:abstractNumId="76">
    <w:nsid w:val="288F1A3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7">
    <w:nsid w:val="2A155DB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9"/>
    </w:lvl>
  </w:abstractNum>
  <w:abstractNum w:abstractNumId="78">
    <w:nsid w:val="1D9F6E5F"/>
    <w:multiLevelType w:val="hybridMultilevel"/>
    <w:lvl w:ilvl="0">
      <w:lvlJc w:val="left"/>
      <w:lvlText w:val="%1."/>
      <w:numFmt w:val="lowerRoman"/>
      <w:start w:val="3"/>
    </w:lvl>
  </w:abstractNum>
  <w:abstractNum w:abstractNumId="79">
    <w:nsid w:val="97E1B4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80">
    <w:nsid w:val="5108827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81">
    <w:nsid w:val="1CA0C5FA"/>
    <w:multiLevelType w:val="hybridMultilevel"/>
    <w:lvl w:ilvl="0">
      <w:lvlJc w:val="left"/>
      <w:lvlText w:val="%1."/>
      <w:numFmt w:val="lowerLetter"/>
      <w:start w:val="2"/>
    </w:lvl>
    <w:lvl w:ilvl="1">
      <w:lvlJc w:val="left"/>
      <w:lvlText w:val="%2."/>
      <w:numFmt w:val="lowerLetter"/>
      <w:start w:val="9"/>
    </w:lvl>
  </w:abstractNum>
  <w:abstractNum w:abstractNumId="82">
    <w:nsid w:val="53584BCB"/>
    <w:multiLevelType w:val="hybridMultilevel"/>
    <w:lvl w:ilvl="0">
      <w:lvlJc w:val="left"/>
      <w:lvlText w:val="%1"/>
      <w:numFmt w:val="lowerLetter"/>
      <w:start w:val="1"/>
    </w:lvl>
    <w:lvl w:ilvl="1">
      <w:lvlJc w:val="left"/>
      <w:lvlText w:val="%2."/>
      <w:numFmt w:val="lowerLetter"/>
      <w:start w:val="61"/>
    </w:lvl>
  </w:abstractNum>
  <w:abstractNum w:abstractNumId="83">
    <w:nsid w:val="415E286C"/>
    <w:multiLevelType w:val="hybridMultilevel"/>
    <w:lvl w:ilvl="0">
      <w:lvlJc w:val="left"/>
      <w:lvlText w:val="%1."/>
      <w:numFmt w:val="lowerLetter"/>
      <w:start w:val="4"/>
    </w:lvl>
    <w:lvl w:ilvl="1">
      <w:lvlJc w:val="left"/>
      <w:lvlText w:val="%2"/>
      <w:numFmt w:val="lowerLetter"/>
      <w:start w:val="1"/>
    </w:lvl>
  </w:abstractNum>
  <w:abstractNum w:abstractNumId="84">
    <w:nsid w:val="7C58FD0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5">
    <w:nsid w:val="23D86AA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86">
    <w:nsid w:val="45E6D486"/>
    <w:multiLevelType w:val="hybridMultilevel"/>
    <w:lvl w:ilvl="0">
      <w:lvlJc w:val="left"/>
      <w:lvlText w:val="%1."/>
      <w:numFmt w:val="lowerRoman"/>
      <w:start w:val="3"/>
    </w:lvl>
  </w:abstractNum>
  <w:abstractNum w:abstractNumId="87">
    <w:nsid w:val="5C10FE21"/>
    <w:multiLevelType w:val="hybridMultilevel"/>
    <w:lvl w:ilvl="0">
      <w:lvlJc w:val="left"/>
      <w:lvlText w:val="%1"/>
      <w:numFmt w:val="lowerLetter"/>
      <w:start w:val="1"/>
    </w:lvl>
    <w:lvl w:ilvl="1">
      <w:lvlJc w:val="left"/>
      <w:lvlText w:val="%2."/>
      <w:numFmt w:val="lowerRoman"/>
      <w:start w:val="4"/>
    </w:lvl>
  </w:abstractNum>
  <w:abstractNum w:abstractNumId="88">
    <w:nsid w:val="E7FFA2B"/>
    <w:multiLevelType w:val="hybridMultilevel"/>
    <w:lvl w:ilvl="0">
      <w:lvlJc w:val="left"/>
      <w:lvlText w:val="%1."/>
      <w:numFmt w:val="lowerLetter"/>
      <w:start w:val="4"/>
    </w:lvl>
    <w:lvl w:ilvl="1">
      <w:lvlJc w:val="left"/>
      <w:lvlText w:val="%2."/>
      <w:numFmt w:val="lowerRoman"/>
      <w:start w:val="1"/>
    </w:lvl>
  </w:abstractNum>
  <w:abstractNum w:abstractNumId="89">
    <w:nsid w:val="3C5991AA"/>
    <w:multiLevelType w:val="hybridMultilevel"/>
    <w:lvl w:ilvl="0">
      <w:lvlJc w:val="left"/>
      <w:lvlText w:val="%1."/>
      <w:numFmt w:val="lowerRoman"/>
      <w:start w:val="3"/>
    </w:lvl>
  </w:abstractNum>
  <w:abstractNum w:abstractNumId="90">
    <w:nsid w:val="4BD8591A"/>
    <w:multiLevelType w:val="hybridMultilevel"/>
    <w:lvl w:ilvl="0">
      <w:lvlJc w:val="left"/>
      <w:lvlText w:val="%1"/>
      <w:numFmt w:val="decimal"/>
      <w:start w:val="1"/>
    </w:lvl>
    <w:lvl w:ilvl="1">
      <w:lvlJc w:val="left"/>
      <w:lvlText w:val="%2."/>
      <w:numFmt w:val="lowerLetter"/>
      <w:start w:val="5"/>
    </w:lvl>
  </w:abstractNum>
  <w:abstractNum w:abstractNumId="91">
    <w:nsid w:val="78DF6A55"/>
    <w:multiLevelType w:val="hybridMultilevel"/>
    <w:lvl w:ilvl="0">
      <w:lvlJc w:val="left"/>
      <w:lvlText w:val="%1."/>
      <w:numFmt w:val="decimal"/>
      <w:start w:val="6"/>
    </w:lvl>
    <w:lvl w:ilvl="1">
      <w:lvlJc w:val="left"/>
      <w:lvlText w:val="%2."/>
      <w:numFmt w:val="lowerLetter"/>
      <w:start w:val="1"/>
    </w:lvl>
  </w:abstractNum>
  <w:abstractNum w:abstractNumId="92">
    <w:nsid w:val="39B7AAA2"/>
    <w:multiLevelType w:val="hybridMultilevel"/>
    <w:lvl w:ilvl="0">
      <w:lvlJc w:val="left"/>
      <w:lvlText w:val="%1"/>
      <w:numFmt w:val="decimal"/>
      <w:start w:val="1"/>
    </w:lvl>
    <w:lvl w:ilvl="1">
      <w:lvlJc w:val="left"/>
      <w:lvlText w:val="%2."/>
      <w:numFmt w:val="lowerLetter"/>
      <w:start w:val="2"/>
    </w:lvl>
  </w:abstractNum>
  <w:abstractNum w:abstractNumId="93">
    <w:nsid w:val="2B0D8DBE"/>
    <w:multiLevelType w:val="hybridMultilevel"/>
    <w:lvl w:ilvl="0">
      <w:lvlJc w:val="left"/>
      <w:lvlText w:val="%1."/>
      <w:numFmt w:val="decimal"/>
      <w:start w:val="7"/>
    </w:lvl>
    <w:lvl w:ilvl="1">
      <w:lvlJc w:val="left"/>
      <w:lvlText w:val="%2"/>
      <w:numFmt w:val="lowerLetter"/>
      <w:start w:val="1"/>
    </w:lvl>
  </w:abstractNum>
  <w:abstractNum w:abstractNumId="94">
    <w:nsid w:val="6C80EC70"/>
    <w:multiLevelType w:val="hybridMultilevel"/>
    <w:lvl w:ilvl="0">
      <w:lvlJc w:val="left"/>
      <w:lvlText w:val="%1."/>
      <w:numFmt w:val="decimal"/>
      <w:start w:val="8"/>
    </w:lvl>
  </w:abstractNum>
  <w:abstractNum w:abstractNumId="95">
    <w:nsid w:val="379E21B5"/>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6">
    <w:nsid w:val="69E373"/>
    <w:multiLevelType w:val="hybridMultilevel"/>
    <w:lvl w:ilvl="0">
      <w:lvlJc w:val="left"/>
      <w:lvlText w:val="%1"/>
      <w:numFmt w:val="decimal"/>
      <w:start w:val="1"/>
    </w:lvl>
    <w:lvl w:ilvl="1">
      <w:lvlJc w:val="left"/>
      <w:lvlText w:val="%2."/>
      <w:numFmt w:val="lowerLetter"/>
      <w:start w:val="3"/>
    </w:lvl>
  </w:abstractNum>
  <w:abstractNum w:abstractNumId="97">
    <w:nsid w:val="2C27173B"/>
    <w:multiLevelType w:val="hybridMultilevel"/>
    <w:lvl w:ilvl="0">
      <w:lvlJc w:val="left"/>
      <w:lvlText w:val="%1."/>
      <w:numFmt w:val="decimal"/>
      <w:start w:val="16"/>
    </w:lvl>
    <w:lvl w:ilvl="1">
      <w:lvlJc w:val="left"/>
      <w:lvlText w:val="%2"/>
      <w:numFmt w:val="lowerLetter"/>
      <w:start w:val="1"/>
    </w:lvl>
  </w:abstractNum>
  <w:abstractNum w:abstractNumId="98">
    <w:nsid w:val="4C9B0904"/>
    <w:multiLevelType w:val="hybridMultilevel"/>
    <w:lvl w:ilvl="0">
      <w:lvlJc w:val="left"/>
      <w:lvlText w:val="%1"/>
      <w:numFmt w:val="decimal"/>
      <w:start w:val="1"/>
    </w:lvl>
    <w:lvl w:ilvl="1">
      <w:lvlJc w:val="left"/>
      <w:lvlText w:val="%2."/>
      <w:numFmt w:val="lowerLetter"/>
      <w:start w:val="1"/>
    </w:lvl>
  </w:abstractNum>
  <w:abstractNum w:abstractNumId="99">
    <w:nsid w:val="6AA7B75C"/>
    <w:multiLevelType w:val="hybridMultilevel"/>
    <w:lvl w:ilvl="0">
      <w:lvlJc w:val="left"/>
      <w:lvlText w:val="%1."/>
      <w:numFmt w:val="decimal"/>
      <w:start w:val="18"/>
    </w:lvl>
    <w:lvl w:ilvl="1">
      <w:lvlJc w:val="left"/>
      <w:lvlText w:val="%2"/>
      <w:numFmt w:val="lowerLetter"/>
      <w:start w:val="1"/>
    </w:lvl>
  </w:abstractNum>
  <w:abstractNum w:abstractNumId="100">
    <w:nsid w:val="1DF029D3"/>
    <w:multiLevelType w:val="hybridMultilevel"/>
    <w:lvl w:ilvl="0">
      <w:lvlJc w:val="left"/>
      <w:lvlText w:val="%1."/>
      <w:numFmt w:val="decimal"/>
      <w:start w:val="21"/>
    </w:lvl>
  </w:abstractNum>
  <w:abstractNum w:abstractNumId="101">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2">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3">
    <w:nsid w:val="3DB012B3"/>
    <w:multiLevelType w:val="hybridMultilevel"/>
    <w:lvl w:ilvl="0">
      <w:lvlJc w:val="left"/>
      <w:lvlText w:val="%1."/>
      <w:numFmt w:val="lowerRoman"/>
      <w:start w:val="3"/>
    </w:lvl>
  </w:abstractNum>
  <w:abstractNum w:abstractNumId="104">
    <w:nsid w:val="2708C9AF"/>
    <w:multiLevelType w:val="hybridMultilevel"/>
    <w:lvl w:ilvl="0">
      <w:lvlJc w:val="left"/>
      <w:lvlText w:val="%1."/>
      <w:numFmt w:val="lowerRoman"/>
      <w:start w:val="6"/>
    </w:lvl>
  </w:abstractNum>
  <w:abstractNum w:abstractNumId="105">
    <w:nsid w:val="5B25ACE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6">
    <w:nsid w:val="175DFCF0"/>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9"/>
    </w:lvl>
  </w:abstractNum>
  <w:abstractNum w:abstractNumId="107">
    <w:nsid w:val="4F97E3E4"/>
    <w:multiLevelType w:val="hybridMultilevel"/>
    <w:lvl w:ilvl="0">
      <w:lvlJc w:val="left"/>
      <w:lvlText w:val="%1."/>
      <w:numFmt w:val="lowerRoman"/>
      <w:start w:val="3"/>
    </w:lvl>
  </w:abstractNum>
  <w:abstractNum w:abstractNumId="108">
    <w:nsid w:val="53B0A9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109">
    <w:nsid w:val="34FD6B4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110">
    <w:nsid w:val="5915FF32"/>
    <w:multiLevelType w:val="hybridMultilevel"/>
    <w:lvl w:ilvl="0">
      <w:lvlJc w:val="left"/>
      <w:lvlText w:val="%1."/>
      <w:numFmt w:val="lowerLetter"/>
      <w:start w:val="2"/>
    </w:lvl>
    <w:lvl w:ilvl="1">
      <w:lvlJc w:val="left"/>
      <w:lvlText w:val="%2."/>
      <w:numFmt w:val="lowerLetter"/>
      <w:start w:val="9"/>
    </w:lvl>
  </w:abstractNum>
  <w:abstractNum w:abstractNumId="111">
    <w:nsid w:val="56438D15"/>
    <w:multiLevelType w:val="hybridMultilevel"/>
    <w:lvl w:ilvl="0">
      <w:lvlJc w:val="left"/>
      <w:lvlText w:val="%1"/>
      <w:numFmt w:val="lowerLetter"/>
      <w:start w:val="1"/>
    </w:lvl>
    <w:lvl w:ilvl="1">
      <w:lvlJc w:val="left"/>
      <w:lvlText w:val="%2."/>
      <w:numFmt w:val="lowerLetter"/>
      <w:start w:val="61"/>
    </w:lvl>
  </w:abstractNum>
  <w:abstractNum w:abstractNumId="112">
    <w:nsid w:val="519E3149"/>
    <w:multiLevelType w:val="hybridMultilevel"/>
    <w:lvl w:ilvl="0">
      <w:lvlJc w:val="left"/>
      <w:lvlText w:val="%1."/>
      <w:numFmt w:val="lowerLetter"/>
      <w:start w:val="4"/>
    </w:lvl>
    <w:lvl w:ilvl="1">
      <w:lvlJc w:val="left"/>
      <w:lvlText w:val="%2"/>
      <w:numFmt w:val="lowerLetter"/>
      <w:start w:val="1"/>
    </w:lvl>
  </w:abstractNum>
  <w:abstractNum w:abstractNumId="113">
    <w:nsid w:val="2C6E4AF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14">
    <w:nsid w:val="17A1B5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15">
    <w:nsid w:val="4DF72E4E"/>
    <w:multiLevelType w:val="hybridMultilevel"/>
    <w:lvl w:ilvl="0">
      <w:lvlJc w:val="left"/>
      <w:lvlText w:val="%1."/>
      <w:numFmt w:val="lowerRoman"/>
      <w:start w:val="3"/>
    </w:lvl>
  </w:abstractNum>
  <w:abstractNum w:abstractNumId="116">
    <w:nsid w:val="5046B5A9"/>
    <w:multiLevelType w:val="hybridMultilevel"/>
    <w:lvl w:ilvl="0">
      <w:lvlJc w:val="left"/>
      <w:lvlText w:val="%1"/>
      <w:numFmt w:val="lowerLetter"/>
      <w:start w:val="1"/>
    </w:lvl>
    <w:lvl w:ilvl="1">
      <w:lvlJc w:val="left"/>
      <w:lvlText w:val="%2."/>
      <w:numFmt w:val="lowerRoman"/>
      <w:start w:val="4"/>
    </w:lvl>
  </w:abstractNum>
  <w:abstractNum w:abstractNumId="117">
    <w:nsid w:val="5D888A08"/>
    <w:multiLevelType w:val="hybridMultilevel"/>
    <w:lvl w:ilvl="0">
      <w:lvlJc w:val="left"/>
      <w:lvlText w:val="%1."/>
      <w:numFmt w:val="lowerLetter"/>
      <w:start w:val="4"/>
    </w:lvl>
    <w:lvl w:ilvl="1">
      <w:lvlJc w:val="left"/>
      <w:lvlText w:val="%2."/>
      <w:numFmt w:val="lowerRoman"/>
      <w:start w:val="1"/>
    </w:lvl>
  </w:abstractNum>
  <w:abstractNum w:abstractNumId="118">
    <w:nsid w:val="2A082C70"/>
    <w:multiLevelType w:val="hybridMultilevel"/>
    <w:lvl w:ilvl="0">
      <w:lvlJc w:val="left"/>
      <w:lvlText w:val="%1."/>
      <w:numFmt w:val="lowerRoman"/>
      <w:start w:val="3"/>
    </w:lvl>
  </w:abstractNum>
  <w:abstractNum w:abstractNumId="119">
    <w:nsid w:val="5EC6AFD4"/>
    <w:multiLevelType w:val="hybridMultilevel"/>
    <w:lvl w:ilvl="0">
      <w:lvlJc w:val="left"/>
      <w:lvlText w:val="%1"/>
      <w:numFmt w:val="decimal"/>
      <w:start w:val="1"/>
    </w:lvl>
    <w:lvl w:ilvl="1">
      <w:lvlJc w:val="left"/>
      <w:lvlText w:val="%2."/>
      <w:numFmt w:val="lowerLetter"/>
      <w:start w:val="5"/>
    </w:lvl>
  </w:abstractNum>
  <w:abstractNum w:abstractNumId="120">
    <w:nsid w:val="19E21BB2"/>
    <w:multiLevelType w:val="hybridMultilevel"/>
    <w:lvl w:ilvl="0">
      <w:lvlJc w:val="left"/>
      <w:lvlText w:val="%1."/>
      <w:numFmt w:val="decimal"/>
      <w:start w:val="6"/>
    </w:lvl>
    <w:lvl w:ilvl="1">
      <w:lvlJc w:val="left"/>
      <w:lvlText w:val="%2."/>
      <w:numFmt w:val="lowerLetter"/>
      <w:start w:val="1"/>
    </w:lvl>
  </w:abstractNum>
  <w:abstractNum w:abstractNumId="121">
    <w:nsid w:val="75E0858A"/>
    <w:multiLevelType w:val="hybridMultilevel"/>
    <w:lvl w:ilvl="0">
      <w:lvlJc w:val="left"/>
      <w:lvlText w:val="%1"/>
      <w:numFmt w:val="decimal"/>
      <w:start w:val="1"/>
    </w:lvl>
    <w:lvl w:ilvl="1">
      <w:lvlJc w:val="left"/>
      <w:lvlText w:val="%2."/>
      <w:numFmt w:val="lowerLetter"/>
      <w:start w:val="2"/>
    </w:lvl>
  </w:abstractNum>
  <w:abstractNum w:abstractNumId="122">
    <w:nsid w:val="57A61A29"/>
    <w:multiLevelType w:val="hybridMultilevel"/>
    <w:lvl w:ilvl="0">
      <w:lvlJc w:val="left"/>
      <w:lvlText w:val="%1."/>
      <w:numFmt w:val="decimal"/>
      <w:start w:val="7"/>
    </w:lvl>
    <w:lvl w:ilvl="1">
      <w:lvlJc w:val="left"/>
      <w:lvlText w:val="%2"/>
      <w:numFmt w:val="lowerLetter"/>
      <w:start w:val="1"/>
    </w:lvl>
  </w:abstractNum>
  <w:abstractNum w:abstractNumId="123">
    <w:nsid w:val="5399C654"/>
    <w:multiLevelType w:val="hybridMultilevel"/>
    <w:lvl w:ilvl="0">
      <w:lvlJc w:val="left"/>
      <w:lvlText w:val="%1."/>
      <w:numFmt w:val="decimal"/>
      <w:start w:val="8"/>
    </w:lvl>
  </w:abstractNum>
  <w:abstractNum w:abstractNumId="124">
    <w:nsid w:val="20EE134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25">
    <w:nsid w:val="4427069A"/>
    <w:multiLevelType w:val="hybridMultilevel"/>
    <w:lvl w:ilvl="0">
      <w:lvlJc w:val="left"/>
      <w:lvlText w:val="%1"/>
      <w:numFmt w:val="decimal"/>
      <w:start w:val="1"/>
    </w:lvl>
    <w:lvl w:ilvl="1">
      <w:lvlJc w:val="left"/>
      <w:lvlText w:val="%2."/>
      <w:numFmt w:val="lowerLetter"/>
      <w:start w:val="3"/>
    </w:lvl>
  </w:abstractNum>
  <w:abstractNum w:abstractNumId="126">
    <w:nsid w:val="B37E80A"/>
    <w:multiLevelType w:val="hybridMultilevel"/>
    <w:lvl w:ilvl="0">
      <w:lvlJc w:val="left"/>
      <w:lvlText w:val="%1."/>
      <w:numFmt w:val="decimal"/>
      <w:start w:val="16"/>
    </w:lvl>
    <w:lvl w:ilvl="1">
      <w:lvlJc w:val="left"/>
      <w:lvlText w:val="%2"/>
      <w:numFmt w:val="lowerLetter"/>
      <w:start w:val="1"/>
    </w:lvl>
  </w:abstractNum>
  <w:abstractNum w:abstractNumId="127">
    <w:nsid w:val="2157F6BC"/>
    <w:multiLevelType w:val="hybridMultilevel"/>
    <w:lvl w:ilvl="0">
      <w:lvlJc w:val="left"/>
      <w:lvlText w:val="%1"/>
      <w:numFmt w:val="decimal"/>
      <w:start w:val="1"/>
    </w:lvl>
    <w:lvl w:ilvl="1">
      <w:lvlJc w:val="left"/>
      <w:lvlText w:val="%2."/>
      <w:numFmt w:val="lowerLetter"/>
      <w:start w:val="1"/>
    </w:lvl>
  </w:abstractNum>
  <w:abstractNum w:abstractNumId="128">
    <w:nsid w:val="704E1DD5"/>
    <w:multiLevelType w:val="hybridMultilevel"/>
    <w:lvl w:ilvl="0">
      <w:lvlJc w:val="left"/>
      <w:lvlText w:val="%1."/>
      <w:numFmt w:val="decimal"/>
      <w:start w:val="18"/>
    </w:lvl>
    <w:lvl w:ilvl="1">
      <w:lvlJc w:val="left"/>
      <w:lvlText w:val="%2"/>
      <w:numFmt w:val="lowerLetter"/>
      <w:start w:val="1"/>
    </w:lvl>
  </w:abstractNum>
  <w:abstractNum w:abstractNumId="129">
    <w:nsid w:val="57D2F10E"/>
    <w:multiLevelType w:val="hybridMultilevel"/>
    <w:lvl w:ilvl="0">
      <w:lvlJc w:val="left"/>
      <w:lvlText w:val="%1."/>
      <w:numFmt w:val="decimal"/>
      <w:start w:val="21"/>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2"/>
    </w:lvl>
  </w:abstractNum>
  <w:abstractNum w:abstractNumId="133">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abstractNum>
  <w:abstractNum w:abstractNumId="134">
    <w:nsid w:val="4BEE5A5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jpeg"/><Relationship Id="rId279" Type="http://schemas.openxmlformats.org/officeDocument/2006/relationships/image" Target="media/image218.jpeg"/><Relationship Id="rId280" Type="http://schemas.openxmlformats.org/officeDocument/2006/relationships/image" Target="media/image219.jpeg"/><Relationship Id="rId281" Type="http://schemas.openxmlformats.org/officeDocument/2006/relationships/image" Target="media/image220.jpeg"/><Relationship Id="rId282" Type="http://schemas.openxmlformats.org/officeDocument/2006/relationships/image" Target="media/image221.jpeg"/><Relationship Id="rId283" Type="http://schemas.openxmlformats.org/officeDocument/2006/relationships/image" Target="media/image222.jpe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02" Type="http://schemas.openxmlformats.org/officeDocument/2006/relationships/hyperlink" Target="http://www.sec.gov/Archives/edgar/data/1592386/000110465915042100/a15-8228_1ex2d1.htm" TargetMode="External"/><Relationship Id="rId203" Type="http://schemas.openxmlformats.org/officeDocument/2006/relationships/hyperlink" Target="http://www.sec.gov/Archives/edgar/data/1592386/000110465915042100/a15-8228_1ex2d2.htm" TargetMode="External"/><Relationship Id="rId204" Type="http://schemas.openxmlformats.org/officeDocument/2006/relationships/hyperlink" Target="http://www.sec.gov/Archives/edgar/data/1592386/000110465915042100/a15-8228_1ex2d3.htm" TargetMode="External"/><Relationship Id="rId205" Type="http://schemas.openxmlformats.org/officeDocument/2006/relationships/hyperlink" Target="http://www.sec.gov/Archives/edgar/data/1592386/000110465917024963/a17-11616_3ex2d1.htm" TargetMode="External"/><Relationship Id="rId206" Type="http://schemas.openxmlformats.org/officeDocument/2006/relationships/hyperlink" Target="http://www.sec.gov/Archives/edgar/data/1592386/000155837017004144/virt-20170331ex22abdb0e6.htm" TargetMode="External"/><Relationship Id="rId207" Type="http://schemas.openxmlformats.org/officeDocument/2006/relationships/hyperlink" Target="http://www.sec.gov/Archives/edgar/data/1592386/000095014218002168/eh1801201_ex0201.htm" TargetMode="External"/><Relationship Id="rId208" Type="http://schemas.openxmlformats.org/officeDocument/2006/relationships/hyperlink" Target="http://www.sec.gov/Archives/edgar/data/1592386/000110465915042100/a15-8228_1ex3d1.htm" TargetMode="External"/><Relationship Id="rId209" Type="http://schemas.openxmlformats.org/officeDocument/2006/relationships/hyperlink" Target="http://www.sec.gov/Archives/edgar/data/1592386/000110465915042100/a15-8228_1ex3d2.htm" TargetMode="External"/><Relationship Id="rId210" Type="http://schemas.openxmlformats.org/officeDocument/2006/relationships/hyperlink" Target="https://www.sec.gov/Archives/edgar/data/1592386/000159238620000003/exhibit41q419.htm" TargetMode="External"/><Relationship Id="rId211" Type="http://schemas.openxmlformats.org/officeDocument/2006/relationships/hyperlink" Target="http://www.sec.gov/Archives/edgar/data/1592386/000110465917042979/a17-15469_1ex4d3.htm" TargetMode="External"/><Relationship Id="rId212" Type="http://schemas.openxmlformats.org/officeDocument/2006/relationships/hyperlink" Target="https://www.sec.gov/Archives/edgar/data/0001592386/000159238621000005/exhbit104q420.htm" TargetMode="External"/><Relationship Id="rId213" Type="http://schemas.openxmlformats.org/officeDocument/2006/relationships/hyperlink" Target="http://www.sec.gov/Archives/edgar/data/1592386/000104746915001003/a2219372zex-10_2.htm" TargetMode="External"/><Relationship Id="rId214" Type="http://schemas.openxmlformats.org/officeDocument/2006/relationships/hyperlink" Target="https://www.sec.gov/Archives/edgar/data/1592386/000159238622000041/exhibit105q421.htm" TargetMode="External"/><Relationship Id="rId215" Type="http://schemas.openxmlformats.org/officeDocument/2006/relationships/hyperlink" Target="https://www.sec.gov/Archives/edgar/data/1592386/000159238622000041/exhibit106q421.htm" TargetMode="External"/><Relationship Id="rId216" Type="http://schemas.openxmlformats.org/officeDocument/2006/relationships/hyperlink" Target="https://www.sec.gov/Archives/edgar/data/1592386/000159238622000041/exhibit107q421.htm" TargetMode="External"/><Relationship Id="rId219" Type="http://schemas.openxmlformats.org/officeDocument/2006/relationships/hyperlink" Target="https://www.sec.gov/Archives/edgar/data/1592386/000159238620000012/exhibit101q320.htm" TargetMode="External"/><Relationship Id="rId220" Type="http://schemas.openxmlformats.org/officeDocument/2006/relationships/hyperlink" Target="https://www.sec.gov/Archives/edgar/data/1592386/000159238620000012/exhibit102q320.htm" TargetMode="External"/><Relationship Id="rId221" Type="http://schemas.openxmlformats.org/officeDocument/2006/relationships/hyperlink" Target="https://www.sec.gov/Archives/edgar/data/1592386/000159238622000041/exhibit1011q421.htm" TargetMode="External"/><Relationship Id="rId222" Type="http://schemas.openxmlformats.org/officeDocument/2006/relationships/hyperlink" Target="http://www.sec.gov/Archives/edgar/data/1592386/000110465915042100/a15-8228_1ex10d2.htm" TargetMode="External"/><Relationship Id="rId223" Type="http://schemas.openxmlformats.org/officeDocument/2006/relationships/hyperlink" Target="https://www.sec.gov/Archives/edgar/data/1592386/000110465915042100/a15-8228_1ex10d3.htm" TargetMode="External"/><Relationship Id="rId224" Type="http://schemas.openxmlformats.org/officeDocument/2006/relationships/hyperlink" Target="http://www.sec.gov/Archives/edgar/data/1592386/000110465915042100/a15-8228_1ex10d5.htm" TargetMode="External"/><Relationship Id="rId225" Type="http://schemas.openxmlformats.org/officeDocument/2006/relationships/hyperlink" Target="http://www.sec.gov/Archives/edgar/data/1592386/000110465915042100/a15-8228_1ex10d6.htm" TargetMode="External"/><Relationship Id="rId226" Type="http://schemas.openxmlformats.org/officeDocument/2006/relationships/hyperlink" Target="https://www.sec.gov/Archives/edgar/data/1592386/000110465915042100/a15-8228_1ex10d7.htm" TargetMode="External"/><Relationship Id="rId227" Type="http://schemas.openxmlformats.org/officeDocument/2006/relationships/hyperlink" Target="http://www.sec.gov/Archives/edgar/data/1592386/000110465915042100/a15-8228_1ex10d8.htm" TargetMode="External"/><Relationship Id="rId228" Type="http://schemas.openxmlformats.org/officeDocument/2006/relationships/hyperlink" Target="https://www.sec.gov/Archives/edgar/data/1592386/000110465915042100/a15-8228_1ex10d9.htm" TargetMode="External"/><Relationship Id="rId229" Type="http://schemas.openxmlformats.org/officeDocument/2006/relationships/hyperlink" Target="http://www.sec.gov/Archives/edgar/data/1592386/000110465915042100/a15-8228_1ex10d10.htm" TargetMode="External"/><Relationship Id="rId230" Type="http://schemas.openxmlformats.org/officeDocument/2006/relationships/hyperlink" Target="http://www.sec.gov/Archives/edgar/data/1592386/000110465915042100/a15-8228_1ex10d11.htm" TargetMode="External"/><Relationship Id="rId231" Type="http://schemas.openxmlformats.org/officeDocument/2006/relationships/hyperlink" Target="https://www.sec.gov/Archives/edgar/data/1592386/000155837017004144/virt-20170331ex10240ef25.htm" TargetMode="External"/><Relationship Id="rId232" Type="http://schemas.openxmlformats.org/officeDocument/2006/relationships/hyperlink" Target="https://www.sec.gov/Archives/edgar/data/1592386/000155837017004144/virt-20170331ex103b78259.htm" TargetMode="External"/><Relationship Id="rId233" Type="http://schemas.openxmlformats.org/officeDocument/2006/relationships/hyperlink" Target="http://www.sec.gov/Archives/edgar/data/1592386/000110465917037232/a17-14679_1ex10d1.htm" TargetMode="External"/><Relationship Id="rId234" Type="http://schemas.openxmlformats.org/officeDocument/2006/relationships/hyperlink" Target="http://www.sec.gov/Archives/edgar/data/1592386/000155837017006443/virt-20170630ex1083a3a1f.htm" TargetMode="External"/><Relationship Id="rId235" Type="http://schemas.openxmlformats.org/officeDocument/2006/relationships/hyperlink" Target="http://www.sec.gov/Archives/edgar/data/1592386/000155837018002007/virt-20171231ex10302f561.htm" TargetMode="External"/><Relationship Id="rId239" Type="http://schemas.openxmlformats.org/officeDocument/2006/relationships/hyperlink" Target="http://www.sec.gov/Archives/edgar/data/1592386/000110465918033448/a18-13432_1ex10d1.htm#Exhibit_020019" TargetMode="External"/><Relationship Id="rId240" Type="http://schemas.openxmlformats.org/officeDocument/2006/relationships/hyperlink" Target="http://www.sec.gov/Archives/edgar/data/1592386/000159238620000003/exhibit1041q419.htm" TargetMode="External"/><Relationship Id="rId241" Type="http://schemas.openxmlformats.org/officeDocument/2006/relationships/hyperlink" Target="http://www.sec.gov/Archives/edgar/data/1592386/000159238620000003/exhibit1042q419.htm" TargetMode="External"/><Relationship Id="rId242" Type="http://schemas.openxmlformats.org/officeDocument/2006/relationships/hyperlink" Target="http://www.sec.gov/Archives/edgar/data/1592386/000159238620000003/exhibit1043q419.htm" TargetMode="External"/><Relationship Id="rId243" Type="http://schemas.openxmlformats.org/officeDocument/2006/relationships/hyperlink" Target="http://www.sec.gov/Archives/edgar/data/1592386/000110465919011958/a19-5537_1ex4d3.htm" TargetMode="External"/><Relationship Id="rId244" Type="http://schemas.openxmlformats.org/officeDocument/2006/relationships/hyperlink" Target="https://www.sec.gov/Archives/edgar/data/0001592386/000159238621000005/exhibit1033q420.htm" TargetMode="External"/><Relationship Id="rId245" Type="http://schemas.openxmlformats.org/officeDocument/2006/relationships/hyperlink" Target="https://www.sec.gov/Archives/edgar/data/0001592386/000159238621000005/exhibit1034q420.htm" TargetMode="External"/><Relationship Id="rId246" Type="http://schemas.openxmlformats.org/officeDocument/2006/relationships/hyperlink" Target="https://www.sec.gov/Archives/edgar/data/0001592386/000159238621000005/exhibit1035q420.htm" TargetMode="External"/><Relationship Id="rId247" Type="http://schemas.openxmlformats.org/officeDocument/2006/relationships/hyperlink" Target="https://www.sec.gov/Archives/edgar/data/1592386/000159238621000005/exhibit1036q420.htm" TargetMode="External"/><Relationship Id="rId248" Type="http://schemas.openxmlformats.org/officeDocument/2006/relationships/hyperlink" Target="https://www.sec.gov/Archives/edgar/data/1592386/000159238621000005/exhibit1037q420.htm" TargetMode="External"/><Relationship Id="rId249" Type="http://schemas.openxmlformats.org/officeDocument/2006/relationships/hyperlink" Target="https://www.sec.gov/Archives/edgar/data/1592386/000159238621000005/exhibit1038q420.htm" TargetMode="External"/><Relationship Id="rId250" Type="http://schemas.openxmlformats.org/officeDocument/2006/relationships/hyperlink" Target="https://www.sec.gov/Archives/edgar/data/1592386/000159238621000005/exhibit1039q420.htm" TargetMode="External"/><Relationship Id="rId251" Type="http://schemas.openxmlformats.org/officeDocument/2006/relationships/hyperlink" Target="https://www.sec.gov/Archives/edgar/data/1592386/000159238622000041/exhibit1042q421.htm" TargetMode="External"/><Relationship Id="rId252" Type="http://schemas.openxmlformats.org/officeDocument/2006/relationships/hyperlink" Target="https://www.sec.gov/Archives/edgar/data/1592386/000159238622000041/exhibit1043q421.htm" TargetMode="External"/><Relationship Id="rId253" Type="http://schemas.openxmlformats.org/officeDocument/2006/relationships/hyperlink" Target="https://www.sec.gov/Archives/edgar/data/1592386/000159238622000041/exhibit1044q421.htm" TargetMode="External"/><Relationship Id="rId256" Type="http://schemas.openxmlformats.org/officeDocument/2006/relationships/hyperlink" Target="https://www.sec.gov/Archives/edgar/data/1592386/000159238622000041/exhibit1045q421.htm" TargetMode="External"/><Relationship Id="rId257" Type="http://schemas.openxmlformats.org/officeDocument/2006/relationships/hyperlink" Target="https://www.sec.gov/Archives/edgar/data/1592386/000159238622000041/exhibit1046q421.htm" TargetMode="External"/><Relationship Id="rId258" Type="http://schemas.openxmlformats.org/officeDocument/2006/relationships/hyperlink" Target="https://www.sec.gov/Archives/edgar/data/1592386/000159238622000041/exhibit1047q421.htm" TargetMode="External"/><Relationship Id="rId259" Type="http://schemas.openxmlformats.org/officeDocument/2006/relationships/hyperlink" Target="https://www.sec.gov/Archives/edgar/data/1592386/000159238622000041/exhibit1048q421.htm" TargetMode="External"/><Relationship Id="rId260" Type="http://schemas.openxmlformats.org/officeDocument/2006/relationships/hyperlink" Target="https://www.sec.gov/Archives/edgar/data/1592386/000159238621000005/exhibit1040q420.htm" TargetMode="External"/><Relationship Id="rId261" Type="http://schemas.openxmlformats.org/officeDocument/2006/relationships/hyperlink" Target="https://www.sec.gov/Archives/edgar/data/1592386/000159238622000048/exhibit101q122.htm" TargetMode="External"/><Relationship Id="rId262" Type="http://schemas.openxmlformats.org/officeDocument/2006/relationships/hyperlink" Target="https://www.sec.gov/Archives/edgar/data/1592386/000159238622000073/exhibit101q2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2023-02-17T18:48:26Z</dcterms:created>
  <dcterms:modified xsi:type="dcterms:W3CDTF">2023-02-17T18:48:26Z</dcterms:modified>
</cp:coreProperties>
</file>