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2026</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VIRTU FINANCIAL,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348" w:right="339" w:bottom="1440" w:gutter="0" w:footer="0" w:header="0"/>
        </w:sectPr>
      </w:pPr>
    </w:p>
    <w:p>
      <w:pPr>
        <w:spacing w:after="0" w:line="25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001-37352</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32-0420206</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20" w:space="720"/>
            <w:col w:w="2520"/>
          </w:cols>
          <w:pgMar w:left="320" w:top="1348" w:right="339" w:bottom="1440" w:gutter="0" w:footer="0" w:header="0"/>
          <w:type w:val="continuous"/>
        </w:sectPr>
      </w:pP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1633 Broadway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418-0100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134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35"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06"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VIRT</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391"/>
        </w:trPr>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013"/>
        </w:trPr>
        <w:tc>
          <w:tcPr>
            <w:tcW w:w="4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2026, Virtu Financial, Inc. (the “Company”) issued a press release setting forth its financial results for its quarter ended March 31, 2026. A copy of the Company's press release is attached as Exhibit 99.1 to this report. The Company does not intend for this Item 2.02 or Exhibit 99.1 to be deemed “filed” for purposes of Section 18 of the Securities Exchange Act of 1934, as amended, or to be incorporated by reference into filings under the Securities Act of 1933, as amended.</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4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3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73"/>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28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728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of Virtu Financial, Inc., dated April 29, 2026 and furnished pursuant to Item 2.02,</w:t>
            </w:r>
          </w:p>
        </w:tc>
      </w:tr>
      <w:tr>
        <w:trPr>
          <w:trHeight w:val="156"/>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Borders>
              <w:top w:val="single" w:sz="8" w:color="0000FF"/>
              <w:bottom w:val="single" w:sz="8" w:color="0000FF"/>
            </w:tcBorders>
          </w:tcPr>
          <w:p>
            <w:pPr>
              <w:ind w:left="20"/>
              <w:spacing w:after="0" w:line="156" w:lineRule="exact"/>
              <w:rPr>
                <w:sz w:val="20"/>
                <w:szCs w:val="20"/>
                <w:color w:val="auto"/>
              </w:rPr>
            </w:pPr>
            <w:r>
              <w:rPr>
                <w:rFonts w:ascii="Times New Roman" w:cs="Times New Roman" w:eastAsia="Times New Roman" w:hAnsi="Times New Roman"/>
                <w:sz w:val="18"/>
                <w:szCs w:val="18"/>
                <w:color w:val="0000FF"/>
                <w:w w:val="99"/>
              </w:rPr>
              <w:t>“Results of Operations and Financial Condition.”</w:t>
            </w:r>
          </w:p>
        </w:tc>
        <w:tc>
          <w:tcPr>
            <w:tcW w:w="330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r>
    </w:tbl>
    <w:p>
      <w:pPr>
        <w:spacing w:after="0" w:line="252" w:lineRule="exact"/>
        <w:rPr>
          <w:sz w:val="20"/>
          <w:szCs w:val="20"/>
          <w:color w:val="auto"/>
        </w:rPr>
      </w:pPr>
    </w:p>
    <w:p>
      <w:pPr>
        <w:ind w:left="2520" w:hanging="1198"/>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4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3"/>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0" w:type="dxa"/>
            <w:vAlign w:val="bottom"/>
          </w:tcPr>
          <w:p>
            <w:pPr>
              <w:spacing w:after="0"/>
              <w:rPr>
                <w:sz w:val="24"/>
                <w:szCs w:val="24"/>
                <w:color w:val="auto"/>
              </w:rPr>
            </w:pPr>
          </w:p>
        </w:tc>
        <w:tc>
          <w:tcPr>
            <w:tcW w:w="904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240" w:type="dxa"/>
            <w:vAlign w:val="bottom"/>
            <w:tcBorders>
              <w:top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9900" w:type="dxa"/>
            <w:vAlign w:val="bottom"/>
            <w:tcBorders>
              <w:top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Press release of Virtu Financial, Inc., dated April 29, 2026 and furnished pursuant to Item 2.02, “Results of Operations and Financial</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Condition.”</w:t>
            </w:r>
          </w:p>
        </w:tc>
        <w:tc>
          <w:tcPr>
            <w:tcW w:w="87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r>
    </w:tbl>
    <w:p>
      <w:pPr>
        <w:spacing w:after="0" w:line="279" w:lineRule="exact"/>
        <w:rPr>
          <w:sz w:val="20"/>
          <w:szCs w:val="20"/>
          <w:color w:val="auto"/>
        </w:rPr>
      </w:pPr>
    </w:p>
    <w:p>
      <w:pPr>
        <w:ind w:left="1340" w:hanging="1314"/>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43" w:lineRule="exact"/>
        <w:rPr>
          <w:sz w:val="20"/>
          <w:szCs w:val="20"/>
          <w:color w:val="auto"/>
        </w:rPr>
      </w:pPr>
    </w:p>
    <w:p>
      <w:pPr>
        <w:ind w:left="5040"/>
        <w:spacing w:after="0"/>
        <w:tabs>
          <w:tab w:leader="none" w:pos="5480" w:val="left"/>
        </w:tabs>
        <w:rPr>
          <w:sz w:val="20"/>
          <w:szCs w:val="20"/>
          <w:color w:val="auto"/>
        </w:rPr>
      </w:pPr>
      <w:r>
        <w:rPr>
          <w:rFonts w:ascii="Times New Roman" w:cs="Times New Roman" w:eastAsia="Times New Roman" w:hAnsi="Times New Roman"/>
          <w:sz w:val="18"/>
          <w:szCs w:val="18"/>
          <w:color w:val="auto"/>
        </w:rPr>
        <w:t>By:</w:t>
        <w:tab/>
        <w:t>/s/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50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tab/>
        <w:t>Justin Waldie</w:t>
      </w:r>
    </w:p>
    <w:p>
      <w:pPr>
        <w:spacing w:after="0" w:line="27" w:lineRule="exact"/>
        <w:rPr>
          <w:sz w:val="20"/>
          <w:szCs w:val="20"/>
          <w:color w:val="auto"/>
        </w:rPr>
      </w:pPr>
    </w:p>
    <w:p>
      <w:pPr>
        <w:ind w:left="550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Senior Vice President, Secretary and General Counsel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1143"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Virtu Announces First Quarter 2026 Results</w:t>
      </w: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YORK, NY, April 29, 2026 - Virtu Financial, Inc. (NYSE: VIRT), a leading provider of financial services and products that leverages cutting edge technology to deliver innovative, transparent trading solutions to its clients and liquidity to the global markets, today reported results for the first quarter ended March 31,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2026:</w:t>
      </w:r>
    </w:p>
    <w:p>
      <w:pPr>
        <w:spacing w:after="0" w:line="1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of $346.6 million; Normalized Adjusted Net Income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$356.7 million</w:t>
      </w:r>
    </w:p>
    <w:p>
      <w:pPr>
        <w:ind w:left="660" w:hanging="328"/>
        <w:spacing w:after="0" w:line="19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Basic and diluted earnings per share of $1.99; Normalized Adjusted 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$2.24</w:t>
      </w:r>
    </w:p>
    <w:p>
      <w:pPr>
        <w:ind w:left="660" w:hanging="328"/>
        <w:spacing w:after="0" w:line="19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of $1,095.3 million; Trading income, net, of $789.1 million; Net income Margin of 31.6%</w:t>
      </w:r>
      <w:r>
        <w:rPr>
          <w:rFonts w:ascii="Arial" w:cs="Arial" w:eastAsia="Arial" w:hAnsi="Arial"/>
          <w:sz w:val="23"/>
          <w:szCs w:val="23"/>
          <w:color w:val="auto"/>
          <w:vertAlign w:val="superscript"/>
        </w:rPr>
        <w:t>2</w:t>
      </w:r>
    </w:p>
    <w:p>
      <w:pPr>
        <w:ind w:left="1300" w:hanging="320"/>
        <w:spacing w:after="0" w:line="19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Net Trading Income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$786.5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$520.6 million; Adjusted EBITDA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66.2%</w:t>
      </w: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Virtu Financial, Inc. Board of Directors declared a quarterly cash dividend of $0.24 per share. This dividend is payable on June 15, 2026 to shareholders of record as of June 1, 2026.</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Note 1: Non-GAAP financial measures. Please see "Non-GAAP Financial Measures and Other Items" for more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Note 2: Calculated by dividing Net income by Total revenue.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2026:</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revenues increased 30.7% to $1,095.3 million for this quarter, compared to $837.9 million for the same period in 2025. Trading income, net, increased 33.8% to $789.1 million for the quarter compared to $ 590.0 million for the same period in 2025. Net income totaled $346.6 million for this quarter, compared to net income of $189.6 million in the prior year quarter.</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Basic and diluted earnings per share for this quarter were $1.99, compared to basic and diluted earnings per share of $1.09 and $1.08, respectively, for the same period in 2025.</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Net Trading Income increased 58.2% to $786.5 million for this quarter, compared to $497.1 million for the same period in 2025. Adjusted EBITDA increased 62.7% to $520.6 million for this quarter, compared to $319.9 million for the same period in 2025. Normalized Adjusted Net Income increased 71.2% to $356.7 million for this quarter, compared to $208.3 million for the same period in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Assuming all non-controlling interests had been exchanged for common stock, and the Company’s Normalized Adjusted Net Income before income taxes was subject to corporation taxes, Normalized Adjusted EPS was $2.24 for this quarter, compared to $1.30 for the same period in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operating segments: Market Making and Execution Services; and one non-operating segment: Corporate.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 Making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 dealers, banks and institutions.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Execution Services comprises agency-based trading and trading venues, offering execution services in global equities, options, futures and fixed income on behalf of institutions, banks and broker dealers. The Company also provides proprietary technology and infrastructure, workflow technology, and trading analytics services to select third parties. The segment also includes the results of the Company's capital markets business, in which the Company acts as an agent for issuers in connection with at-the-market offerings and buyback programs.</w:t>
      </w:r>
    </w:p>
    <w:p>
      <w:pPr>
        <w:spacing w:after="0" w:line="20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Corporate contains the Company's investments, principally in strategic trading-related opportunities, and maintains corporate overhead expenses.</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tables show the trading income, net, total revenues and Adjusted Net Trading Income by segment for the three months ended March 31, 2026 and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 by segment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unaudited)</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w w:val="97"/>
              </w:rPr>
              <w:t>Three Months Ended March 31, 2026</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96"/>
              </w:rPr>
              <w:t>Three Months Ended March 31, 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Market Making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Execution</w:t>
            </w:r>
          </w:p>
        </w:tc>
        <w:tc>
          <w:tcPr>
            <w:tcW w:w="12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Market Making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Execution</w:t>
            </w:r>
          </w:p>
        </w:tc>
        <w:tc>
          <w:tcPr>
            <w:tcW w:w="12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Corporate</w:t>
            </w:r>
          </w:p>
        </w:tc>
        <w:tc>
          <w:tcPr>
            <w:tcW w:w="180" w:type="dxa"/>
            <w:vAlign w:val="bottom"/>
          </w:tcPr>
          <w:p>
            <w:pPr>
              <w:spacing w:after="0"/>
              <w:rPr>
                <w:sz w:val="10"/>
                <w:szCs w:val="10"/>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Services</w:t>
            </w: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Services</w:t>
            </w: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Trading income, net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782,419</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789,146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582,622</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7,361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589,983</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3"/>
                <w:szCs w:val="13"/>
                <w:color w:val="auto"/>
              </w:rPr>
              <w:t>Commissions, net and technology services</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8,675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177,950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186,625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17,312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133,995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151,307</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Interest and dividends income</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125,062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106,438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109,053</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(7,962)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(12,474)</w:t>
            </w:r>
          </w:p>
        </w:tc>
        <w:tc>
          <w:tcPr>
            <w:tcW w:w="0" w:type="dxa"/>
            <w:vAlign w:val="bottom"/>
          </w:tcPr>
          <w:p>
            <w:pPr>
              <w:spacing w:after="0"/>
              <w:rPr>
                <w:sz w:val="1"/>
                <w:szCs w:val="1"/>
                <w:color w:val="auto"/>
              </w:rPr>
            </w:pPr>
          </w:p>
        </w:tc>
      </w:tr>
      <w:tr>
        <w:trPr>
          <w:trHeight w:val="199"/>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Revenues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915,697</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187,131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(7,501)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1,095,327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691,172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141,008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5,689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837,869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980"/>
        <w:spacing w:after="0" w:line="273" w:lineRule="auto"/>
        <w:rPr>
          <w:sz w:val="20"/>
          <w:szCs w:val="20"/>
          <w:color w:val="auto"/>
        </w:rPr>
      </w:pPr>
      <w:r>
        <w:rPr>
          <w:rFonts w:ascii="Arial" w:cs="Arial" w:eastAsia="Arial" w:hAnsi="Arial"/>
          <w:sz w:val="18"/>
          <w:szCs w:val="18"/>
          <w:i w:val="1"/>
          <w:iCs w:val="1"/>
          <w:color w:val="auto"/>
        </w:rPr>
        <w:t>Reconciliation of trading income, net to Adjusted Net Trading Income by operating segment (in thousands, unaudited)</w:t>
      </w:r>
    </w:p>
    <w:tbl>
      <w:tblPr>
        <w:tblLayout w:type="fixed"/>
        <w:tblInd w:w="8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w w:val="97"/>
              </w:rPr>
              <w:t>Three Months Ended March 31, 2026</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96"/>
              </w:rPr>
              <w:t>Three Months Ended March 31, 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Market Making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Execution</w:t>
            </w:r>
          </w:p>
        </w:tc>
        <w:tc>
          <w:tcPr>
            <w:tcW w:w="12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8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Market Making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Execution</w:t>
            </w:r>
          </w:p>
        </w:tc>
        <w:tc>
          <w:tcPr>
            <w:tcW w:w="12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Corporate</w:t>
            </w:r>
          </w:p>
        </w:tc>
        <w:tc>
          <w:tcPr>
            <w:tcW w:w="180" w:type="dxa"/>
            <w:vAlign w:val="bottom"/>
          </w:tcPr>
          <w:p>
            <w:pPr>
              <w:spacing w:after="0"/>
              <w:rPr>
                <w:sz w:val="10"/>
                <w:szCs w:val="10"/>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Services</w:t>
            </w: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Services</w:t>
            </w: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Trading income, net</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782,419</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789,146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582,622</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7,361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589,983</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3"/>
                <w:szCs w:val="13"/>
                <w:color w:val="auto"/>
              </w:rPr>
              <w:t>Commissions, net and technology services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8,675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177,950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186,625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17,312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133,995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151,307</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Interest and dividends income</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125,062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106,438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109,053</w:t>
            </w:r>
          </w:p>
        </w:tc>
        <w:tc>
          <w:tcPr>
            <w:tcW w:w="0" w:type="dxa"/>
            <w:vAlign w:val="bottom"/>
          </w:tcPr>
          <w:p>
            <w:pPr>
              <w:spacing w:after="0"/>
              <w:rPr>
                <w:sz w:val="1"/>
                <w:szCs w:val="1"/>
                <w:color w:val="auto"/>
              </w:rPr>
            </w:pPr>
          </w:p>
        </w:tc>
      </w:tr>
      <w:tr>
        <w:trPr>
          <w:trHeight w:val="122"/>
        </w:trPr>
        <w:tc>
          <w:tcPr>
            <w:tcW w:w="3000" w:type="dxa"/>
            <w:vAlign w:val="bottom"/>
          </w:tcPr>
          <w:p>
            <w:pPr>
              <w:spacing w:after="0" w:line="122" w:lineRule="exact"/>
              <w:rPr>
                <w:sz w:val="20"/>
                <w:szCs w:val="20"/>
                <w:color w:val="auto"/>
              </w:rPr>
            </w:pPr>
            <w:r>
              <w:rPr>
                <w:rFonts w:ascii="Arial" w:cs="Arial" w:eastAsia="Arial" w:hAnsi="Arial"/>
                <w:sz w:val="13"/>
                <w:szCs w:val="13"/>
                <w:color w:val="auto"/>
              </w:rPr>
              <w:t>Brokerage, exchange, clearance fees and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Arial" w:cs="Arial" w:eastAsia="Arial" w:hAnsi="Arial"/>
                <w:sz w:val="13"/>
                <w:szCs w:val="13"/>
                <w:color w:val="auto"/>
              </w:rPr>
              <w:t>payments for order flow, net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(102,758)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(36,070)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(138,828)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(194,303)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(27,572)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(221,875)</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Interest and dividends expense</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(176,341)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(177,927)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(130,051)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(131,328)</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3"/>
                <w:szCs w:val="13"/>
                <w:b w:val="1"/>
                <w:bCs w:val="1"/>
                <w:color w:val="auto"/>
              </w:rPr>
              <w:t>Adjusted Net Trading Income</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637,057</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149,477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786,534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382,018</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115,122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497,140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Virtu had $1,030.2 million in cash, cash equivalents and restricted cash, and total long-term debt outstanding in an aggregate principal amount of $2,051.6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Virtu Financial will host a conference call to review its first quarter 2026 financial performance today, April 29th, 2026, at 8:00 a.m. ET. Members of the public may listen to the conference call through an audio webcast through the Investor Relations section of the firm’s website ir.virtu.com/investor-relations.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Information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routinely post important information for investors on the Investor Relations section of our website, ir.virtu.com/investor-relations and also from time to time may use social media channels, including our X account (x.com/virtufinancial) and our LinkedIn account (linkedin.com/company/virtu-financial), as an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in addition to following our press releases, SEC filings, public conference calls, presentations and webcasts. The information contained on, or that may be accessed through, our website and our social media channels is not incorporated by reference into, and is not a part of, this document.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Items</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To supplement our unaudited condensed consolidated financial statements presented in accordance with generally accepted accounting principles ("GAAP"), we use the following non-GAAP measures of financial performance:</w:t>
      </w:r>
    </w:p>
    <w:p>
      <w:pPr>
        <w:spacing w:after="0" w:line="180" w:lineRule="exact"/>
        <w:rPr>
          <w:sz w:val="20"/>
          <w:szCs w:val="20"/>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clearance fees and payments for order flow, net.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21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and the sales of businesses.</w:t>
      </w:r>
    </w:p>
    <w:p>
      <w:pPr>
        <w:spacing w:after="0" w:line="20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203"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“Adjusted Operating Expenses”, which we calculate by adjusting total operating expenses to exclude severance, share based compensation, reserves for legal matters, termination of office leases, connectivity early termination and write-down of assets.</w:t>
      </w:r>
    </w:p>
    <w:p>
      <w:pPr>
        <w:spacing w:after="0" w:line="200" w:lineRule="exact"/>
        <w:rPr>
          <w:sz w:val="20"/>
          <w:szCs w:val="20"/>
          <w:color w:val="auto"/>
        </w:rPr>
      </w:pP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Net Trading Income, EBITDA, Adjusted EBITDA, Adjusted EBITDA Margin, Normalized Adjusted Net Income, Normalized Adjusted Net Income before income taxes, Normalized provision for income taxes, and Normalized Adjusted EPS and Adjusted Operating Expenses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measures are used by research analysts, investment bankers and lenders to assess our operating performance. Management believes that the presentation of Adjusted Net Trading Income, EBITDA, Adjusted EBITDA, Adjusted EBITDA Margin, Normalized Adjusted Net Income, Normalized Adjusted Net Income before income taxes, Normalized provision for income taxes and Normalized Adjusted EPS provide useful information to investors regarding our results of operations because they assist both investors and management in analyzing and benchmarking the performance and value of our business. Adjusted Net Trading Income, EBITDA, Adjusted EBITDA, Adjusted EBITDA Margin,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tests based on metrics similar to Adjusted EBITDA. Other companies may define Adjusted Net Trading Income, Adjusted EBITDA, Adjusted EBITDA Margin, Normalized Adjusted Net Income, Normalized Adjusted Net Income before income taxes, Normalized provision for income taxes and Normalized Adjusted EPS differently, and as a result our measures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7"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27305</wp:posOffset>
            </wp:positionV>
            <wp:extent cx="175704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Net Trading Income, Adjusted EBITDA, Adjusted EBITDA Margin, Normalized Adjusted Net Income, Normalized Adjusted Net Income before income taxes, Normalized provision for income taxes and Normalized Adjusted EPS may not be directly comparable to those of other companies. Although we use these non-GAAP financial measures as financial measures to assess the performance of our business, such use is limited because they do not include certain material costs necessary to operate our business.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Net Trading Income, EBITDA, Adjusted EBITDA, Normalized Adjusted Net Income before income taxes, Normalized provision for income taxes, Normalized Adjusted Net Income and Normalized Adjusted EPS should be considered in addition to, and not as a substitute for, Net Income in accordance with U.S. GAAP as a measure of performance. Our presentation of Adjusted Net Trading Income, EBITDA, Adjusted EBITDA, Adjusted EBITDA Margin,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Normalized Adjusted EPS and our EBITDA-based measures have limitations as analytical tools, and you should not consider them in isolation or as substitutes for analysis of our results as reported under U.S. GAAP. Some of these limitations are:</w:t>
      </w:r>
    </w:p>
    <w:p>
      <w:pPr>
        <w:spacing w:after="0" w:line="2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they do not reflect every cash expenditure, future requirements for capital expenditures or contractual commitments;</w:t>
      </w:r>
    </w:p>
    <w:p>
      <w:pPr>
        <w:spacing w:after="0" w:line="26"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EBITDA-based measures do not reflect the significant interest expense or the cash requirements necessary to service interest or principal payment on our debt;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they are not adjusted for all non-cash income or expense items that are reflected in our statements of cash flows;</w:t>
      </w:r>
    </w:p>
    <w:p>
      <w:pPr>
        <w:spacing w:after="0" w:line="8"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they do not reflect limitations on our costs related to transferring earnings from our subsidiaries to us.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these limitations, Adjusted Net Trading Income, EBITDA, Adjusted EBITDA, Normalized Adjusted Net Income before income taxes, Normalized provision for income taxes, Normalized Adjusted Net Income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before income taxes, Normalized provision for income taxes, Normalized Adjusted Net Income and Normalized Adjusted EPS along with other comparative tools, together with U.S. GAAP measurements, to assist in the evaluation of operating performance. These U.S. GAAP measurements include Net Income, cash flows from operations and cash flow data. See below a reconciliation of each non-GAAP measure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19685</wp:posOffset>
            </wp:positionV>
            <wp:extent cx="175704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Virtu Financial, Inc. and Subsidiaries</w:t>
      </w:r>
    </w:p>
    <w:p>
      <w:pPr>
        <w:jc w:val="center"/>
        <w:ind w:right="1120"/>
        <w:spacing w:after="0"/>
        <w:rPr>
          <w:sz w:val="20"/>
          <w:szCs w:val="20"/>
          <w:color w:val="auto"/>
        </w:rPr>
      </w:pPr>
      <w:r>
        <w:rPr>
          <w:rFonts w:ascii="Arial" w:cs="Arial" w:eastAsia="Arial" w:hAnsi="Arial"/>
          <w:sz w:val="22"/>
          <w:szCs w:val="22"/>
          <w:b w:val="1"/>
          <w:bCs w:val="1"/>
          <w:color w:val="auto"/>
        </w:rPr>
        <w:t>Condensed Consolidated Statements of Comprehensive Income (Unaudited)</w:t>
      </w:r>
    </w:p>
    <w:p>
      <w:pPr>
        <w:spacing w:after="0" w:line="8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5"/>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89"/>
        </w:trPr>
        <w:tc>
          <w:tcPr>
            <w:tcW w:w="5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789,146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589,983</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127,518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109,053</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186,625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151,307</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(12,474)</w:t>
            </w:r>
          </w:p>
        </w:tc>
      </w:tr>
      <w:tr>
        <w:trPr>
          <w:trHeight w:val="192"/>
        </w:trPr>
        <w:tc>
          <w:tcPr>
            <w:tcW w:w="5560" w:type="dxa"/>
            <w:vAlign w:val="bottom"/>
          </w:tcPr>
          <w:p>
            <w:pPr>
              <w:ind w:left="220"/>
              <w:spacing w:after="0"/>
              <w:rPr>
                <w:sz w:val="20"/>
                <w:szCs w:val="20"/>
                <w:color w:val="auto"/>
              </w:rPr>
            </w:pPr>
            <w:r>
              <w:rPr>
                <w:rFonts w:ascii="Arial" w:cs="Arial" w:eastAsia="Arial" w:hAnsi="Arial"/>
                <w:sz w:val="14"/>
                <w:szCs w:val="14"/>
                <w:color w:val="auto"/>
              </w:rPr>
              <w:t>Total revenues</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1,095,327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837,869</w:t>
            </w:r>
          </w:p>
        </w:tc>
      </w:tr>
      <w:tr>
        <w:trPr>
          <w:trHeight w:val="153"/>
        </w:trPr>
        <w:tc>
          <w:tcPr>
            <w:tcW w:w="5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4"/>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138,828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221,875</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Communication and data processing</w:t>
            </w: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66,875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59,803</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compensation and payroll taxes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208,355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119,356</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Interest and dividends expense</w:t>
            </w: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177,927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131,328</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 and administrative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22,136</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16,429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15,932</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11,783</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Termination of office leases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1,681</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338</w:t>
            </w:r>
          </w:p>
        </w:tc>
      </w:tr>
      <w:tr>
        <w:trPr>
          <w:trHeight w:val="207"/>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34,845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29,891</w:t>
            </w:r>
          </w:p>
        </w:tc>
      </w:tr>
      <w:tr>
        <w:trPr>
          <w:trHeight w:val="192"/>
        </w:trPr>
        <w:tc>
          <w:tcPr>
            <w:tcW w:w="5560" w:type="dxa"/>
            <w:vAlign w:val="bottom"/>
          </w:tcPr>
          <w:p>
            <w:pPr>
              <w:ind w:left="220"/>
              <w:spacing w:after="0"/>
              <w:rPr>
                <w:sz w:val="20"/>
                <w:szCs w:val="20"/>
                <w:color w:val="auto"/>
              </w:rPr>
            </w:pPr>
            <w:r>
              <w:rPr>
                <w:rFonts w:ascii="Arial" w:cs="Arial" w:eastAsia="Arial" w:hAnsi="Arial"/>
                <w:sz w:val="14"/>
                <w:szCs w:val="14"/>
                <w:color w:val="auto"/>
              </w:rPr>
              <w:t>Total operating expenses</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685,755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614,133</w:t>
            </w:r>
          </w:p>
        </w:tc>
      </w:tr>
      <w:tr>
        <w:trPr>
          <w:trHeight w:val="112"/>
        </w:trPr>
        <w:tc>
          <w:tcPr>
            <w:tcW w:w="556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r>
      <w:tr>
        <w:trPr>
          <w:trHeight w:val="192"/>
        </w:trPr>
        <w:tc>
          <w:tcPr>
            <w:tcW w:w="5560" w:type="dxa"/>
            <w:vAlign w:val="bottom"/>
          </w:tcPr>
          <w:p>
            <w:pPr>
              <w:ind w:left="220"/>
              <w:spacing w:after="0"/>
              <w:rPr>
                <w:sz w:val="20"/>
                <w:szCs w:val="20"/>
                <w:color w:val="auto"/>
              </w:rPr>
            </w:pPr>
            <w:r>
              <w:rPr>
                <w:rFonts w:ascii="Arial" w:cs="Arial" w:eastAsia="Arial" w:hAnsi="Arial"/>
                <w:sz w:val="14"/>
                <w:szCs w:val="14"/>
                <w:color w:val="auto"/>
              </w:rPr>
              <w:t>Income before income taxes and noncontrolling interest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409,572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223,736</w:t>
            </w:r>
          </w:p>
        </w:tc>
      </w:tr>
      <w:tr>
        <w:trPr>
          <w:trHeight w:val="207"/>
        </w:trPr>
        <w:tc>
          <w:tcPr>
            <w:tcW w:w="5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62,976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34,101</w:t>
            </w:r>
          </w:p>
        </w:tc>
      </w:tr>
      <w:tr>
        <w:trPr>
          <w:trHeight w:val="192"/>
        </w:trPr>
        <w:tc>
          <w:tcPr>
            <w:tcW w:w="55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346,596</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189,635</w:t>
            </w:r>
          </w:p>
        </w:tc>
      </w:tr>
      <w:tr>
        <w:trPr>
          <w:trHeight w:val="112"/>
        </w:trPr>
        <w:tc>
          <w:tcPr>
            <w:tcW w:w="5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198"/>
        </w:trPr>
        <w:tc>
          <w:tcPr>
            <w:tcW w:w="556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(164,287)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(89,954)</w:t>
            </w:r>
          </w:p>
        </w:tc>
      </w:tr>
      <w:tr>
        <w:trPr>
          <w:trHeight w:val="112"/>
        </w:trPr>
        <w:tc>
          <w:tcPr>
            <w:tcW w:w="556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182,309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99,681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5"/>
        </w:trPr>
        <w:tc>
          <w:tcPr>
            <w:tcW w:w="5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4"/>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1.08</w:t>
            </w:r>
          </w:p>
        </w:tc>
      </w:tr>
      <w:tr>
        <w:trPr>
          <w:trHeight w:val="153"/>
        </w:trPr>
        <w:tc>
          <w:tcPr>
            <w:tcW w:w="5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4"/>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86,093,727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85,681,015</w:t>
            </w: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86,093,727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86,047,558</w:t>
            </w:r>
          </w:p>
        </w:tc>
      </w:tr>
      <w:tr>
        <w:trPr>
          <w:trHeight w:val="153"/>
        </w:trPr>
        <w:tc>
          <w:tcPr>
            <w:tcW w:w="5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9"/>
        </w:trPr>
        <w:tc>
          <w:tcPr>
            <w:tcW w:w="55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346,596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189,635</w:t>
            </w:r>
          </w:p>
        </w:tc>
      </w:tr>
      <w:tr>
        <w:trPr>
          <w:trHeight w:val="199"/>
        </w:trPr>
        <w:tc>
          <w:tcPr>
            <w:tcW w:w="556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5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 translation adjustment, net of taxes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4,740</w:t>
            </w: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Net change in unrealized cash flow hedges gain (loss), net of taxes</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(2,110)</w:t>
            </w:r>
          </w:p>
        </w:tc>
      </w:tr>
      <w:tr>
        <w:trPr>
          <w:trHeight w:val="20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343,176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192,265</w:t>
            </w:r>
          </w:p>
        </w:tc>
      </w:tr>
      <w:tr>
        <w:trPr>
          <w:trHeight w:val="198"/>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(162,831)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(91,075)</w:t>
            </w:r>
          </w:p>
        </w:tc>
      </w:tr>
      <w:tr>
        <w:trPr>
          <w:trHeight w:val="22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available for common stockholders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180,345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101,190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120"/>
          </w:cols>
          <w:pgMar w:left="144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Virtu Financial, Inc. and Subsidiaries</w:t>
      </w:r>
    </w:p>
    <w:p>
      <w:pPr>
        <w:jc w:val="center"/>
        <w:spacing w:after="0"/>
        <w:rPr>
          <w:sz w:val="20"/>
          <w:szCs w:val="20"/>
          <w:color w:val="auto"/>
        </w:rPr>
      </w:pPr>
      <w:r>
        <w:rPr>
          <w:rFonts w:ascii="Arial" w:cs="Arial" w:eastAsia="Arial" w:hAnsi="Arial"/>
          <w:sz w:val="22"/>
          <w:szCs w:val="22"/>
          <w:b w:val="1"/>
          <w:bCs w:val="1"/>
          <w:color w:val="auto"/>
        </w:rPr>
        <w:t>Reconciliation to Non-GAAP Operating Data (Unaudited)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Condensed Consolidated Statements of Comprehensive Income to arrive at Adjusted Net Trading Income, EBITDA, Adjusted EBITDA, and selected Operating Margins.</w:t>
      </w:r>
    </w:p>
    <w:tbl>
      <w:tblPr>
        <w:tblLayout w:type="fixed"/>
        <w:tblInd w:w="154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gridSpan w:val="4"/>
          </w:tcPr>
          <w:p>
            <w:pPr>
              <w:jc w:val="right"/>
              <w:ind w:right="708"/>
              <w:spacing w:after="0" w:line="14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789,146</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589,983</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186,625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151,307</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127,518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109,053</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(138,828)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(221,875)</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 and dividends expense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(177,927)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(131,328)</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786,534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497,140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346,596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189,635</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34,845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29,891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Debt issue cost related to debt refinancing, prepayment and commitment</w:t>
            </w:r>
          </w:p>
        </w:tc>
        <w:tc>
          <w:tcPr>
            <w:tcW w:w="320" w:type="dxa"/>
            <w:vAlign w:val="bottom"/>
          </w:tcPr>
          <w:p>
            <w:pPr>
              <w:spacing w:after="0"/>
              <w:rPr>
                <w:sz w:val="13"/>
                <w:szCs w:val="13"/>
                <w:color w:val="auto"/>
              </w:rPr>
            </w:pP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85"/>
        </w:trPr>
        <w:tc>
          <w:tcPr>
            <w:tcW w:w="5200" w:type="dxa"/>
            <w:vAlign w:val="bottom"/>
          </w:tcPr>
          <w:p>
            <w:pPr>
              <w:ind w:left="140"/>
              <w:spacing w:after="0"/>
              <w:rPr>
                <w:sz w:val="20"/>
                <w:szCs w:val="20"/>
                <w:color w:val="auto"/>
              </w:rPr>
            </w:pPr>
            <w:r>
              <w:rPr>
                <w:rFonts w:ascii="Arial" w:cs="Arial" w:eastAsia="Arial" w:hAnsi="Arial"/>
                <w:sz w:val="14"/>
                <w:szCs w:val="14"/>
                <w:color w:val="auto"/>
              </w:rPr>
              <w:t>fees</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16,429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15,932</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11,783</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62,976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34,101</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EBITDA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474,285</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283,023</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Severance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32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office leases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9,311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12,501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based compensation</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34,459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21,888</w:t>
            </w: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520,573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319,939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GAAP Net income Margin </w:t>
            </w:r>
            <w:r>
              <w:rPr>
                <w:rFonts w:ascii="Arial" w:cs="Arial" w:eastAsia="Arial" w:hAnsi="Arial"/>
                <w:sz w:val="10"/>
                <w:szCs w:val="10"/>
                <w:color w:val="auto"/>
              </w:rPr>
              <w:t>(1)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 xml:space="preserve">Non-GAAP Net income Margin </w:t>
            </w:r>
            <w:r>
              <w:rPr>
                <w:rFonts w:ascii="Arial" w:cs="Arial" w:eastAsia="Arial" w:hAnsi="Arial"/>
                <w:sz w:val="10"/>
                <w:szCs w:val="10"/>
                <w:color w:val="auto"/>
              </w:rPr>
              <w:t>(2)</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44.1 %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38.1 %</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EBITDA Margin </w:t>
            </w:r>
            <w:r>
              <w:rPr>
                <w:rFonts w:ascii="Arial" w:cs="Arial" w:eastAsia="Arial" w:hAnsi="Arial"/>
                <w:sz w:val="10"/>
                <w:szCs w:val="10"/>
                <w:color w:val="auto"/>
              </w:rPr>
              <w:t>(3)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56.9 %</w:t>
            </w: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Arial" w:cs="Arial" w:eastAsia="Arial" w:hAnsi="Arial"/>
                <w:sz w:val="14"/>
                <w:szCs w:val="14"/>
                <w:color w:val="auto"/>
              </w:rPr>
              <w:t xml:space="preserve">Adjusted EBITDA Margin </w:t>
            </w:r>
            <w:r>
              <w:rPr>
                <w:rFonts w:ascii="Arial" w:cs="Arial" w:eastAsia="Arial" w:hAnsi="Arial"/>
                <w:sz w:val="10"/>
                <w:szCs w:val="10"/>
                <w:color w:val="auto"/>
              </w:rPr>
              <w:t>(4)</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66.2 %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64.4 %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1 Calculated by dividing Net income by Total revenue.</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2 Calculated by dividing Net income by Adjusted Net Trading Income.</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3 Calculated by dividing EBITDA by Adjusted Net Trading Income.</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4 Calculated by dividing Adjusted EBITDA by Adjusted Net Trading Income.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40" w:right="2720"/>
        <w:spacing w:after="0"/>
        <w:rPr>
          <w:sz w:val="20"/>
          <w:szCs w:val="20"/>
          <w:color w:val="auto"/>
        </w:rPr>
      </w:pPr>
      <w:r>
        <w:rPr>
          <w:rFonts w:ascii="Arial" w:cs="Arial" w:eastAsia="Arial" w:hAnsi="Arial"/>
          <w:sz w:val="22"/>
          <w:szCs w:val="22"/>
          <w:b w:val="1"/>
          <w:bCs w:val="1"/>
          <w:color w:val="auto"/>
        </w:rPr>
        <w:t>Virtu Financial, Inc. and Subsidiaries Reconciliation to Non-GAAP Operating Data (Unaudited) (Continued)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Condensed Consolidated Statements of Comprehensive Income to arrive at Normalized Adjusted Net Income before income taxes, Normalized provision for income taxes, Normalized Adjusted Net Income and Normalized Adjusted EPS.</w:t>
      </w:r>
    </w:p>
    <w:tbl>
      <w:tblPr>
        <w:tblLayout w:type="fixed"/>
        <w:tblInd w:w="154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20" w:type="dxa"/>
            <w:vAlign w:val="bottom"/>
            <w:gridSpan w:val="4"/>
          </w:tcPr>
          <w:p>
            <w:pPr>
              <w:jc w:val="right"/>
              <w:ind w:right="628"/>
              <w:spacing w:after="0" w:line="149" w:lineRule="exact"/>
              <w:rPr>
                <w:sz w:val="20"/>
                <w:szCs w:val="20"/>
                <w:color w:val="auto"/>
              </w:rPr>
            </w:pPr>
            <w:r>
              <w:rPr>
                <w:rFonts w:ascii="Arial" w:cs="Arial" w:eastAsia="Arial" w:hAnsi="Arial"/>
                <w:sz w:val="14"/>
                <w:szCs w:val="14"/>
                <w:b w:val="1"/>
                <w:bCs w:val="1"/>
                <w:color w:val="auto"/>
              </w:rPr>
              <w:t>Three Months Ended</w:t>
            </w:r>
          </w:p>
        </w:tc>
      </w:tr>
      <w:tr>
        <w:trPr>
          <w:trHeight w:val="185"/>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95"/>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r>
      <w:tr>
        <w:trPr>
          <w:trHeight w:val="143"/>
        </w:trPr>
        <w:tc>
          <w:tcPr>
            <w:tcW w:w="5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8"/>
        </w:trPr>
        <w:tc>
          <w:tcPr>
            <w:tcW w:w="53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346,596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189,635</w:t>
            </w:r>
          </w:p>
        </w:tc>
      </w:tr>
      <w:tr>
        <w:trPr>
          <w:trHeight w:val="207"/>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62,976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34,101</w:t>
            </w:r>
          </w:p>
        </w:tc>
      </w:tr>
      <w:tr>
        <w:trPr>
          <w:trHeight w:val="192"/>
        </w:trPr>
        <w:tc>
          <w:tcPr>
            <w:tcW w:w="5360" w:type="dxa"/>
            <w:vAlign w:val="bottom"/>
          </w:tcPr>
          <w:p>
            <w:pPr>
              <w:ind w:left="22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409,572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223,736</w:t>
            </w:r>
          </w:p>
        </w:tc>
      </w:tr>
      <w:tr>
        <w:trPr>
          <w:trHeight w:val="207"/>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11,783</w:t>
            </w:r>
          </w:p>
        </w:tc>
      </w:tr>
      <w:tr>
        <w:trPr>
          <w:trHeight w:val="198"/>
        </w:trPr>
        <w:tc>
          <w:tcPr>
            <w:tcW w:w="5360" w:type="dxa"/>
            <w:vAlign w:val="bottom"/>
          </w:tcPr>
          <w:p>
            <w:pPr>
              <w:ind w:left="1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3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1,681</w:t>
            </w:r>
          </w:p>
        </w:tc>
      </w:tr>
      <w:tr>
        <w:trPr>
          <w:trHeight w:val="207"/>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Severance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2,179</w:t>
            </w:r>
          </w:p>
        </w:tc>
      </w:tr>
      <w:tr>
        <w:trPr>
          <w:trHeight w:val="198"/>
        </w:trPr>
        <w:tc>
          <w:tcPr>
            <w:tcW w:w="5360" w:type="dxa"/>
            <w:vAlign w:val="bottom"/>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338</w:t>
            </w:r>
          </w:p>
        </w:tc>
      </w:tr>
      <w:tr>
        <w:trPr>
          <w:trHeight w:val="207"/>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ind w:left="76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r>
      <w:tr>
        <w:trPr>
          <w:trHeight w:val="198"/>
        </w:trPr>
        <w:tc>
          <w:tcPr>
            <w:tcW w:w="5360" w:type="dxa"/>
            <w:vAlign w:val="bottom"/>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9,311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12,501</w:t>
            </w:r>
          </w:p>
        </w:tc>
      </w:tr>
      <w:tr>
        <w:trPr>
          <w:trHeight w:val="207"/>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based compensation</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34,459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21,888</w:t>
            </w:r>
          </w:p>
        </w:tc>
      </w:tr>
      <w:tr>
        <w:trPr>
          <w:trHeight w:val="192"/>
        </w:trPr>
        <w:tc>
          <w:tcPr>
            <w:tcW w:w="5360" w:type="dxa"/>
            <w:vAlign w:val="bottom"/>
          </w:tcPr>
          <w:p>
            <w:pPr>
              <w:ind w:left="220"/>
              <w:spacing w:after="0"/>
              <w:rPr>
                <w:sz w:val="20"/>
                <w:szCs w:val="20"/>
                <w:color w:val="auto"/>
              </w:rPr>
            </w:pPr>
            <w:r>
              <w:rPr>
                <w:rFonts w:ascii="Arial" w:cs="Arial" w:eastAsia="Arial" w:hAnsi="Arial"/>
                <w:sz w:val="14"/>
                <w:szCs w:val="14"/>
                <w:color w:val="auto"/>
              </w:rPr>
              <w:t>Normalized Adjusted Net Income before income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469,299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274,116</w:t>
            </w:r>
          </w:p>
        </w:tc>
      </w:tr>
      <w:tr>
        <w:trPr>
          <w:trHeight w:val="203"/>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Normalized provision for income taxes </w:t>
            </w:r>
            <w:r>
              <w:rPr>
                <w:rFonts w:ascii="Arial" w:cs="Arial" w:eastAsia="Arial" w:hAnsi="Arial"/>
                <w:sz w:val="10"/>
                <w:szCs w:val="10"/>
                <w:color w:val="auto"/>
              </w:rPr>
              <w:t>(1)</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112,632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65,787</w:t>
            </w:r>
          </w:p>
        </w:tc>
      </w:tr>
      <w:tr>
        <w:trPr>
          <w:trHeight w:val="20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Normalized Adjusted 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356,667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208,329</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5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 xml:space="preserve">Weighted Average Adjusted shares outstanding </w:t>
            </w:r>
            <w:r>
              <w:rPr>
                <w:rFonts w:ascii="Arial" w:cs="Arial" w:eastAsia="Arial" w:hAnsi="Arial"/>
                <w:sz w:val="10"/>
                <w:szCs w:val="10"/>
                <w:color w:val="auto"/>
              </w:rPr>
              <w:t>(2)</w:t>
            </w:r>
          </w:p>
        </w:tc>
        <w:tc>
          <w:tcPr>
            <w:tcW w:w="3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159,539,254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160,301,753</w:t>
            </w:r>
          </w:p>
        </w:tc>
      </w:tr>
      <w:tr>
        <w:trPr>
          <w:trHeight w:val="166"/>
        </w:trPr>
        <w:tc>
          <w:tcPr>
            <w:tcW w:w="5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1"/>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Normalized Adjusted EPS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1.30</w:t>
            </w:r>
          </w:p>
        </w:tc>
      </w:tr>
    </w:tbl>
    <w:p>
      <w:pPr>
        <w:spacing w:after="0" w:line="160" w:lineRule="exact"/>
        <w:rPr>
          <w:sz w:val="20"/>
          <w:szCs w:val="20"/>
          <w:color w:val="auto"/>
        </w:rPr>
      </w:pPr>
    </w:p>
    <w:p>
      <w:pPr>
        <w:ind w:left="1740" w:hanging="182"/>
        <w:spacing w:after="0"/>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Reflects U.S. federal, state, and local income tax rate applicable to corporations of approximately 24% for all periods presented.</w:t>
      </w:r>
    </w:p>
    <w:p>
      <w:pPr>
        <w:spacing w:after="0" w:line="26" w:lineRule="exact"/>
        <w:rPr>
          <w:rFonts w:ascii="Arial" w:cs="Arial" w:eastAsia="Arial" w:hAnsi="Arial"/>
          <w:sz w:val="13"/>
          <w:szCs w:val="13"/>
          <w:color w:val="auto"/>
        </w:rPr>
      </w:pPr>
    </w:p>
    <w:p>
      <w:pPr>
        <w:jc w:val="both"/>
        <w:ind w:left="1560" w:right="1560" w:hanging="2"/>
        <w:spacing w:after="0" w:line="229" w:lineRule="auto"/>
        <w:tabs>
          <w:tab w:leader="none" w:pos="1756" w:val="left"/>
        </w:tabs>
        <w:numPr>
          <w:ilvl w:val="0"/>
          <w:numId w:val="7"/>
        </w:numPr>
        <w:rPr>
          <w:rFonts w:ascii="Arial" w:cs="Arial" w:eastAsia="Arial" w:hAnsi="Arial"/>
          <w:sz w:val="12"/>
          <w:szCs w:val="12"/>
          <w:color w:val="auto"/>
        </w:rPr>
      </w:pPr>
      <w:r>
        <w:rPr>
          <w:rFonts w:ascii="Arial" w:cs="Arial" w:eastAsia="Arial" w:hAnsi="Arial"/>
          <w:sz w:val="12"/>
          <w:szCs w:val="12"/>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Second Amended and Restated 2015 Management Incentive Plan during the three months ended March 31, 2026 and 2025.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19685</wp:posOffset>
            </wp:positionV>
            <wp:extent cx="175704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Virtu Financial, Inc. and Subsidiaries</w:t>
      </w:r>
    </w:p>
    <w:p>
      <w:pPr>
        <w:jc w:val="center"/>
        <w:ind w:right="860"/>
        <w:spacing w:after="0"/>
        <w:rPr>
          <w:sz w:val="20"/>
          <w:szCs w:val="20"/>
          <w:color w:val="auto"/>
        </w:rPr>
      </w:pPr>
      <w:r>
        <w:rPr>
          <w:rFonts w:ascii="Arial" w:cs="Arial" w:eastAsia="Arial" w:hAnsi="Arial"/>
          <w:sz w:val="22"/>
          <w:szCs w:val="22"/>
          <w:b w:val="1"/>
          <w:bCs w:val="1"/>
          <w:color w:val="auto"/>
        </w:rPr>
        <w:t>Condensed Consolidated Statements of Financial Condition (Unaudited)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973,225</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1,061,697</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securities segregated under regulations and other</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64,744</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Securities borrowed</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3,055,305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3,191,138</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1,644,231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988,929</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3,811,176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1,896,405</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from customers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161,561</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Trading assets, at fair value</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13,003,187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10,551,557</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96,378</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201,273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213,707</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1,148,926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1,148,926</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Intangibles (net of accumulated amortization)</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143,148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154,931</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92,422</w:t>
            </w:r>
          </w:p>
        </w:tc>
        <w:tc>
          <w:tcPr>
            <w:tcW w:w="0" w:type="dxa"/>
            <w:vAlign w:val="bottom"/>
          </w:tcPr>
          <w:p>
            <w:pPr>
              <w:spacing w:after="0"/>
              <w:rPr>
                <w:sz w:val="1"/>
                <w:szCs w:val="1"/>
                <w:color w:val="auto"/>
              </w:rPr>
            </w:pPr>
          </w:p>
        </w:tc>
      </w:tr>
      <w:tr>
        <w:trPr>
          <w:trHeight w:val="198"/>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590,146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528,341</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25,115,260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20,150,736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borrowings, net</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12,382</w:t>
            </w:r>
          </w:p>
        </w:tc>
        <w:tc>
          <w:tcPr>
            <w:tcW w:w="0" w:type="dxa"/>
            <w:vAlign w:val="bottom"/>
          </w:tcPr>
          <w:p>
            <w:pPr>
              <w:spacing w:after="0"/>
              <w:rPr>
                <w:sz w:val="1"/>
                <w:szCs w:val="1"/>
                <w:color w:val="auto"/>
              </w:rPr>
            </w:pPr>
          </w:p>
        </w:tc>
      </w:tr>
      <w:tr>
        <w:trPr>
          <w:trHeight w:val="199"/>
        </w:trPr>
        <w:tc>
          <w:tcPr>
            <w:tcW w:w="6120" w:type="dxa"/>
            <w:vAlign w:val="bottom"/>
          </w:tcPr>
          <w:p>
            <w:pPr>
              <w:ind w:left="140"/>
              <w:spacing w:after="0"/>
              <w:rPr>
                <w:sz w:val="20"/>
                <w:szCs w:val="20"/>
                <w:color w:val="auto"/>
              </w:rPr>
            </w:pPr>
            <w:r>
              <w:rPr>
                <w:rFonts w:ascii="Arial" w:cs="Arial" w:eastAsia="Arial" w:hAnsi="Arial"/>
                <w:sz w:val="14"/>
                <w:szCs w:val="14"/>
                <w:color w:val="auto"/>
              </w:rPr>
              <w:t>Securities loaned</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3,723,360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3,477,831</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2,214,540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1,405,639</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Payables to broker-dealers and clearing organizations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1,401,039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998,276</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to customers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43,103</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Trading liabilities, at fair value</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12,347,691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9,105,263</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receivable agreement obligations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181,855</w:t>
            </w:r>
          </w:p>
        </w:tc>
        <w:tc>
          <w:tcPr>
            <w:tcW w:w="0" w:type="dxa"/>
            <w:vAlign w:val="bottom"/>
          </w:tcPr>
          <w:p>
            <w:pPr>
              <w:spacing w:after="0"/>
              <w:rPr>
                <w:sz w:val="1"/>
                <w:szCs w:val="1"/>
                <w:color w:val="auto"/>
              </w:rPr>
            </w:pPr>
          </w:p>
        </w:tc>
      </w:tr>
      <w:tr>
        <w:trPr>
          <w:trHeight w:val="198"/>
        </w:trPr>
        <w:tc>
          <w:tcPr>
            <w:tcW w:w="6120" w:type="dxa"/>
            <w:vAlign w:val="bottom"/>
          </w:tcPr>
          <w:p>
            <w:pPr>
              <w:ind w:left="140"/>
              <w:spacing w:after="0"/>
              <w:rPr>
                <w:sz w:val="20"/>
                <w:szCs w:val="20"/>
                <w:color w:val="auto"/>
              </w:rPr>
            </w:pPr>
            <w:r>
              <w:rPr>
                <w:rFonts w:ascii="Arial" w:cs="Arial" w:eastAsia="Arial" w:hAnsi="Arial"/>
                <w:sz w:val="14"/>
                <w:szCs w:val="14"/>
                <w:color w:val="auto"/>
              </w:rPr>
              <w:t>Accounts payable and accrued expenses and other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568,457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652,352</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261,169</w:t>
            </w:r>
          </w:p>
        </w:tc>
        <w:tc>
          <w:tcPr>
            <w:tcW w:w="0" w:type="dxa"/>
            <w:vAlign w:val="bottom"/>
          </w:tcPr>
          <w:p>
            <w:pPr>
              <w:spacing w:after="0"/>
              <w:rPr>
                <w:sz w:val="1"/>
                <w:szCs w:val="1"/>
                <w:color w:val="auto"/>
              </w:rPr>
            </w:pPr>
          </w:p>
        </w:tc>
      </w:tr>
      <w:tr>
        <w:trPr>
          <w:trHeight w:val="198"/>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Long-term borrowings, net</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2,025,112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2,039,463</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22,918,726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18,177,333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equity</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2,196,534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1,973,403</w:t>
            </w:r>
          </w:p>
        </w:tc>
        <w:tc>
          <w:tcPr>
            <w:tcW w:w="0" w:type="dxa"/>
            <w:vAlign w:val="bottom"/>
          </w:tcPr>
          <w:p>
            <w:pPr>
              <w:spacing w:after="0"/>
              <w:rPr>
                <w:sz w:val="1"/>
                <w:szCs w:val="1"/>
                <w:color w:val="auto"/>
              </w:rPr>
            </w:pPr>
          </w:p>
        </w:tc>
      </w:tr>
      <w:tr>
        <w:trPr>
          <w:trHeight w:val="162"/>
        </w:trPr>
        <w:tc>
          <w:tcPr>
            <w:tcW w:w="6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25,115,260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20,150,736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6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rPr>
              <w:t>As of March 31, 2026</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Ownership of Virtu Financial LLC Interests:</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Interests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92"/>
        </w:trPr>
        <w:tc>
          <w:tcPr>
            <w:tcW w:w="6120" w:type="dxa"/>
            <w:vAlign w:val="bottom"/>
          </w:tcPr>
          <w:p>
            <w:pPr>
              <w:ind w:left="140"/>
              <w:spacing w:after="0"/>
              <w:rPr>
                <w:sz w:val="20"/>
                <w:szCs w:val="20"/>
                <w:color w:val="auto"/>
              </w:rPr>
            </w:pPr>
            <w:r>
              <w:rPr>
                <w:rFonts w:ascii="Arial" w:cs="Arial" w:eastAsia="Arial" w:hAnsi="Arial"/>
                <w:sz w:val="14"/>
                <w:szCs w:val="14"/>
                <w:color w:val="auto"/>
              </w:rPr>
              <w:t>Virtu Financial, Inc. - Class A Common Stock and Restricted Stock Units</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91,826,063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28"/>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 (Virtu Financial LLC)</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68,061,925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00"/>
        </w:trPr>
        <w:tc>
          <w:tcPr>
            <w:tcW w:w="6120" w:type="dxa"/>
            <w:vAlign w:val="bottom"/>
          </w:tcPr>
          <w:p>
            <w:pPr>
              <w:ind w:left="220"/>
              <w:spacing w:after="0"/>
              <w:rPr>
                <w:sz w:val="20"/>
                <w:szCs w:val="20"/>
                <w:color w:val="auto"/>
              </w:rPr>
            </w:pPr>
            <w:r>
              <w:rPr>
                <w:rFonts w:ascii="Arial" w:cs="Arial" w:eastAsia="Arial" w:hAnsi="Arial"/>
                <w:sz w:val="14"/>
                <w:szCs w:val="14"/>
                <w:color w:val="auto"/>
              </w:rPr>
              <w:t>Total Virtu Financial LLC Interests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159,887,988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380"/>
          </w:cols>
          <w:pgMar w:left="118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57045"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70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Virtu Financial, Inc.</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Virtu is a leading provider of financial services and products that leverages cutting-edge technology to deliver liquidity to the global markets and innovative, transparent trading solutions to its clients. Leveraging its global market making expertise and infrastructure, Virtu provides a robust product suite including offerings in execution, liquidity sourcing, analytics and broker-neutral, multi-dealer platforms in workflow technology. Virtu’s product offerings allow clients to trade on hundreds of venues across 50+ countries and in multiple asset classes, including global equities, ETFs, foreign exchange, futures, fixed income, cryptocurrency and myriad other commodities. In addition, Virtu’s integrated, multi-asset analytics platform provides a range of pre-, intra-, and post-trade services, data products and compliance tools that clients rely upon to invest, trade and manage risk across global markets.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may contain “forward-looking statements” made pursuant to the safe harbor provisions of the Private Securities Litigation Reform Act of 1995. Statements regarding Virtu Financial, Inc.’s (“Virtu’s”, the “Company’s” or “our”)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is subject to risks and uncertainties, some or all of which are not predictable or within Virtu’s control, that could cause actual performance or results to differ materially from those expressed in the statements. Those risks and uncertainties include, without limitation: fluctuations in trading volume and volatilities in the markets in which we operate; the ability of our trading counterparties, clients, and various clearing houses to perform their obligations to us; the performance and reliability of our customized trading platform; the risk of material trading losses from our market making activities; swings in valuations in securities or other instruments in which we hold positions; increasing competition and consolidation in our industry; the risk that cash flow from our operations and other available sources of liquidity will not be sufficient to fund our various ongoing obligations, including operating expenses, short-term funding requirements, margin requirements, capital expenditures, debt service and dividend payments; regulatory and legal uncertainties and other potential changes associated with our industry, particularly in light of increased attention from media, regulators and lawmakers to market structure and related issues including but not limited to the retail trading environment, wholesale market making and off exchange trading more generally and payment for order flow arrangements; potential adverse results from legal or regulatory proceedings; our ability to remain technologically competitive and to ensure that the technology we utilize is not vulnerable to security risks, hacking and cyber-attacks; risks associated with third party software and technology infrastructure. For a discussion of the risks and uncertainties which could cause actual results to differ from those contained in forward-looking statements, see Virtu’s Securities and Exchange Commission filings, including but not limited to Virtu’s Annual Report on Form 10-K, Quarterly Reports on Form 10-Q and Current Reports on Form 8-K filed with the SEC.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Investor Relations</w:t>
      </w:r>
    </w:p>
    <w:p>
      <w:pPr>
        <w:ind w:left="660"/>
        <w:spacing w:after="0" w:line="203" w:lineRule="auto"/>
        <w:rPr>
          <w:sz w:val="20"/>
          <w:szCs w:val="20"/>
          <w:color w:val="auto"/>
        </w:rPr>
      </w:pPr>
      <w:r>
        <w:rPr>
          <w:rFonts w:ascii="Arial" w:cs="Arial" w:eastAsia="Arial" w:hAnsi="Arial"/>
          <w:sz w:val="18"/>
          <w:szCs w:val="18"/>
          <w:color w:val="auto"/>
        </w:rPr>
        <w:t>Matthew Sandberg</w:t>
      </w:r>
    </w:p>
    <w:p>
      <w:pPr>
        <w:ind w:left="660"/>
        <w:spacing w:after="0"/>
        <w:rPr>
          <w:sz w:val="20"/>
          <w:szCs w:val="20"/>
          <w:color w:val="auto"/>
        </w:rPr>
      </w:pPr>
      <w:r>
        <w:rPr>
          <w:rFonts w:ascii="Arial" w:cs="Arial" w:eastAsia="Arial" w:hAnsi="Arial"/>
          <w:sz w:val="18"/>
          <w:szCs w:val="18"/>
          <w:u w:val="single" w:color="auto"/>
          <w:color w:val="auto"/>
        </w:rPr>
        <w:t>investor_relations@virtu.com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2026-04-29T05:56:20Z</dcterms:created>
  <dcterms:modified xsi:type="dcterms:W3CDTF">2026-04-29T05:56:20Z</dcterms:modified>
</cp:coreProperties>
</file>