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the Securities Exchange Act of 1934 (Amendment No. 1)</w:t>
      </w:r>
    </w:p>
    <w:p>
      <w:pPr>
        <w:spacing w:after="0" w:line="58"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45720</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3"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53975</wp:posOffset>
            </wp:positionV>
            <wp:extent cx="5829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8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1120" w:hanging="358"/>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4419600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Explanatory Note</w:t>
      </w:r>
    </w:p>
    <w:p>
      <w:pPr>
        <w:spacing w:after="0" w:line="146" w:lineRule="exact"/>
        <w:rPr>
          <w:sz w:val="20"/>
          <w:szCs w:val="20"/>
          <w:color w:val="auto"/>
        </w:rPr>
      </w:pPr>
    </w:p>
    <w:p>
      <w:pPr>
        <w:ind w:left="760" w:right="119"/>
        <w:spacing w:after="0" w:line="256" w:lineRule="auto"/>
        <w:rPr>
          <w:sz w:val="20"/>
          <w:szCs w:val="20"/>
          <w:color w:val="auto"/>
        </w:rPr>
      </w:pPr>
      <w:r>
        <w:rPr>
          <w:rFonts w:ascii="Arial" w:cs="Arial" w:eastAsia="Arial" w:hAnsi="Arial"/>
          <w:sz w:val="18"/>
          <w:szCs w:val="18"/>
          <w:color w:val="auto"/>
        </w:rPr>
        <w:t>This Amendment No. 1 amends and restates in its entirety the Definitive Proxy Statement that was filed by Virtu Financial, Inc. (the “Company”) with the U.S. Securities and Exchange Commission on April 23, 2025 (the “Original Proxy Statement”) in connection with the Company’s 2025 annual meeting of stockholders to be held on June 2, 2025 (the “Annual Meeting”). This Amendment No. 1 is being filed to correct the record date for the Annual Meeting (the “Record Date”) and the number of shares outstanding and eligible to vote on the Record Date, which were inadvertently incorrectly specified on page 75 of the Proxy Statement and the notice accompanying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6990080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158115</wp:posOffset>
            </wp:positionV>
            <wp:extent cx="188595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2640"/>
        <w:spacing w:after="0" w:line="256" w:lineRule="auto"/>
        <w:rPr>
          <w:sz w:val="20"/>
          <w:szCs w:val="20"/>
          <w:color w:val="auto"/>
        </w:rPr>
      </w:pPr>
      <w:r>
        <w:rPr>
          <w:rFonts w:ascii="Arial" w:cs="Arial" w:eastAsia="Arial" w:hAnsi="Arial"/>
          <w:sz w:val="54"/>
          <w:szCs w:val="54"/>
          <w:color w:val="002453"/>
        </w:rPr>
        <w:t>Notice of Annual Meeting of Stockholders</w:t>
      </w:r>
    </w:p>
    <w:p>
      <w:pPr>
        <w:spacing w:after="0" w:line="9" w:lineRule="exact"/>
        <w:rPr>
          <w:sz w:val="20"/>
          <w:szCs w:val="20"/>
          <w:color w:val="auto"/>
        </w:rPr>
      </w:pPr>
    </w:p>
    <w:p>
      <w:pPr>
        <w:ind w:left="760"/>
        <w:spacing w:after="0" w:line="245" w:lineRule="auto"/>
        <w:rPr>
          <w:sz w:val="20"/>
          <w:szCs w:val="20"/>
          <w:color w:val="auto"/>
        </w:rPr>
      </w:pPr>
      <w:r>
        <w:rPr>
          <w:rFonts w:ascii="Arial" w:cs="Arial" w:eastAsia="Arial" w:hAnsi="Arial"/>
          <w:sz w:val="18"/>
          <w:szCs w:val="18"/>
          <w:color w:val="auto"/>
        </w:rPr>
        <w:t>Notice is hereby given that the 2025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Virtu Financial,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Virtu</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will be held on Monday, June 2, 2025, at 9:00 a.m. (Eastern Time). The Annual Meeting will be held in a virtual meeting format only. You can attend the Annual Meeting online, vote your shares electronically and submit your questions during the Annual Meeting, by visiting www.virtualshareholdermeeting.com/VIRT2025. You will need to have your 16-Digit Control Number included on your Notice or your proxy card (if you received a printed copy of the proxy materials) to join the Annual Meeting.</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holding the meeting for the following purposes:</w:t>
      </w:r>
    </w:p>
    <w:p>
      <w:pPr>
        <w:spacing w:after="0" w:line="117" w:lineRule="exact"/>
        <w:rPr>
          <w:sz w:val="20"/>
          <w:szCs w:val="20"/>
          <w:color w:val="auto"/>
        </w:rPr>
      </w:pPr>
    </w:p>
    <w:p>
      <w:pPr>
        <w:ind w:left="1200" w:right="140" w:hanging="222"/>
        <w:spacing w:after="0" w:line="242"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elect three directors to our board of directors, each to serve as a Class I director for a term of three years expiring at the annual meeting of stockholders to be held in 2028 and until such director’s successor has been duly elected and qualified;</w:t>
      </w:r>
    </w:p>
    <w:p>
      <w:pPr>
        <w:spacing w:after="0" w:line="83" w:lineRule="exact"/>
        <w:rPr>
          <w:rFonts w:ascii="Arial" w:cs="Arial" w:eastAsia="Arial" w:hAnsi="Arial"/>
          <w:sz w:val="22"/>
          <w:szCs w:val="22"/>
          <w:b w:val="1"/>
          <w:bCs w:val="1"/>
          <w:color w:val="00C08A"/>
        </w:rPr>
      </w:pPr>
    </w:p>
    <w:p>
      <w:pPr>
        <w:ind w:left="1200" w:right="66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99" w:lineRule="exact"/>
        <w:rPr>
          <w:rFonts w:ascii="Arial" w:cs="Arial" w:eastAsia="Arial" w:hAnsi="Arial"/>
          <w:sz w:val="22"/>
          <w:szCs w:val="22"/>
          <w:b w:val="1"/>
          <w:bCs w:val="1"/>
          <w:color w:val="00C08A"/>
        </w:rPr>
      </w:pPr>
    </w:p>
    <w:p>
      <w:pPr>
        <w:ind w:left="1200" w:right="46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on an advisory basis, the frequency (every one, two or three years) of future advisory votes to approve the compensation of our named executive officers;</w:t>
      </w:r>
    </w:p>
    <w:p>
      <w:pPr>
        <w:spacing w:after="0" w:line="85" w:lineRule="exact"/>
        <w:rPr>
          <w:rFonts w:ascii="Arial" w:cs="Arial" w:eastAsia="Arial" w:hAnsi="Arial"/>
          <w:sz w:val="22"/>
          <w:szCs w:val="22"/>
          <w:b w:val="1"/>
          <w:bCs w:val="1"/>
          <w:color w:val="00C08A"/>
        </w:rPr>
      </w:pPr>
    </w:p>
    <w:p>
      <w:pPr>
        <w:ind w:left="1200" w:right="4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ratify the appointment of PricewaterhouseCoopers LLP as our independent registered public accounting firm for the fiscal year ending December 31, 2025;</w:t>
      </w:r>
    </w:p>
    <w:p>
      <w:pPr>
        <w:spacing w:after="0" w:line="85" w:lineRule="exact"/>
        <w:rPr>
          <w:rFonts w:ascii="Arial" w:cs="Arial" w:eastAsia="Arial" w:hAnsi="Arial"/>
          <w:sz w:val="22"/>
          <w:szCs w:val="22"/>
          <w:b w:val="1"/>
          <w:bCs w:val="1"/>
          <w:color w:val="00C08A"/>
        </w:rPr>
      </w:pPr>
    </w:p>
    <w:p>
      <w:pPr>
        <w:ind w:left="1200" w:right="140" w:hanging="222"/>
        <w:spacing w:after="0" w:line="244"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approve the Virtu Financial, Inc. Second Amended and Restated 2015 Management Incentive Plan (the “Second Amended Plan”) to increase the number of shares authorized for issuance thereunder, extend the expiration date thereof and remove certain provisions related to Section 162(m) of the Code that are no longer applicable; and</w:t>
      </w:r>
    </w:p>
    <w:p>
      <w:pPr>
        <w:spacing w:after="0" w:line="97" w:lineRule="exact"/>
        <w:rPr>
          <w:rFonts w:ascii="Arial" w:cs="Arial" w:eastAsia="Arial" w:hAnsi="Arial"/>
          <w:sz w:val="22"/>
          <w:szCs w:val="22"/>
          <w:b w:val="1"/>
          <w:bCs w:val="1"/>
          <w:color w:val="00C08A"/>
        </w:rPr>
      </w:pPr>
    </w:p>
    <w:p>
      <w:pPr>
        <w:ind w:left="1200" w:right="640" w:hanging="222"/>
        <w:spacing w:after="0" w:line="237" w:lineRule="auto"/>
        <w:tabs>
          <w:tab w:leader="none" w:pos="1200" w:val="left"/>
        </w:tabs>
        <w:numPr>
          <w:ilvl w:val="0"/>
          <w:numId w:val="4"/>
        </w:numPr>
        <w:rPr>
          <w:rFonts w:ascii="Arial" w:cs="Arial" w:eastAsia="Arial" w:hAnsi="Arial"/>
          <w:sz w:val="22"/>
          <w:szCs w:val="22"/>
          <w:b w:val="1"/>
          <w:bCs w:val="1"/>
          <w:color w:val="00C08A"/>
        </w:rPr>
      </w:pPr>
      <w:r>
        <w:rPr>
          <w:rFonts w:ascii="Arial" w:cs="Arial" w:eastAsia="Arial" w:hAnsi="Arial"/>
          <w:sz w:val="18"/>
          <w:szCs w:val="18"/>
          <w:color w:val="auto"/>
        </w:rPr>
        <w:t>To transact any other business as may properly come before the Annual Meeting or any adjournment or postponement thereof.</w:t>
      </w:r>
    </w:p>
    <w:p>
      <w:pPr>
        <w:spacing w:after="0" w:line="86"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Only stockholders of record as of the close of business on April 9, 2025 (the “</w:t>
      </w:r>
      <w:r>
        <w:rPr>
          <w:rFonts w:ascii="Arial" w:cs="Arial" w:eastAsia="Arial" w:hAnsi="Arial"/>
          <w:sz w:val="18"/>
          <w:szCs w:val="18"/>
          <w:b w:val="1"/>
          <w:bCs w:val="1"/>
          <w:color w:val="auto"/>
        </w:rPr>
        <w:t>Record Date</w:t>
      </w:r>
      <w:r>
        <w:rPr>
          <w:rFonts w:ascii="Arial" w:cs="Arial" w:eastAsia="Arial" w:hAnsi="Arial"/>
          <w:sz w:val="18"/>
          <w:szCs w:val="18"/>
          <w:color w:val="auto"/>
        </w:rPr>
        <w:t>”) will be entitled to attend or vote at the Annual Meeting or any adjournment or postponement thereof.</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make it easy to vote, Internet and telephone voting are available. The instructions for voting are on the proxy card.</w:t>
      </w:r>
    </w:p>
    <w:p>
      <w:pPr>
        <w:spacing w:after="0" w:line="129"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If you hold your shares through a bank, broker or other holder of record, please follow the voting instructions you received from the holder of record.</w:t>
      </w:r>
    </w:p>
    <w:p>
      <w:pPr>
        <w:spacing w:after="0" w:line="46" w:lineRule="exact"/>
        <w:rPr>
          <w:sz w:val="20"/>
          <w:szCs w:val="20"/>
          <w:color w:val="auto"/>
        </w:rPr>
      </w:pPr>
    </w:p>
    <w:p>
      <w:pPr>
        <w:ind w:left="760" w:right="160"/>
        <w:spacing w:after="0" w:line="275"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hope you will vote your shares as soon as possible. Please mark, sign, date and return the accompanying proxy card or voting instruction form in the postage paid envelope or instruct us by telephone or via the Internet as to how you would like your shares voted. Instructions are included on the proxy card and voting instruction form.</w:t>
      </w:r>
    </w:p>
    <w:p>
      <w:pPr>
        <w:spacing w:after="0" w:line="4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43180</wp:posOffset>
            </wp:positionV>
            <wp:extent cx="2914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8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Michael T. Viola</w:t>
      </w:r>
    </w:p>
    <w:p>
      <w:pPr>
        <w:spacing w:after="0" w:line="14"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Chairman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24, 2025</w:t>
      </w:r>
    </w:p>
    <w:p>
      <w:pPr>
        <w:spacing w:after="0" w:line="302" w:lineRule="exact"/>
        <w:rPr>
          <w:sz w:val="20"/>
          <w:szCs w:val="20"/>
          <w:color w:val="auto"/>
        </w:rPr>
      </w:pPr>
    </w:p>
    <w:p>
      <w:pPr>
        <w:jc w:val="both"/>
        <w:ind w:left="760" w:right="100"/>
        <w:spacing w:after="0" w:line="26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2, 2025: Virtu’s Proxy Statement and Annual Report on Form 10-K for the fiscal year ended December 31, 2024 are also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78105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31"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b w:val="1"/>
          <w:bCs w:val="1"/>
          <w:color w:val="auto"/>
        </w:rPr>
        <w:t>CAUTIONARY NOTICE REGARDING FORWARD-LOOKING STATEMENTS: This Proxy Statement may contain “forward-looking statements” made pursuant to the safe harbor provisions of the Private Securities Litigation Reform Act of 1995, which may relate to the Company’s future prospects or performance, governance, risk management practices, and executive compensation practices, among other topics. Statements regarding Virtu’s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are subject to risks and uncertainties, some or all of which are not predictable or within Virtu’s control, that could cause actual performance or results to differ materially from those expressed in the statements. For a discussion of the risks and uncertainties which could cause actual results to differ from those contained in forward-looking statements, please see Virtu’s Securities and Exchange Commission (“SEC”) filings, including but not limited to the information contained under the heading “Risk Factors” in Virtu’s Annual Report on Form 10-K, Virtu’s Quarterly Reports on Form 10-Q and Virtu’s Current Reports on Form 8-K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5793740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Table of Contents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8560" w:type="dxa"/>
            <w:vAlign w:val="bottom"/>
            <w:tcBorders>
              <w:top w:val="single" w:sz="8" w:color="00C08A"/>
            </w:tcBorders>
            <w:gridSpan w:val="12"/>
            <w:shd w:val="clear" w:color="auto" w:fill="CCEEFF"/>
          </w:tcPr>
          <w:p>
            <w:pPr>
              <w:spacing w:after="0"/>
              <w:rPr>
                <w:sz w:val="20"/>
                <w:szCs w:val="20"/>
                <w:color w:val="auto"/>
              </w:rPr>
            </w:pPr>
            <w:r>
              <w:rPr>
                <w:rFonts w:ascii="Arial" w:cs="Arial" w:eastAsia="Arial" w:hAnsi="Arial"/>
                <w:sz w:val="18"/>
                <w:szCs w:val="18"/>
                <w:color w:val="0000EE"/>
              </w:rPr>
              <w:t>PROXY STATEMENT SUMMARY</w:t>
            </w:r>
          </w:p>
        </w:tc>
        <w:tc>
          <w:tcPr>
            <w:tcW w:w="360" w:type="dxa"/>
            <w:vAlign w:val="bottom"/>
            <w:tcBorders>
              <w:top w:val="single" w:sz="8" w:color="00C08A"/>
            </w:tcBorders>
            <w:shd w:val="clear" w:color="auto" w:fill="CCEEFF"/>
          </w:tcPr>
          <w:p>
            <w:pPr>
              <w:spacing w:after="0"/>
              <w:rPr>
                <w:sz w:val="21"/>
                <w:szCs w:val="21"/>
                <w:color w:val="auto"/>
              </w:rPr>
            </w:pPr>
          </w:p>
        </w:tc>
        <w:tc>
          <w:tcPr>
            <w:tcW w:w="6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PROPOSAL 1: ELECTION OF DIRECTORS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CORPORATE GOVERNANCE</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PROPOSAL 2: ADVISORY VOTE TO APPROVE COMPENSATION OF NAMED EXECUTIVE OFFICERS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22</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PROPOSAL 3: ADVISORY VOTE ON THE FREQUENCY OF FUTURE ADVISORY VOTES ON</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20" w:type="dxa"/>
            <w:vAlign w:val="bottom"/>
            <w:tcBorders>
              <w:top w:val="single" w:sz="8" w:color="0000EE"/>
              <w:bottom w:val="single" w:sz="8" w:color="0000EE"/>
            </w:tcBorders>
            <w:gridSpan w:val="7"/>
            <w:shd w:val="clear" w:color="auto" w:fill="CCEEFF"/>
          </w:tcPr>
          <w:p>
            <w:pPr>
              <w:spacing w:after="0" w:line="182" w:lineRule="exact"/>
              <w:rPr>
                <w:sz w:val="20"/>
                <w:szCs w:val="20"/>
                <w:color w:val="auto"/>
              </w:rPr>
            </w:pPr>
            <w:r>
              <w:rPr>
                <w:rFonts w:ascii="Arial" w:cs="Arial" w:eastAsia="Arial" w:hAnsi="Arial"/>
                <w:sz w:val="18"/>
                <w:szCs w:val="18"/>
                <w:color w:val="0000EE"/>
                <w:w w:val="97"/>
              </w:rPr>
              <w:t>COMPENSATION OF NAMED EXECUTIVE OFFICERS</w:t>
            </w:r>
          </w:p>
        </w:tc>
        <w:tc>
          <w:tcPr>
            <w:tcW w:w="2960" w:type="dxa"/>
            <w:vAlign w:val="bottom"/>
            <w:tcBorders>
              <w:top w:val="single" w:sz="8" w:color="0000EE"/>
              <w:bottom w:val="single" w:sz="8" w:color="0000EE"/>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CCEEFF"/>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23</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gridSpan w:val="2"/>
            <w:shd w:val="clear" w:color="auto" w:fill="00C08A"/>
          </w:tcPr>
          <w:p>
            <w:pPr>
              <w:spacing w:after="0" w:line="20" w:lineRule="exact"/>
              <w:rPr>
                <w:sz w:val="1"/>
                <w:szCs w:val="1"/>
                <w:color w:val="auto"/>
              </w:rPr>
            </w:pPr>
          </w:p>
        </w:tc>
        <w:tc>
          <w:tcPr>
            <w:tcW w:w="860" w:type="dxa"/>
            <w:vAlign w:val="bottom"/>
            <w:tcBorders>
              <w:top w:val="single" w:sz="8" w:color="CCEEFF"/>
            </w:tcBorders>
            <w:shd w:val="clear" w:color="auto" w:fill="00C08A"/>
          </w:tcPr>
          <w:p>
            <w:pPr>
              <w:spacing w:after="0" w:line="20" w:lineRule="exact"/>
              <w:rPr>
                <w:sz w:val="1"/>
                <w:szCs w:val="1"/>
                <w:color w:val="auto"/>
              </w:rPr>
            </w:pPr>
          </w:p>
        </w:tc>
        <w:tc>
          <w:tcPr>
            <w:tcW w:w="240" w:type="dxa"/>
            <w:vAlign w:val="bottom"/>
            <w:tcBorders>
              <w:top w:val="single" w:sz="8" w:color="CCEEFF"/>
            </w:tcBorders>
            <w:shd w:val="clear" w:color="auto" w:fill="00C08A"/>
          </w:tcPr>
          <w:p>
            <w:pPr>
              <w:spacing w:after="0" w:line="20" w:lineRule="exact"/>
              <w:rPr>
                <w:sz w:val="1"/>
                <w:szCs w:val="1"/>
                <w:color w:val="auto"/>
              </w:rPr>
            </w:pPr>
          </w:p>
        </w:tc>
        <w:tc>
          <w:tcPr>
            <w:tcW w:w="40" w:type="dxa"/>
            <w:vAlign w:val="bottom"/>
            <w:tcBorders>
              <w:top w:val="single" w:sz="8" w:color="CCEEFF"/>
            </w:tcBorders>
            <w:shd w:val="clear" w:color="auto" w:fill="00C08A"/>
          </w:tcPr>
          <w:p>
            <w:pPr>
              <w:spacing w:after="0" w:line="20" w:lineRule="exact"/>
              <w:rPr>
                <w:sz w:val="1"/>
                <w:szCs w:val="1"/>
                <w:color w:val="auto"/>
              </w:rPr>
            </w:pPr>
          </w:p>
        </w:tc>
        <w:tc>
          <w:tcPr>
            <w:tcW w:w="520" w:type="dxa"/>
            <w:vAlign w:val="bottom"/>
            <w:tcBorders>
              <w:top w:val="single" w:sz="8" w:color="CCEEFF"/>
            </w:tcBorders>
            <w:shd w:val="clear" w:color="auto" w:fill="00C08A"/>
          </w:tcPr>
          <w:p>
            <w:pPr>
              <w:spacing w:after="0" w:line="20" w:lineRule="exact"/>
              <w:rPr>
                <w:sz w:val="1"/>
                <w:szCs w:val="1"/>
                <w:color w:val="auto"/>
              </w:rPr>
            </w:pPr>
          </w:p>
        </w:tc>
        <w:tc>
          <w:tcPr>
            <w:tcW w:w="5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2960" w:type="dxa"/>
            <w:vAlign w:val="bottom"/>
            <w:tcBorders>
              <w:top w:val="single" w:sz="8" w:color="CCEEFF"/>
            </w:tcBorders>
            <w:shd w:val="clear" w:color="auto" w:fill="00C08A"/>
          </w:tcPr>
          <w:p>
            <w:pPr>
              <w:spacing w:after="0" w:line="20" w:lineRule="exact"/>
              <w:rPr>
                <w:sz w:val="1"/>
                <w:szCs w:val="1"/>
                <w:color w:val="auto"/>
              </w:rPr>
            </w:pPr>
          </w:p>
        </w:tc>
        <w:tc>
          <w:tcPr>
            <w:tcW w:w="20" w:type="dxa"/>
            <w:vAlign w:val="bottom"/>
            <w:tcBorders>
              <w:top w:val="single" w:sz="8" w:color="CCEEFF"/>
            </w:tcBorders>
            <w:shd w:val="clear" w:color="auto" w:fill="00C08A"/>
          </w:tcPr>
          <w:p>
            <w:pPr>
              <w:spacing w:after="0" w:line="20" w:lineRule="exact"/>
              <w:rPr>
                <w:sz w:val="1"/>
                <w:szCs w:val="1"/>
                <w:color w:val="auto"/>
              </w:rPr>
            </w:pPr>
          </w:p>
        </w:tc>
        <w:tc>
          <w:tcPr>
            <w:tcW w:w="4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36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EXECUTIVE COMPENSATION</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24</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w w:val="97"/>
              </w:rPr>
              <w:t>COMPENSATION COMMITTEE REPORT</w:t>
            </w: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3920" w:type="dxa"/>
            <w:vAlign w:val="bottom"/>
            <w:tcBorders>
              <w:top w:val="single" w:sz="8" w:color="00C08A"/>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7"/>
              </w:rPr>
              <w:t>COMPENSATION DISCUSSION AND ANALYSIS</w:t>
            </w:r>
          </w:p>
        </w:tc>
        <w:tc>
          <w:tcPr>
            <w:tcW w:w="500" w:type="dxa"/>
            <w:vAlign w:val="bottom"/>
            <w:tcBorders>
              <w:top w:val="single" w:sz="8" w:color="00C08A"/>
              <w:bottom w:val="single" w:sz="8" w:color="00C08A"/>
            </w:tcBorders>
            <w:vMerge w:val="restart"/>
          </w:tcPr>
          <w:p>
            <w:pPr>
              <w:spacing w:after="0"/>
              <w:rPr>
                <w:sz w:val="18"/>
                <w:szCs w:val="18"/>
                <w:color w:val="auto"/>
              </w:rPr>
            </w:pPr>
          </w:p>
        </w:tc>
        <w:tc>
          <w:tcPr>
            <w:tcW w:w="2980" w:type="dxa"/>
            <w:vAlign w:val="bottom"/>
            <w:tcBorders>
              <w:top w:val="single" w:sz="8" w:color="00C08A"/>
              <w:bottom w:val="single" w:sz="8" w:color="00C08A"/>
            </w:tcBorders>
            <w:gridSpan w:val="2"/>
            <w:vMerge w:val="restart"/>
          </w:tcPr>
          <w:p>
            <w:pPr>
              <w:spacing w:after="0"/>
              <w:rPr>
                <w:sz w:val="18"/>
                <w:szCs w:val="18"/>
                <w:color w:val="auto"/>
              </w:rPr>
            </w:pPr>
          </w:p>
        </w:tc>
        <w:tc>
          <w:tcPr>
            <w:tcW w:w="480" w:type="dxa"/>
            <w:vAlign w:val="bottom"/>
            <w:tcBorders>
              <w:top w:val="single" w:sz="8" w:color="00C08A"/>
              <w:bottom w:val="single" w:sz="8" w:color="00C08A"/>
            </w:tcBorders>
            <w:vMerge w:val="restart"/>
          </w:tcPr>
          <w:p>
            <w:pPr>
              <w:spacing w:after="0"/>
              <w:rPr>
                <w:sz w:val="18"/>
                <w:szCs w:val="18"/>
                <w:color w:val="auto"/>
              </w:rPr>
            </w:pPr>
          </w:p>
        </w:tc>
        <w:tc>
          <w:tcPr>
            <w:tcW w:w="500" w:type="dxa"/>
            <w:vAlign w:val="bottom"/>
            <w:tcBorders>
              <w:top w:val="single" w:sz="8" w:color="00C08A"/>
              <w:bottom w:val="single" w:sz="8" w:color="00C08A"/>
            </w:tcBorders>
            <w:vMerge w:val="restart"/>
          </w:tcPr>
          <w:p>
            <w:pPr>
              <w:spacing w:after="0"/>
              <w:rPr>
                <w:sz w:val="18"/>
                <w:szCs w:val="18"/>
                <w:color w:val="auto"/>
              </w:rPr>
            </w:pPr>
          </w:p>
        </w:tc>
        <w:tc>
          <w:tcPr>
            <w:tcW w:w="420" w:type="dxa"/>
            <w:vAlign w:val="bottom"/>
            <w:tcBorders>
              <w:top w:val="single" w:sz="8" w:color="00C08A"/>
              <w:bottom w:val="single" w:sz="8" w:color="00C08A"/>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24</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680" w:type="dxa"/>
            <w:vAlign w:val="bottom"/>
            <w:tcBorders>
              <w:bottom w:val="single" w:sz="8" w:color="00C08A"/>
            </w:tcBorders>
          </w:tcPr>
          <w:p>
            <w:pPr>
              <w:spacing w:after="0"/>
              <w:rPr>
                <w:sz w:val="2"/>
                <w:szCs w:val="2"/>
                <w:color w:val="auto"/>
              </w:rPr>
            </w:pPr>
          </w:p>
        </w:tc>
        <w:tc>
          <w:tcPr>
            <w:tcW w:w="860" w:type="dxa"/>
            <w:vAlign w:val="bottom"/>
            <w:tcBorders>
              <w:bottom w:val="single" w:sz="8" w:color="00C08A"/>
            </w:tcBorders>
          </w:tcPr>
          <w:p>
            <w:pPr>
              <w:spacing w:after="0"/>
              <w:rPr>
                <w:sz w:val="2"/>
                <w:szCs w:val="2"/>
                <w:color w:val="auto"/>
              </w:rPr>
            </w:pPr>
          </w:p>
        </w:tc>
        <w:tc>
          <w:tcPr>
            <w:tcW w:w="240" w:type="dxa"/>
            <w:vAlign w:val="bottom"/>
            <w:tcBorders>
              <w:bottom w:val="single" w:sz="8" w:color="00C08A"/>
            </w:tcBorders>
          </w:tcPr>
          <w:p>
            <w:pPr>
              <w:spacing w:after="0"/>
              <w:rPr>
                <w:sz w:val="2"/>
                <w:szCs w:val="2"/>
                <w:color w:val="auto"/>
              </w:rPr>
            </w:pPr>
          </w:p>
        </w:tc>
        <w:tc>
          <w:tcPr>
            <w:tcW w:w="40" w:type="dxa"/>
            <w:vAlign w:val="bottom"/>
            <w:tcBorders>
              <w:bottom w:val="single" w:sz="8" w:color="00C08A"/>
            </w:tcBorders>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500" w:type="dxa"/>
            <w:vAlign w:val="bottom"/>
            <w:tcBorders>
              <w:bottom w:val="single" w:sz="8" w:color="00C08A"/>
            </w:tcBorders>
            <w:vMerge w:val="continue"/>
          </w:tcPr>
          <w:p>
            <w:pPr>
              <w:spacing w:after="0"/>
              <w:rPr>
                <w:sz w:val="2"/>
                <w:szCs w:val="2"/>
                <w:color w:val="auto"/>
              </w:rPr>
            </w:pPr>
          </w:p>
        </w:tc>
        <w:tc>
          <w:tcPr>
            <w:tcW w:w="2980" w:type="dxa"/>
            <w:vAlign w:val="bottom"/>
            <w:tcBorders>
              <w:bottom w:val="single" w:sz="8" w:color="00C08A"/>
            </w:tcBorders>
            <w:gridSpan w:val="2"/>
            <w:vMerge w:val="continue"/>
          </w:tcPr>
          <w:p>
            <w:pPr>
              <w:spacing w:after="0"/>
              <w:rPr>
                <w:sz w:val="2"/>
                <w:szCs w:val="2"/>
                <w:color w:val="auto"/>
              </w:rPr>
            </w:pPr>
          </w:p>
        </w:tc>
        <w:tc>
          <w:tcPr>
            <w:tcW w:w="480" w:type="dxa"/>
            <w:vAlign w:val="bottom"/>
            <w:tcBorders>
              <w:bottom w:val="single" w:sz="8" w:color="00C08A"/>
            </w:tcBorders>
            <w:vMerge w:val="continue"/>
          </w:tcPr>
          <w:p>
            <w:pPr>
              <w:spacing w:after="0"/>
              <w:rPr>
                <w:sz w:val="2"/>
                <w:szCs w:val="2"/>
                <w:color w:val="auto"/>
              </w:rPr>
            </w:pPr>
          </w:p>
        </w:tc>
        <w:tc>
          <w:tcPr>
            <w:tcW w:w="500" w:type="dxa"/>
            <w:vAlign w:val="bottom"/>
            <w:tcBorders>
              <w:bottom w:val="single" w:sz="8" w:color="00C08A"/>
            </w:tcBorders>
            <w:vMerge w:val="continue"/>
          </w:tcPr>
          <w:p>
            <w:pPr>
              <w:spacing w:after="0"/>
              <w:rPr>
                <w:sz w:val="2"/>
                <w:szCs w:val="2"/>
                <w:color w:val="auto"/>
              </w:rPr>
            </w:pPr>
          </w:p>
        </w:tc>
        <w:tc>
          <w:tcPr>
            <w:tcW w:w="420" w:type="dxa"/>
            <w:vAlign w:val="bottom"/>
            <w:tcBorders>
              <w:bottom w:val="single" w:sz="8" w:color="00C08A"/>
            </w:tcBorders>
            <w:gridSpan w:val="2"/>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6"/>
              </w:rPr>
              <w:t>CEO PAY RATIO DISCLOSURE</w:t>
            </w: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3"/>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48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0" w:type="dxa"/>
            <w:vAlign w:val="bottom"/>
            <w:tcBorders>
              <w:top w:val="single" w:sz="8" w:color="00C08A"/>
              <w:bottom w:val="single" w:sz="8" w:color="00C08A"/>
            </w:tcBorders>
            <w:vMerge w:val="restart"/>
          </w:tcPr>
          <w:p>
            <w:pPr>
              <w:spacing w:after="0"/>
              <w:rPr>
                <w:sz w:val="20"/>
                <w:szCs w:val="20"/>
                <w:color w:val="auto"/>
              </w:rPr>
            </w:pPr>
            <w:r>
              <w:rPr>
                <w:rFonts w:ascii="Arial" w:cs="Arial" w:eastAsia="Arial" w:hAnsi="Arial"/>
                <w:sz w:val="18"/>
                <w:szCs w:val="18"/>
                <w:color w:val="auto"/>
              </w:rPr>
              <w:t>​</w:t>
            </w:r>
          </w:p>
        </w:tc>
        <w:tc>
          <w:tcPr>
            <w:tcW w:w="2820" w:type="dxa"/>
            <w:vAlign w:val="bottom"/>
            <w:tcBorders>
              <w:top w:val="single" w:sz="8" w:color="00C08A"/>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COMPENSATION OF DIRECTORS</w:t>
            </w:r>
          </w:p>
        </w:tc>
        <w:tc>
          <w:tcPr>
            <w:tcW w:w="1600" w:type="dxa"/>
            <w:vAlign w:val="bottom"/>
            <w:tcBorders>
              <w:top w:val="single" w:sz="8" w:color="00C08A"/>
              <w:bottom w:val="single" w:sz="8" w:color="00C08A"/>
            </w:tcBorders>
            <w:gridSpan w:val="3"/>
            <w:vMerge w:val="restart"/>
          </w:tcPr>
          <w:p>
            <w:pPr>
              <w:spacing w:after="0"/>
              <w:rPr>
                <w:sz w:val="18"/>
                <w:szCs w:val="18"/>
                <w:color w:val="auto"/>
              </w:rPr>
            </w:pPr>
          </w:p>
        </w:tc>
        <w:tc>
          <w:tcPr>
            <w:tcW w:w="2980" w:type="dxa"/>
            <w:vAlign w:val="bottom"/>
            <w:tcBorders>
              <w:top w:val="single" w:sz="8" w:color="00C08A"/>
              <w:bottom w:val="single" w:sz="8" w:color="00C08A"/>
            </w:tcBorders>
            <w:gridSpan w:val="2"/>
            <w:vMerge w:val="restart"/>
          </w:tcPr>
          <w:p>
            <w:pPr>
              <w:spacing w:after="0"/>
              <w:rPr>
                <w:sz w:val="18"/>
                <w:szCs w:val="18"/>
                <w:color w:val="auto"/>
              </w:rPr>
            </w:pPr>
          </w:p>
        </w:tc>
        <w:tc>
          <w:tcPr>
            <w:tcW w:w="480" w:type="dxa"/>
            <w:vAlign w:val="bottom"/>
            <w:tcBorders>
              <w:top w:val="single" w:sz="8" w:color="00C08A"/>
              <w:bottom w:val="single" w:sz="8" w:color="00C08A"/>
            </w:tcBorders>
            <w:vMerge w:val="restart"/>
          </w:tcPr>
          <w:p>
            <w:pPr>
              <w:spacing w:after="0"/>
              <w:rPr>
                <w:sz w:val="18"/>
                <w:szCs w:val="18"/>
                <w:color w:val="auto"/>
              </w:rPr>
            </w:pPr>
          </w:p>
        </w:tc>
        <w:tc>
          <w:tcPr>
            <w:tcW w:w="500" w:type="dxa"/>
            <w:vAlign w:val="bottom"/>
            <w:tcBorders>
              <w:top w:val="single" w:sz="8" w:color="00C08A"/>
              <w:bottom w:val="single" w:sz="8" w:color="00C08A"/>
            </w:tcBorders>
            <w:vMerge w:val="restart"/>
          </w:tcPr>
          <w:p>
            <w:pPr>
              <w:spacing w:after="0"/>
              <w:rPr>
                <w:sz w:val="18"/>
                <w:szCs w:val="18"/>
                <w:color w:val="auto"/>
              </w:rPr>
            </w:pPr>
          </w:p>
        </w:tc>
        <w:tc>
          <w:tcPr>
            <w:tcW w:w="420" w:type="dxa"/>
            <w:vAlign w:val="bottom"/>
            <w:tcBorders>
              <w:top w:val="single" w:sz="8" w:color="00C08A"/>
              <w:bottom w:val="single" w:sz="8" w:color="00C08A"/>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08A"/>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49</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08A"/>
            </w:tcBorders>
            <w:vMerge w:val="continue"/>
          </w:tcPr>
          <w:p>
            <w:pPr>
              <w:spacing w:after="0"/>
              <w:rPr>
                <w:sz w:val="2"/>
                <w:szCs w:val="2"/>
                <w:color w:val="auto"/>
              </w:rPr>
            </w:pPr>
          </w:p>
        </w:tc>
        <w:tc>
          <w:tcPr>
            <w:tcW w:w="1680" w:type="dxa"/>
            <w:vAlign w:val="bottom"/>
            <w:tcBorders>
              <w:bottom w:val="single" w:sz="8" w:color="00C08A"/>
            </w:tcBorders>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40" w:type="dxa"/>
            <w:vAlign w:val="bottom"/>
            <w:tcBorders>
              <w:bottom w:val="single" w:sz="8" w:color="00C08A"/>
            </w:tcBorders>
          </w:tcPr>
          <w:p>
            <w:pPr>
              <w:spacing w:after="0"/>
              <w:rPr>
                <w:sz w:val="2"/>
                <w:szCs w:val="2"/>
                <w:color w:val="auto"/>
              </w:rPr>
            </w:pPr>
          </w:p>
        </w:tc>
        <w:tc>
          <w:tcPr>
            <w:tcW w:w="1600" w:type="dxa"/>
            <w:vAlign w:val="bottom"/>
            <w:tcBorders>
              <w:bottom w:val="single" w:sz="8" w:color="00C08A"/>
            </w:tcBorders>
            <w:gridSpan w:val="3"/>
            <w:vMerge w:val="continue"/>
          </w:tcPr>
          <w:p>
            <w:pPr>
              <w:spacing w:after="0"/>
              <w:rPr>
                <w:sz w:val="2"/>
                <w:szCs w:val="2"/>
                <w:color w:val="auto"/>
              </w:rPr>
            </w:pPr>
          </w:p>
        </w:tc>
        <w:tc>
          <w:tcPr>
            <w:tcW w:w="2980" w:type="dxa"/>
            <w:vAlign w:val="bottom"/>
            <w:tcBorders>
              <w:bottom w:val="single" w:sz="8" w:color="00C08A"/>
            </w:tcBorders>
            <w:gridSpan w:val="2"/>
            <w:vMerge w:val="continue"/>
          </w:tcPr>
          <w:p>
            <w:pPr>
              <w:spacing w:after="0"/>
              <w:rPr>
                <w:sz w:val="2"/>
                <w:szCs w:val="2"/>
                <w:color w:val="auto"/>
              </w:rPr>
            </w:pPr>
          </w:p>
        </w:tc>
        <w:tc>
          <w:tcPr>
            <w:tcW w:w="480" w:type="dxa"/>
            <w:vAlign w:val="bottom"/>
            <w:tcBorders>
              <w:bottom w:val="single" w:sz="8" w:color="00C08A"/>
            </w:tcBorders>
            <w:vMerge w:val="continue"/>
          </w:tcPr>
          <w:p>
            <w:pPr>
              <w:spacing w:after="0"/>
              <w:rPr>
                <w:sz w:val="2"/>
                <w:szCs w:val="2"/>
                <w:color w:val="auto"/>
              </w:rPr>
            </w:pPr>
          </w:p>
        </w:tc>
        <w:tc>
          <w:tcPr>
            <w:tcW w:w="500" w:type="dxa"/>
            <w:vAlign w:val="bottom"/>
            <w:tcBorders>
              <w:bottom w:val="single" w:sz="8" w:color="00C08A"/>
            </w:tcBorders>
            <w:vMerge w:val="continue"/>
          </w:tcPr>
          <w:p>
            <w:pPr>
              <w:spacing w:after="0"/>
              <w:rPr>
                <w:sz w:val="2"/>
                <w:szCs w:val="2"/>
                <w:color w:val="auto"/>
              </w:rPr>
            </w:pPr>
          </w:p>
        </w:tc>
        <w:tc>
          <w:tcPr>
            <w:tcW w:w="420" w:type="dxa"/>
            <w:vAlign w:val="bottom"/>
            <w:tcBorders>
              <w:bottom w:val="single" w:sz="8" w:color="00C08A"/>
            </w:tcBorders>
            <w:gridSpan w:val="2"/>
            <w:vMerge w:val="continue"/>
          </w:tcPr>
          <w:p>
            <w:pPr>
              <w:spacing w:after="0"/>
              <w:rPr>
                <w:sz w:val="2"/>
                <w:szCs w:val="2"/>
                <w:color w:val="auto"/>
              </w:rPr>
            </w:pPr>
          </w:p>
        </w:tc>
        <w:tc>
          <w:tcPr>
            <w:tcW w:w="200" w:type="dxa"/>
            <w:vAlign w:val="bottom"/>
            <w:tcBorders>
              <w:bottom w:val="single" w:sz="8" w:color="00C08A"/>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0000EE"/>
            </w:tcBorders>
            <w:gridSpan w:val="10"/>
            <w:shd w:val="clear" w:color="auto" w:fill="CCEEFF"/>
          </w:tcPr>
          <w:p>
            <w:pPr>
              <w:spacing w:after="0" w:line="196" w:lineRule="exact"/>
              <w:rPr>
                <w:sz w:val="20"/>
                <w:szCs w:val="20"/>
                <w:color w:val="auto"/>
              </w:rPr>
            </w:pPr>
            <w:r>
              <w:rPr>
                <w:rFonts w:ascii="Arial" w:cs="Arial" w:eastAsia="Arial" w:hAnsi="Arial"/>
                <w:sz w:val="18"/>
                <w:szCs w:val="18"/>
                <w:color w:val="0000EE"/>
                <w:w w:val="98"/>
              </w:rPr>
              <w:t>PROPOSAL 4: RATIFICATION OF APPOINTMENT OF INDEPENDENT REGISTERED PUBLIC</w:t>
            </w: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0000EE"/>
            </w:tcBorders>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110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spacing w:after="0"/>
              <w:rPr>
                <w:sz w:val="21"/>
                <w:szCs w:val="21"/>
                <w:color w:val="auto"/>
              </w:rPr>
            </w:pPr>
          </w:p>
        </w:tc>
        <w:tc>
          <w:tcPr>
            <w:tcW w:w="3460" w:type="dxa"/>
            <w:vAlign w:val="bottom"/>
            <w:tcBorders>
              <w:bottom w:val="single" w:sz="8" w:color="CCEEFF"/>
            </w:tcBorders>
            <w:gridSpan w:val="3"/>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50</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gridSpan w:val="2"/>
            <w:shd w:val="clear" w:color="auto" w:fill="00C08A"/>
          </w:tcPr>
          <w:p>
            <w:pPr>
              <w:spacing w:after="0" w:line="20" w:lineRule="exact"/>
              <w:rPr>
                <w:sz w:val="1"/>
                <w:szCs w:val="1"/>
                <w:color w:val="auto"/>
              </w:rPr>
            </w:pPr>
          </w:p>
        </w:tc>
        <w:tc>
          <w:tcPr>
            <w:tcW w:w="860" w:type="dxa"/>
            <w:vAlign w:val="bottom"/>
            <w:tcBorders>
              <w:top w:val="single" w:sz="8" w:color="CCEEFF"/>
            </w:tcBorders>
            <w:shd w:val="clear" w:color="auto" w:fill="00C08A"/>
          </w:tcPr>
          <w:p>
            <w:pPr>
              <w:spacing w:after="0" w:line="20" w:lineRule="exact"/>
              <w:rPr>
                <w:sz w:val="1"/>
                <w:szCs w:val="1"/>
                <w:color w:val="auto"/>
              </w:rPr>
            </w:pPr>
          </w:p>
        </w:tc>
        <w:tc>
          <w:tcPr>
            <w:tcW w:w="240" w:type="dxa"/>
            <w:vAlign w:val="bottom"/>
            <w:tcBorders>
              <w:top w:val="single" w:sz="8" w:color="CCEEFF"/>
            </w:tcBorders>
            <w:shd w:val="clear" w:color="auto" w:fill="00C08A"/>
          </w:tcPr>
          <w:p>
            <w:pPr>
              <w:spacing w:after="0" w:line="20" w:lineRule="exact"/>
              <w:rPr>
                <w:sz w:val="1"/>
                <w:szCs w:val="1"/>
                <w:color w:val="auto"/>
              </w:rPr>
            </w:pPr>
          </w:p>
        </w:tc>
        <w:tc>
          <w:tcPr>
            <w:tcW w:w="40" w:type="dxa"/>
            <w:vAlign w:val="bottom"/>
            <w:tcBorders>
              <w:top w:val="single" w:sz="8" w:color="CCEEFF"/>
            </w:tcBorders>
            <w:shd w:val="clear" w:color="auto" w:fill="00C08A"/>
          </w:tcPr>
          <w:p>
            <w:pPr>
              <w:spacing w:after="0" w:line="20" w:lineRule="exact"/>
              <w:rPr>
                <w:sz w:val="1"/>
                <w:szCs w:val="1"/>
                <w:color w:val="auto"/>
              </w:rPr>
            </w:pPr>
          </w:p>
        </w:tc>
        <w:tc>
          <w:tcPr>
            <w:tcW w:w="520" w:type="dxa"/>
            <w:vAlign w:val="bottom"/>
            <w:tcBorders>
              <w:top w:val="single" w:sz="8" w:color="CCEEFF"/>
            </w:tcBorders>
            <w:shd w:val="clear" w:color="auto" w:fill="00C08A"/>
          </w:tcPr>
          <w:p>
            <w:pPr>
              <w:spacing w:after="0" w:line="20" w:lineRule="exact"/>
              <w:rPr>
                <w:sz w:val="1"/>
                <w:szCs w:val="1"/>
                <w:color w:val="auto"/>
              </w:rPr>
            </w:pPr>
          </w:p>
        </w:tc>
        <w:tc>
          <w:tcPr>
            <w:tcW w:w="5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2960" w:type="dxa"/>
            <w:vAlign w:val="bottom"/>
            <w:tcBorders>
              <w:top w:val="single" w:sz="8" w:color="CCEEFF"/>
            </w:tcBorders>
            <w:shd w:val="clear" w:color="auto" w:fill="00C08A"/>
          </w:tcPr>
          <w:p>
            <w:pPr>
              <w:spacing w:after="0" w:line="20" w:lineRule="exact"/>
              <w:rPr>
                <w:sz w:val="1"/>
                <w:szCs w:val="1"/>
                <w:color w:val="auto"/>
              </w:rPr>
            </w:pPr>
          </w:p>
        </w:tc>
        <w:tc>
          <w:tcPr>
            <w:tcW w:w="20" w:type="dxa"/>
            <w:vAlign w:val="bottom"/>
            <w:tcBorders>
              <w:top w:val="single" w:sz="8" w:color="CCEEFF"/>
            </w:tcBorders>
            <w:shd w:val="clear" w:color="auto" w:fill="00C08A"/>
          </w:tcPr>
          <w:p>
            <w:pPr>
              <w:spacing w:after="0" w:line="20" w:lineRule="exact"/>
              <w:rPr>
                <w:sz w:val="1"/>
                <w:szCs w:val="1"/>
                <w:color w:val="auto"/>
              </w:rPr>
            </w:pPr>
          </w:p>
        </w:tc>
        <w:tc>
          <w:tcPr>
            <w:tcW w:w="480" w:type="dxa"/>
            <w:vAlign w:val="bottom"/>
            <w:tcBorders>
              <w:top w:val="single" w:sz="8" w:color="CCEEFF"/>
            </w:tcBorders>
            <w:shd w:val="clear" w:color="auto" w:fill="00C08A"/>
          </w:tcPr>
          <w:p>
            <w:pPr>
              <w:spacing w:after="0" w:line="20" w:lineRule="exact"/>
              <w:rPr>
                <w:sz w:val="1"/>
                <w:szCs w:val="1"/>
                <w:color w:val="auto"/>
              </w:rPr>
            </w:pPr>
          </w:p>
        </w:tc>
        <w:tc>
          <w:tcPr>
            <w:tcW w:w="500" w:type="dxa"/>
            <w:vAlign w:val="bottom"/>
            <w:tcBorders>
              <w:top w:val="single" w:sz="8" w:color="CCEEFF"/>
            </w:tcBorders>
            <w:shd w:val="clear" w:color="auto" w:fill="00C08A"/>
          </w:tcPr>
          <w:p>
            <w:pPr>
              <w:spacing w:after="0" w:line="20" w:lineRule="exact"/>
              <w:rPr>
                <w:sz w:val="1"/>
                <w:szCs w:val="1"/>
                <w:color w:val="auto"/>
              </w:rPr>
            </w:pPr>
          </w:p>
        </w:tc>
        <w:tc>
          <w:tcPr>
            <w:tcW w:w="36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100" w:type="dxa"/>
            <w:vAlign w:val="bottom"/>
            <w:tcBorders>
              <w:top w:val="single" w:sz="8" w:color="CCEEFF"/>
            </w:tcBorders>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INFORMATION REGARDING INDEPENDENT REGISTERED PUBLIC ACCOUNTING FIRM</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51</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AUDIT COMMITTEE REPORT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29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8560" w:type="dxa"/>
            <w:vAlign w:val="bottom"/>
            <w:tcBorders>
              <w:top w:val="single" w:sz="8" w:color="00C08A"/>
            </w:tcBorders>
            <w:gridSpan w:val="12"/>
          </w:tcPr>
          <w:p>
            <w:pPr>
              <w:spacing w:after="0" w:line="196" w:lineRule="exact"/>
              <w:rPr>
                <w:sz w:val="20"/>
                <w:szCs w:val="20"/>
                <w:color w:val="auto"/>
              </w:rPr>
            </w:pPr>
            <w:r>
              <w:rPr>
                <w:rFonts w:ascii="Arial" w:cs="Arial" w:eastAsia="Arial" w:hAnsi="Arial"/>
                <w:sz w:val="18"/>
                <w:szCs w:val="18"/>
                <w:color w:val="0000EE"/>
              </w:rPr>
              <w:t>PROPOSAL 5: APPROVAL OF VIRTU FINANCIAL, INC. SECOND AMENDED AND RESTATED 2015</w:t>
            </w:r>
          </w:p>
        </w:tc>
        <w:tc>
          <w:tcPr>
            <w:tcW w:w="360" w:type="dxa"/>
            <w:vAlign w:val="bottom"/>
            <w:tcBorders>
              <w:top w:val="single" w:sz="8" w:color="00C08A"/>
            </w:tcBorders>
          </w:tcPr>
          <w:p>
            <w:pPr>
              <w:spacing w:after="0"/>
              <w:rPr>
                <w:sz w:val="17"/>
                <w:szCs w:val="17"/>
                <w:color w:val="auto"/>
              </w:rPr>
            </w:pPr>
          </w:p>
        </w:tc>
        <w:tc>
          <w:tcPr>
            <w:tcW w:w="60" w:type="dxa"/>
            <w:vAlign w:val="bottom"/>
            <w:tcBorders>
              <w:top w:val="single" w:sz="8" w:color="00C08A"/>
            </w:tcBorders>
          </w:tcPr>
          <w:p>
            <w:pPr>
              <w:spacing w:after="0"/>
              <w:rPr>
                <w:sz w:val="17"/>
                <w:szCs w:val="17"/>
                <w:color w:val="auto"/>
              </w:rPr>
            </w:pPr>
          </w:p>
        </w:tc>
        <w:tc>
          <w:tcPr>
            <w:tcW w:w="100" w:type="dxa"/>
            <w:vAlign w:val="bottom"/>
            <w:tcBorders>
              <w:top w:val="single" w:sz="8" w:color="00C08A"/>
            </w:tcBorders>
          </w:tcPr>
          <w:p>
            <w:pPr>
              <w:spacing w:after="0"/>
              <w:rPr>
                <w:sz w:val="17"/>
                <w:szCs w:val="17"/>
                <w:color w:val="auto"/>
              </w:rPr>
            </w:pPr>
          </w:p>
        </w:tc>
        <w:tc>
          <w:tcPr>
            <w:tcW w:w="100" w:type="dxa"/>
            <w:vAlign w:val="bottom"/>
            <w:tcBorders>
              <w:top w:val="single" w:sz="8" w:color="00C08A"/>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auto"/>
              </w:rPr>
              <w:t>​</w:t>
            </w:r>
          </w:p>
        </w:tc>
        <w:tc>
          <w:tcPr>
            <w:tcW w:w="27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MANAGEMENT INCENTIVE PLAN</w:t>
            </w:r>
          </w:p>
        </w:tc>
        <w:tc>
          <w:tcPr>
            <w:tcW w:w="40" w:type="dxa"/>
            <w:vAlign w:val="bottom"/>
            <w:tcBorders>
              <w:top w:val="single" w:sz="8" w:color="0000EE"/>
              <w:bottom w:val="single" w:sz="8" w:color="0000EE"/>
            </w:tcBorders>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54</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860" w:type="dxa"/>
            <w:vAlign w:val="bottom"/>
            <w:tcBorders>
              <w:bottom w:val="single" w:sz="8" w:color="00C08A"/>
            </w:tcBorders>
            <w:gridSpan w:val="2"/>
          </w:tcPr>
          <w:p>
            <w:pPr>
              <w:spacing w:after="0"/>
              <w:rPr>
                <w:sz w:val="4"/>
                <w:szCs w:val="4"/>
                <w:color w:val="auto"/>
              </w:rPr>
            </w:pPr>
          </w:p>
        </w:tc>
        <w:tc>
          <w:tcPr>
            <w:tcW w:w="860" w:type="dxa"/>
            <w:vAlign w:val="bottom"/>
            <w:tcBorders>
              <w:bottom w:val="single" w:sz="8" w:color="00C08A"/>
            </w:tcBorders>
          </w:tcPr>
          <w:p>
            <w:pPr>
              <w:spacing w:after="0"/>
              <w:rPr>
                <w:sz w:val="4"/>
                <w:szCs w:val="4"/>
                <w:color w:val="auto"/>
              </w:rPr>
            </w:pPr>
          </w:p>
        </w:tc>
        <w:tc>
          <w:tcPr>
            <w:tcW w:w="240" w:type="dxa"/>
            <w:vAlign w:val="bottom"/>
            <w:tcBorders>
              <w:bottom w:val="single" w:sz="8" w:color="00C08A"/>
            </w:tcBorders>
          </w:tcPr>
          <w:p>
            <w:pPr>
              <w:spacing w:after="0"/>
              <w:rPr>
                <w:sz w:val="4"/>
                <w:szCs w:val="4"/>
                <w:color w:val="auto"/>
              </w:rPr>
            </w:pPr>
          </w:p>
        </w:tc>
        <w:tc>
          <w:tcPr>
            <w:tcW w:w="40" w:type="dxa"/>
            <w:vAlign w:val="bottom"/>
            <w:tcBorders>
              <w:bottom w:val="single" w:sz="8" w:color="00C08A"/>
            </w:tcBorders>
          </w:tcPr>
          <w:p>
            <w:pPr>
              <w:spacing w:after="0"/>
              <w:rPr>
                <w:sz w:val="4"/>
                <w:szCs w:val="4"/>
                <w:color w:val="auto"/>
              </w:rPr>
            </w:pPr>
          </w:p>
        </w:tc>
        <w:tc>
          <w:tcPr>
            <w:tcW w:w="520" w:type="dxa"/>
            <w:vAlign w:val="bottom"/>
            <w:tcBorders>
              <w:bottom w:val="single" w:sz="8" w:color="00C08A"/>
            </w:tcBorders>
          </w:tcPr>
          <w:p>
            <w:pPr>
              <w:spacing w:after="0"/>
              <w:rPr>
                <w:sz w:val="4"/>
                <w:szCs w:val="4"/>
                <w:color w:val="auto"/>
              </w:rPr>
            </w:pPr>
          </w:p>
        </w:tc>
        <w:tc>
          <w:tcPr>
            <w:tcW w:w="580" w:type="dxa"/>
            <w:vAlign w:val="bottom"/>
            <w:tcBorders>
              <w:bottom w:val="single" w:sz="8" w:color="00C08A"/>
            </w:tcBorders>
          </w:tcPr>
          <w:p>
            <w:pPr>
              <w:spacing w:after="0"/>
              <w:rPr>
                <w:sz w:val="4"/>
                <w:szCs w:val="4"/>
                <w:color w:val="auto"/>
              </w:rPr>
            </w:pPr>
          </w:p>
        </w:tc>
        <w:tc>
          <w:tcPr>
            <w:tcW w:w="500" w:type="dxa"/>
            <w:vAlign w:val="bottom"/>
            <w:tcBorders>
              <w:bottom w:val="single" w:sz="8" w:color="00C08A"/>
            </w:tcBorders>
          </w:tcPr>
          <w:p>
            <w:pPr>
              <w:spacing w:after="0"/>
              <w:rPr>
                <w:sz w:val="4"/>
                <w:szCs w:val="4"/>
                <w:color w:val="auto"/>
              </w:rPr>
            </w:pPr>
          </w:p>
        </w:tc>
        <w:tc>
          <w:tcPr>
            <w:tcW w:w="2960" w:type="dxa"/>
            <w:vAlign w:val="bottom"/>
            <w:tcBorders>
              <w:bottom w:val="single" w:sz="8" w:color="00C08A"/>
            </w:tcBorders>
          </w:tcPr>
          <w:p>
            <w:pPr>
              <w:spacing w:after="0"/>
              <w:rPr>
                <w:sz w:val="4"/>
                <w:szCs w:val="4"/>
                <w:color w:val="auto"/>
              </w:rPr>
            </w:pPr>
          </w:p>
        </w:tc>
        <w:tc>
          <w:tcPr>
            <w:tcW w:w="20" w:type="dxa"/>
            <w:vAlign w:val="bottom"/>
            <w:tcBorders>
              <w:bottom w:val="single" w:sz="8" w:color="00C08A"/>
            </w:tcBorders>
          </w:tcPr>
          <w:p>
            <w:pPr>
              <w:spacing w:after="0"/>
              <w:rPr>
                <w:sz w:val="4"/>
                <w:szCs w:val="4"/>
                <w:color w:val="auto"/>
              </w:rPr>
            </w:pPr>
          </w:p>
        </w:tc>
        <w:tc>
          <w:tcPr>
            <w:tcW w:w="480" w:type="dxa"/>
            <w:vAlign w:val="bottom"/>
            <w:tcBorders>
              <w:bottom w:val="single" w:sz="8" w:color="00C08A"/>
            </w:tcBorders>
          </w:tcPr>
          <w:p>
            <w:pPr>
              <w:spacing w:after="0"/>
              <w:rPr>
                <w:sz w:val="4"/>
                <w:szCs w:val="4"/>
                <w:color w:val="auto"/>
              </w:rPr>
            </w:pPr>
          </w:p>
        </w:tc>
        <w:tc>
          <w:tcPr>
            <w:tcW w:w="500" w:type="dxa"/>
            <w:vAlign w:val="bottom"/>
            <w:tcBorders>
              <w:bottom w:val="single" w:sz="8" w:color="00C08A"/>
            </w:tcBorders>
          </w:tcPr>
          <w:p>
            <w:pPr>
              <w:spacing w:after="0"/>
              <w:rPr>
                <w:sz w:val="4"/>
                <w:szCs w:val="4"/>
                <w:color w:val="auto"/>
              </w:rPr>
            </w:pPr>
          </w:p>
        </w:tc>
        <w:tc>
          <w:tcPr>
            <w:tcW w:w="360" w:type="dxa"/>
            <w:vAlign w:val="bottom"/>
            <w:tcBorders>
              <w:bottom w:val="single" w:sz="8" w:color="00C08A"/>
            </w:tcBorders>
          </w:tcPr>
          <w:p>
            <w:pPr>
              <w:spacing w:after="0"/>
              <w:rPr>
                <w:sz w:val="4"/>
                <w:szCs w:val="4"/>
                <w:color w:val="auto"/>
              </w:rPr>
            </w:pPr>
          </w:p>
        </w:tc>
        <w:tc>
          <w:tcPr>
            <w:tcW w:w="60" w:type="dxa"/>
            <w:vAlign w:val="bottom"/>
            <w:tcBorders>
              <w:bottom w:val="single" w:sz="8" w:color="00C08A"/>
            </w:tcBorders>
          </w:tcPr>
          <w:p>
            <w:pPr>
              <w:spacing w:after="0"/>
              <w:rPr>
                <w:sz w:val="4"/>
                <w:szCs w:val="4"/>
                <w:color w:val="auto"/>
              </w:rPr>
            </w:pPr>
          </w:p>
        </w:tc>
        <w:tc>
          <w:tcPr>
            <w:tcW w:w="100" w:type="dxa"/>
            <w:vAlign w:val="bottom"/>
            <w:tcBorders>
              <w:bottom w:val="single" w:sz="8" w:color="00C08A"/>
            </w:tcBorders>
          </w:tcPr>
          <w:p>
            <w:pPr>
              <w:spacing w:after="0"/>
              <w:rPr>
                <w:sz w:val="4"/>
                <w:szCs w:val="4"/>
                <w:color w:val="auto"/>
              </w:rPr>
            </w:pPr>
          </w:p>
        </w:tc>
        <w:tc>
          <w:tcPr>
            <w:tcW w:w="100" w:type="dxa"/>
            <w:vAlign w:val="bottom"/>
            <w:tcBorders>
              <w:bottom w:val="single" w:sz="8" w:color="00C08A"/>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STOCK OWNERSHIP OF CERTAIN BENEFICIAL OWNERS AND MANAGEMENT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CERTAIN RELATIONSHIPS AND RELATED PARTY TRANSACTIONS</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66</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2"/>
          </w:tcPr>
          <w:p>
            <w:pPr>
              <w:spacing w:after="0" w:line="196" w:lineRule="exact"/>
              <w:rPr>
                <w:sz w:val="20"/>
                <w:szCs w:val="20"/>
                <w:color w:val="auto"/>
              </w:rPr>
            </w:pPr>
            <w:r>
              <w:rPr>
                <w:rFonts w:ascii="Arial" w:cs="Arial" w:eastAsia="Arial" w:hAnsi="Arial"/>
                <w:sz w:val="18"/>
                <w:szCs w:val="18"/>
                <w:color w:val="0000EE"/>
              </w:rPr>
              <w:t>ADDITIONAL INFORMATION</w:t>
            </w:r>
          </w:p>
        </w:tc>
        <w:tc>
          <w:tcPr>
            <w:tcW w:w="36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8"/>
              <w:spacing w:after="0" w:line="196" w:lineRule="exact"/>
              <w:rPr>
                <w:sz w:val="20"/>
                <w:szCs w:val="20"/>
                <w:color w:val="auto"/>
              </w:rPr>
            </w:pPr>
            <w:r>
              <w:rPr>
                <w:rFonts w:ascii="Arial" w:cs="Arial" w:eastAsia="Arial" w:hAnsi="Arial"/>
                <w:sz w:val="18"/>
                <w:szCs w:val="18"/>
                <w:color w:val="0000EE"/>
                <w:w w:val="89"/>
              </w:rPr>
              <w:t>72</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ind w:left="20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08A"/>
            </w:tcBorders>
          </w:tcPr>
          <w:p>
            <w:pPr>
              <w:spacing w:after="0"/>
              <w:rPr>
                <w:sz w:val="3"/>
                <w:szCs w:val="3"/>
                <w:color w:val="auto"/>
              </w:rPr>
            </w:pPr>
          </w:p>
        </w:tc>
        <w:tc>
          <w:tcPr>
            <w:tcW w:w="1680" w:type="dxa"/>
            <w:vAlign w:val="bottom"/>
            <w:tcBorders>
              <w:bottom w:val="single" w:sz="8" w:color="00C08A"/>
            </w:tcBorders>
          </w:tcPr>
          <w:p>
            <w:pPr>
              <w:spacing w:after="0"/>
              <w:rPr>
                <w:sz w:val="3"/>
                <w:szCs w:val="3"/>
                <w:color w:val="auto"/>
              </w:rPr>
            </w:pPr>
          </w:p>
        </w:tc>
        <w:tc>
          <w:tcPr>
            <w:tcW w:w="860" w:type="dxa"/>
            <w:vAlign w:val="bottom"/>
            <w:tcBorders>
              <w:bottom w:val="single" w:sz="8" w:color="00C08A"/>
            </w:tcBorders>
          </w:tcPr>
          <w:p>
            <w:pPr>
              <w:spacing w:after="0"/>
              <w:rPr>
                <w:sz w:val="3"/>
                <w:szCs w:val="3"/>
                <w:color w:val="auto"/>
              </w:rPr>
            </w:pPr>
          </w:p>
        </w:tc>
        <w:tc>
          <w:tcPr>
            <w:tcW w:w="240" w:type="dxa"/>
            <w:vAlign w:val="bottom"/>
            <w:tcBorders>
              <w:bottom w:val="single" w:sz="8" w:color="00C08A"/>
            </w:tcBorders>
          </w:tcPr>
          <w:p>
            <w:pPr>
              <w:spacing w:after="0"/>
              <w:rPr>
                <w:sz w:val="3"/>
                <w:szCs w:val="3"/>
                <w:color w:val="auto"/>
              </w:rPr>
            </w:pPr>
          </w:p>
        </w:tc>
        <w:tc>
          <w:tcPr>
            <w:tcW w:w="40" w:type="dxa"/>
            <w:vAlign w:val="bottom"/>
            <w:tcBorders>
              <w:bottom w:val="single" w:sz="8" w:color="00C08A"/>
            </w:tcBorders>
          </w:tcPr>
          <w:p>
            <w:pPr>
              <w:spacing w:after="0"/>
              <w:rPr>
                <w:sz w:val="3"/>
                <w:szCs w:val="3"/>
                <w:color w:val="auto"/>
              </w:rPr>
            </w:pPr>
          </w:p>
        </w:tc>
        <w:tc>
          <w:tcPr>
            <w:tcW w:w="520" w:type="dxa"/>
            <w:vAlign w:val="bottom"/>
            <w:tcBorders>
              <w:bottom w:val="single" w:sz="8" w:color="00C08A"/>
            </w:tcBorders>
          </w:tcPr>
          <w:p>
            <w:pPr>
              <w:spacing w:after="0"/>
              <w:rPr>
                <w:sz w:val="3"/>
                <w:szCs w:val="3"/>
                <w:color w:val="auto"/>
              </w:rPr>
            </w:pPr>
          </w:p>
        </w:tc>
        <w:tc>
          <w:tcPr>
            <w:tcW w:w="5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2960" w:type="dxa"/>
            <w:vAlign w:val="bottom"/>
            <w:tcBorders>
              <w:bottom w:val="single" w:sz="8" w:color="00C08A"/>
            </w:tcBorders>
          </w:tcPr>
          <w:p>
            <w:pPr>
              <w:spacing w:after="0"/>
              <w:rPr>
                <w:sz w:val="3"/>
                <w:szCs w:val="3"/>
                <w:color w:val="auto"/>
              </w:rPr>
            </w:pPr>
          </w:p>
        </w:tc>
        <w:tc>
          <w:tcPr>
            <w:tcW w:w="20" w:type="dxa"/>
            <w:vAlign w:val="bottom"/>
            <w:tcBorders>
              <w:bottom w:val="single" w:sz="8" w:color="00C08A"/>
            </w:tcBorders>
          </w:tcPr>
          <w:p>
            <w:pPr>
              <w:spacing w:after="0"/>
              <w:rPr>
                <w:sz w:val="3"/>
                <w:szCs w:val="3"/>
                <w:color w:val="auto"/>
              </w:rPr>
            </w:pPr>
          </w:p>
        </w:tc>
        <w:tc>
          <w:tcPr>
            <w:tcW w:w="480" w:type="dxa"/>
            <w:vAlign w:val="bottom"/>
            <w:tcBorders>
              <w:bottom w:val="single" w:sz="8" w:color="00C08A"/>
            </w:tcBorders>
          </w:tcPr>
          <w:p>
            <w:pPr>
              <w:spacing w:after="0"/>
              <w:rPr>
                <w:sz w:val="3"/>
                <w:szCs w:val="3"/>
                <w:color w:val="auto"/>
              </w:rPr>
            </w:pPr>
          </w:p>
        </w:tc>
        <w:tc>
          <w:tcPr>
            <w:tcW w:w="500" w:type="dxa"/>
            <w:vAlign w:val="bottom"/>
            <w:tcBorders>
              <w:bottom w:val="single" w:sz="8" w:color="00C08A"/>
            </w:tcBorders>
          </w:tcPr>
          <w:p>
            <w:pPr>
              <w:spacing w:after="0"/>
              <w:rPr>
                <w:sz w:val="3"/>
                <w:szCs w:val="3"/>
                <w:color w:val="auto"/>
              </w:rPr>
            </w:pPr>
          </w:p>
        </w:tc>
        <w:tc>
          <w:tcPr>
            <w:tcW w:w="360" w:type="dxa"/>
            <w:vAlign w:val="bottom"/>
            <w:tcBorders>
              <w:bottom w:val="single" w:sz="8" w:color="00C08A"/>
            </w:tcBorders>
            <w:vMerge w:val="continue"/>
          </w:tcPr>
          <w:p>
            <w:pPr>
              <w:spacing w:after="0"/>
              <w:rPr>
                <w:sz w:val="3"/>
                <w:szCs w:val="3"/>
                <w:color w:val="auto"/>
              </w:rPr>
            </w:pPr>
          </w:p>
        </w:tc>
        <w:tc>
          <w:tcPr>
            <w:tcW w:w="6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100" w:type="dxa"/>
            <w:vAlign w:val="bottom"/>
            <w:tcBorders>
              <w:bottom w:val="single" w:sz="8" w:color="00C08A"/>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GENERAL INFORMATION</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68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5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08A"/>
          </w:tcPr>
          <w:p>
            <w:pPr>
              <w:spacing w:after="0" w:line="20" w:lineRule="exact"/>
              <w:rPr>
                <w:sz w:val="1"/>
                <w:szCs w:val="1"/>
                <w:color w:val="auto"/>
              </w:rPr>
            </w:pPr>
          </w:p>
        </w:tc>
        <w:tc>
          <w:tcPr>
            <w:tcW w:w="1680" w:type="dxa"/>
            <w:vAlign w:val="bottom"/>
            <w:shd w:val="clear" w:color="auto" w:fill="00C08A"/>
          </w:tcPr>
          <w:p>
            <w:pPr>
              <w:spacing w:after="0" w:line="20" w:lineRule="exact"/>
              <w:rPr>
                <w:sz w:val="1"/>
                <w:szCs w:val="1"/>
                <w:color w:val="auto"/>
              </w:rPr>
            </w:pPr>
          </w:p>
        </w:tc>
        <w:tc>
          <w:tcPr>
            <w:tcW w:w="860" w:type="dxa"/>
            <w:vAlign w:val="bottom"/>
            <w:shd w:val="clear" w:color="auto" w:fill="00C08A"/>
          </w:tcPr>
          <w:p>
            <w:pPr>
              <w:spacing w:after="0" w:line="20" w:lineRule="exact"/>
              <w:rPr>
                <w:sz w:val="1"/>
                <w:szCs w:val="1"/>
                <w:color w:val="auto"/>
              </w:rPr>
            </w:pPr>
          </w:p>
        </w:tc>
        <w:tc>
          <w:tcPr>
            <w:tcW w:w="240" w:type="dxa"/>
            <w:vAlign w:val="bottom"/>
            <w:shd w:val="clear" w:color="auto" w:fill="00C08A"/>
          </w:tcPr>
          <w:p>
            <w:pPr>
              <w:spacing w:after="0" w:line="20" w:lineRule="exact"/>
              <w:rPr>
                <w:sz w:val="1"/>
                <w:szCs w:val="1"/>
                <w:color w:val="auto"/>
              </w:rPr>
            </w:pPr>
          </w:p>
        </w:tc>
        <w:tc>
          <w:tcPr>
            <w:tcW w:w="4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5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2960" w:type="dxa"/>
            <w:vAlign w:val="bottom"/>
            <w:shd w:val="clear" w:color="auto" w:fill="00C08A"/>
          </w:tcPr>
          <w:p>
            <w:pPr>
              <w:spacing w:after="0" w:line="20" w:lineRule="exact"/>
              <w:rPr>
                <w:sz w:val="1"/>
                <w:szCs w:val="1"/>
                <w:color w:val="auto"/>
              </w:rPr>
            </w:pPr>
          </w:p>
        </w:tc>
        <w:tc>
          <w:tcPr>
            <w:tcW w:w="2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6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-3693795</wp:posOffset>
            </wp:positionV>
            <wp:extent cx="1700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053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-3514090</wp:posOffset>
            </wp:positionV>
            <wp:extent cx="2223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313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-3333750</wp:posOffset>
            </wp:positionV>
            <wp:extent cx="1542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241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-3154045</wp:posOffset>
            </wp:positionV>
            <wp:extent cx="5298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-2656840</wp:posOffset>
            </wp:positionV>
            <wp:extent cx="1578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86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-1439545</wp:posOffset>
            </wp:positionV>
            <wp:extent cx="4638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804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-1259205</wp:posOffset>
            </wp:positionV>
            <wp:extent cx="1546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68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-762635</wp:posOffset>
            </wp:positionV>
            <wp:extent cx="4157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5798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-582295</wp:posOffset>
            </wp:positionV>
            <wp:extent cx="3536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631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-401955</wp:posOffset>
            </wp:positionV>
            <wp:extent cx="2141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185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-222250</wp:posOffset>
            </wp:positionV>
            <wp:extent cx="1489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97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-42545</wp:posOffset>
            </wp:positionV>
            <wp:extent cx="1352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255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3308985</wp:posOffset>
            </wp:positionV>
            <wp:extent cx="75438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2080" w:val="left"/>
          <w:tab w:leader="none" w:pos="5220" w:val="left"/>
          <w:tab w:leader="none" w:pos="9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Proxy Statement Summary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York, New York 10019</w:t>
      </w:r>
    </w:p>
    <w:p>
      <w:pPr>
        <w:spacing w:after="0" w:line="101"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2024 fiscal year performance, please review the Company’s 2024 Annual Report on Form 10-K (the “</w:t>
      </w:r>
      <w:r>
        <w:rPr>
          <w:rFonts w:ascii="Arial" w:cs="Arial" w:eastAsia="Arial" w:hAnsi="Arial"/>
          <w:sz w:val="18"/>
          <w:szCs w:val="18"/>
          <w:b w:val="1"/>
          <w:bCs w:val="1"/>
          <w:i w:val="1"/>
          <w:iCs w:val="1"/>
          <w:color w:val="auto"/>
        </w:rPr>
        <w:t>2024 Annual Report</w:t>
      </w:r>
      <w:r>
        <w:rPr>
          <w:rFonts w:ascii="Arial" w:cs="Arial" w:eastAsia="Arial" w:hAnsi="Arial"/>
          <w:sz w:val="18"/>
          <w:szCs w:val="18"/>
          <w:i w:val="1"/>
          <w:iCs w:val="1"/>
          <w:color w:val="auto"/>
        </w:rPr>
        <w:t>”). This proxy statement also includes several website addresses and references to additional materials found on those websites. These websites and materials are not incorporated by reference herein.</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00C08A"/>
              </w:rPr>
              <w:t>​</w:t>
            </w:r>
          </w:p>
        </w:tc>
        <w:tc>
          <w:tcPr>
            <w:tcW w:w="120" w:type="dxa"/>
            <w:vAlign w:val="bottom"/>
          </w:tcPr>
          <w:p>
            <w:pPr>
              <w:spacing w:after="0"/>
              <w:rPr>
                <w:sz w:val="20"/>
                <w:szCs w:val="20"/>
                <w:color w:val="auto"/>
              </w:rPr>
            </w:pPr>
            <w:r>
              <w:rPr>
                <w:rFonts w:ascii="Arial" w:cs="Arial" w:eastAsia="Arial" w:hAnsi="Arial"/>
                <w:sz w:val="20"/>
                <w:szCs w:val="20"/>
                <w:color w:val="00C08A"/>
              </w:rPr>
              <w:t>​</w:t>
            </w:r>
          </w:p>
        </w:tc>
        <w:tc>
          <w:tcPr>
            <w:tcW w:w="180" w:type="dxa"/>
            <w:vAlign w:val="bottom"/>
          </w:tcPr>
          <w:p>
            <w:pPr>
              <w:ind w:left="60"/>
              <w:spacing w:after="0"/>
              <w:rPr>
                <w:sz w:val="20"/>
                <w:szCs w:val="20"/>
                <w:color w:val="auto"/>
              </w:rPr>
            </w:pPr>
            <w:r>
              <w:rPr>
                <w:rFonts w:ascii="Arial" w:cs="Arial" w:eastAsia="Arial" w:hAnsi="Arial"/>
                <w:sz w:val="20"/>
                <w:szCs w:val="20"/>
                <w:color w:val="00C08A"/>
              </w:rPr>
              <w:t>​</w:t>
            </w:r>
          </w:p>
        </w:tc>
        <w:tc>
          <w:tcPr>
            <w:tcW w:w="2080" w:type="dxa"/>
            <w:vAlign w:val="bottom"/>
            <w:vMerge w:val="restart"/>
          </w:tcPr>
          <w:p>
            <w:pPr>
              <w:ind w:left="80"/>
              <w:spacing w:after="0"/>
              <w:rPr>
                <w:sz w:val="20"/>
                <w:szCs w:val="20"/>
                <w:color w:val="auto"/>
              </w:rPr>
            </w:pPr>
            <w:r>
              <w:rPr>
                <w:rFonts w:ascii="Arial" w:cs="Arial" w:eastAsia="Arial" w:hAnsi="Arial"/>
                <w:sz w:val="20"/>
                <w:szCs w:val="20"/>
                <w:color w:val="002453"/>
              </w:rPr>
              <w:t>Monday, June 2, 2025</w:t>
            </w:r>
          </w:p>
        </w:tc>
        <w:tc>
          <w:tcPr>
            <w:tcW w:w="420" w:type="dxa"/>
            <w:vAlign w:val="bottom"/>
          </w:tcPr>
          <w:p>
            <w:pPr>
              <w:ind w:left="100"/>
              <w:spacing w:after="0"/>
              <w:rPr>
                <w:sz w:val="20"/>
                <w:szCs w:val="20"/>
                <w:color w:val="auto"/>
              </w:rPr>
            </w:pPr>
            <w:r>
              <w:rPr>
                <w:rFonts w:ascii="Arial" w:cs="Arial" w:eastAsia="Arial" w:hAnsi="Arial"/>
                <w:sz w:val="20"/>
                <w:szCs w:val="20"/>
                <w:color w:val="00C08A"/>
              </w:rPr>
              <w:t>​  ​</w:t>
            </w:r>
          </w:p>
        </w:tc>
        <w:tc>
          <w:tcPr>
            <w:tcW w:w="1240" w:type="dxa"/>
            <w:vAlign w:val="bottom"/>
            <w:vMerge w:val="restart"/>
          </w:tcPr>
          <w:p>
            <w:pPr>
              <w:ind w:left="60"/>
              <w:spacing w:after="0"/>
              <w:rPr>
                <w:sz w:val="20"/>
                <w:szCs w:val="20"/>
                <w:color w:val="auto"/>
              </w:rPr>
            </w:pPr>
            <w:r>
              <w:rPr>
                <w:rFonts w:ascii="Arial" w:cs="Arial" w:eastAsia="Arial" w:hAnsi="Arial"/>
                <w:sz w:val="20"/>
                <w:szCs w:val="20"/>
                <w:b w:val="1"/>
                <w:bCs w:val="1"/>
                <w:color w:val="00C08A"/>
              </w:rPr>
              <w:t>LOCATION</w:t>
            </w:r>
          </w:p>
        </w:tc>
        <w:tc>
          <w:tcPr>
            <w:tcW w:w="340" w:type="dxa"/>
            <w:vAlign w:val="bottom"/>
          </w:tcPr>
          <w:p>
            <w:pPr>
              <w:ind w:left="20"/>
              <w:spacing w:after="0"/>
              <w:rPr>
                <w:sz w:val="20"/>
                <w:szCs w:val="20"/>
                <w:color w:val="auto"/>
              </w:rPr>
            </w:pPr>
            <w:r>
              <w:rPr>
                <w:rFonts w:ascii="Arial" w:cs="Arial" w:eastAsia="Arial" w:hAnsi="Arial"/>
                <w:sz w:val="20"/>
                <w:szCs w:val="20"/>
                <w:color w:val="00C08A"/>
              </w:rPr>
              <w:t>​  ​</w:t>
            </w:r>
          </w:p>
        </w:tc>
        <w:tc>
          <w:tcPr>
            <w:tcW w:w="4140" w:type="dxa"/>
            <w:vAlign w:val="bottom"/>
            <w:vMerge w:val="restart"/>
          </w:tcPr>
          <w:p>
            <w:pPr>
              <w:ind w:left="60"/>
              <w:spacing w:after="0"/>
              <w:rPr>
                <w:sz w:val="20"/>
                <w:szCs w:val="20"/>
                <w:color w:val="auto"/>
              </w:rPr>
            </w:pPr>
            <w:r>
              <w:rPr>
                <w:rFonts w:ascii="Arial" w:cs="Arial" w:eastAsia="Arial" w:hAnsi="Arial"/>
                <w:sz w:val="20"/>
                <w:szCs w:val="20"/>
                <w:color w:val="002453"/>
              </w:rPr>
              <w:t>Virtual Annual Meeting accessible at</w:t>
            </w:r>
          </w:p>
        </w:tc>
        <w:tc>
          <w:tcPr>
            <w:tcW w:w="100" w:type="dxa"/>
            <w:vAlign w:val="bottom"/>
          </w:tcPr>
          <w:p>
            <w:pPr>
              <w:ind w:left="40"/>
              <w:spacing w:after="0"/>
              <w:rPr>
                <w:sz w:val="20"/>
                <w:szCs w:val="20"/>
                <w:color w:val="auto"/>
              </w:rPr>
            </w:pPr>
            <w:r>
              <w:rPr>
                <w:rFonts w:ascii="Arial" w:cs="Arial" w:eastAsia="Arial" w:hAnsi="Arial"/>
                <w:sz w:val="20"/>
                <w:szCs w:val="20"/>
                <w:color w:val="00C08A"/>
              </w:rPr>
              <w:t>​</w:t>
            </w:r>
          </w:p>
        </w:tc>
        <w:tc>
          <w:tcPr>
            <w:tcW w:w="0" w:type="dxa"/>
            <w:vAlign w:val="bottom"/>
          </w:tcPr>
          <w:p>
            <w:pPr>
              <w:spacing w:after="0"/>
              <w:rPr>
                <w:sz w:val="1"/>
                <w:szCs w:val="1"/>
                <w:color w:val="auto"/>
              </w:rPr>
            </w:pPr>
          </w:p>
        </w:tc>
      </w:tr>
      <w:tr>
        <w:trPr>
          <w:trHeight w:val="57"/>
        </w:trPr>
        <w:tc>
          <w:tcPr>
            <w:tcW w:w="600" w:type="dxa"/>
            <w:vAlign w:val="bottom"/>
          </w:tcPr>
          <w:p>
            <w:pPr>
              <w:ind w:left="20"/>
              <w:spacing w:after="0"/>
              <w:rPr>
                <w:sz w:val="20"/>
                <w:szCs w:val="20"/>
                <w:color w:val="auto"/>
              </w:rPr>
            </w:pPr>
            <w:r>
              <w:rPr>
                <w:rFonts w:ascii="Arial" w:cs="Arial" w:eastAsia="Arial" w:hAnsi="Arial"/>
                <w:sz w:val="5"/>
                <w:szCs w:val="5"/>
                <w:b w:val="1"/>
                <w:bCs w:val="1"/>
                <w:color w:val="00C08A"/>
              </w:rPr>
              <w:t>DATE:</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20" w:type="dxa"/>
            <w:vAlign w:val="bottom"/>
            <w:gridSpan w:val="2"/>
          </w:tcPr>
          <w:p>
            <w:pPr>
              <w:spacing w:after="0"/>
              <w:rPr>
                <w:sz w:val="20"/>
                <w:szCs w:val="20"/>
                <w:color w:val="auto"/>
              </w:rPr>
            </w:pPr>
            <w:r>
              <w:rPr>
                <w:rFonts w:ascii="Arial" w:cs="Arial" w:eastAsia="Arial" w:hAnsi="Arial"/>
                <w:sz w:val="20"/>
                <w:szCs w:val="20"/>
                <w:b w:val="1"/>
                <w:bCs w:val="1"/>
                <w:color w:val="002453"/>
              </w:rPr>
              <w:t>​</w:t>
            </w:r>
            <w:r>
              <w:rPr>
                <w:rFonts w:ascii="Arial" w:cs="Arial" w:eastAsia="Arial" w:hAnsi="Arial"/>
                <w:sz w:val="20"/>
                <w:szCs w:val="20"/>
                <w:b w:val="1"/>
                <w:bCs w:val="1"/>
                <w:color w:val="00C08A"/>
              </w:rPr>
              <w:t>TIME:</w:t>
            </w:r>
            <w:r>
              <w:rPr>
                <w:rFonts w:ascii="Arial" w:cs="Arial" w:eastAsia="Arial" w:hAnsi="Arial"/>
                <w:sz w:val="20"/>
                <w:szCs w:val="20"/>
                <w:b w:val="1"/>
                <w:bCs w:val="1"/>
                <w:color w:val="002453"/>
              </w:rPr>
              <w:t xml:space="preserve"> ​</w:t>
            </w:r>
          </w:p>
        </w:tc>
        <w:tc>
          <w:tcPr>
            <w:tcW w:w="180" w:type="dxa"/>
            <w:vAlign w:val="bottom"/>
          </w:tcPr>
          <w:p>
            <w:pPr>
              <w:ind w:left="60"/>
              <w:spacing w:after="0"/>
              <w:rPr>
                <w:sz w:val="20"/>
                <w:szCs w:val="20"/>
                <w:color w:val="auto"/>
              </w:rPr>
            </w:pPr>
            <w:r>
              <w:rPr>
                <w:rFonts w:ascii="Arial" w:cs="Arial" w:eastAsia="Arial" w:hAnsi="Arial"/>
                <w:sz w:val="20"/>
                <w:szCs w:val="20"/>
                <w:b w:val="1"/>
                <w:bCs w:val="1"/>
                <w:color w:val="002453"/>
              </w:rPr>
              <w:t>​</w:t>
            </w:r>
          </w:p>
        </w:tc>
        <w:tc>
          <w:tcPr>
            <w:tcW w:w="2500" w:type="dxa"/>
            <w:vAlign w:val="bottom"/>
            <w:gridSpan w:val="2"/>
          </w:tcPr>
          <w:p>
            <w:pPr>
              <w:ind w:left="80"/>
              <w:spacing w:after="0"/>
              <w:rPr>
                <w:sz w:val="20"/>
                <w:szCs w:val="20"/>
                <w:color w:val="auto"/>
              </w:rPr>
            </w:pPr>
            <w:r>
              <w:rPr>
                <w:rFonts w:ascii="Arial" w:cs="Arial" w:eastAsia="Arial" w:hAnsi="Arial"/>
                <w:sz w:val="20"/>
                <w:szCs w:val="20"/>
                <w:color w:val="002453"/>
              </w:rPr>
              <w:t xml:space="preserve">9:00 AM (Eastern Time) </w:t>
            </w:r>
            <w:r>
              <w:rPr>
                <w:rFonts w:ascii="Arial" w:cs="Arial" w:eastAsia="Arial" w:hAnsi="Arial"/>
                <w:sz w:val="20"/>
                <w:szCs w:val="20"/>
                <w:b w:val="1"/>
                <w:bCs w:val="1"/>
                <w:color w:val="002453"/>
              </w:rPr>
              <w:t>​</w:t>
            </w:r>
          </w:p>
        </w:tc>
        <w:tc>
          <w:tcPr>
            <w:tcW w:w="1240" w:type="dxa"/>
            <w:vAlign w:val="bottom"/>
          </w:tcPr>
          <w:p>
            <w:pPr>
              <w:ind w:left="60"/>
              <w:spacing w:after="0"/>
              <w:rPr>
                <w:sz w:val="20"/>
                <w:szCs w:val="20"/>
                <w:color w:val="auto"/>
              </w:rPr>
            </w:pPr>
            <w:r>
              <w:rPr>
                <w:rFonts w:ascii="Arial" w:cs="Arial" w:eastAsia="Arial" w:hAnsi="Arial"/>
                <w:sz w:val="20"/>
                <w:szCs w:val="20"/>
                <w:b w:val="1"/>
                <w:bCs w:val="1"/>
                <w:color w:val="00C08A"/>
                <w:w w:val="98"/>
              </w:rPr>
              <w:t>OF ANNUAL</w:t>
            </w:r>
          </w:p>
        </w:tc>
        <w:tc>
          <w:tcPr>
            <w:tcW w:w="340" w:type="dxa"/>
            <w:vAlign w:val="bottom"/>
          </w:tcPr>
          <w:p>
            <w:pPr>
              <w:spacing w:after="0"/>
              <w:rPr>
                <w:sz w:val="19"/>
                <w:szCs w:val="19"/>
                <w:color w:val="auto"/>
              </w:rPr>
            </w:pPr>
          </w:p>
        </w:tc>
        <w:tc>
          <w:tcPr>
            <w:tcW w:w="4140" w:type="dxa"/>
            <w:vAlign w:val="bottom"/>
          </w:tcPr>
          <w:p>
            <w:pPr>
              <w:ind w:left="60"/>
              <w:spacing w:after="0"/>
              <w:rPr>
                <w:sz w:val="20"/>
                <w:szCs w:val="20"/>
                <w:color w:val="auto"/>
              </w:rPr>
            </w:pPr>
            <w:r>
              <w:rPr>
                <w:rFonts w:ascii="Arial" w:cs="Arial" w:eastAsia="Arial" w:hAnsi="Arial"/>
                <w:sz w:val="20"/>
                <w:szCs w:val="20"/>
                <w:color w:val="002453"/>
                <w:w w:val="97"/>
              </w:rPr>
              <w:t>www.virtualshareholdermeeting.com/VIRT2025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ind w:left="60"/>
              <w:spacing w:after="0"/>
              <w:rPr>
                <w:sz w:val="20"/>
                <w:szCs w:val="20"/>
                <w:color w:val="auto"/>
              </w:rPr>
            </w:pPr>
            <w:r>
              <w:rPr>
                <w:rFonts w:ascii="Arial" w:cs="Arial" w:eastAsia="Arial" w:hAnsi="Arial"/>
                <w:sz w:val="20"/>
                <w:szCs w:val="20"/>
                <w:b w:val="1"/>
                <w:bCs w:val="1"/>
                <w:color w:val="00C08A"/>
              </w:rPr>
              <w:t>MEETING:</w:t>
            </w:r>
          </w:p>
        </w:tc>
        <w:tc>
          <w:tcPr>
            <w:tcW w:w="3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Voting Matters</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002453"/>
              </w:rPr>
              <w:t>Board</w:t>
            </w:r>
          </w:p>
        </w:tc>
      </w:tr>
      <w:tr>
        <w:trPr>
          <w:trHeight w:val="257"/>
        </w:trPr>
        <w:tc>
          <w:tcPr>
            <w:tcW w:w="7400" w:type="dxa"/>
            <w:vAlign w:val="bottom"/>
            <w:gridSpan w:val="2"/>
          </w:tcPr>
          <w:p>
            <w:pPr>
              <w:spacing w:after="0"/>
              <w:rPr>
                <w:sz w:val="20"/>
                <w:szCs w:val="20"/>
                <w:color w:val="auto"/>
              </w:rPr>
            </w:pPr>
            <w:r>
              <w:rPr>
                <w:rFonts w:ascii="Arial" w:cs="Arial" w:eastAsia="Arial" w:hAnsi="Arial"/>
                <w:sz w:val="18"/>
                <w:szCs w:val="18"/>
                <w:b w:val="1"/>
                <w:bCs w:val="1"/>
                <w:color w:val="002453"/>
              </w:rPr>
              <w:t>Items of Business</w:t>
            </w:r>
          </w:p>
        </w:tc>
        <w:tc>
          <w:tcPr>
            <w:tcW w:w="1840" w:type="dxa"/>
            <w:vAlign w:val="bottom"/>
            <w:gridSpan w:val="3"/>
          </w:tcPr>
          <w:p>
            <w:pPr>
              <w:ind w:left="60"/>
              <w:spacing w:after="0" w:line="256" w:lineRule="exact"/>
              <w:rPr>
                <w:sz w:val="20"/>
                <w:szCs w:val="20"/>
                <w:color w:val="auto"/>
              </w:rPr>
            </w:pPr>
            <w:r>
              <w:rPr>
                <w:rFonts w:ascii="Arial" w:cs="Arial" w:eastAsia="Arial" w:hAnsi="Arial"/>
                <w:sz w:val="29"/>
                <w:szCs w:val="29"/>
                <w:b w:val="1"/>
                <w:bCs w:val="1"/>
                <w:color w:val="002453"/>
                <w:vertAlign w:val="subscript"/>
              </w:rPr>
              <w:t>​ ​</w:t>
            </w:r>
            <w:r>
              <w:rPr>
                <w:rFonts w:ascii="Arial" w:cs="Arial" w:eastAsia="Arial" w:hAnsi="Arial"/>
                <w:sz w:val="16"/>
                <w:szCs w:val="16"/>
                <w:b w:val="1"/>
                <w:bCs w:val="1"/>
                <w:color w:val="002453"/>
              </w:rPr>
              <w:t xml:space="preserve"> Recommendation</w:t>
            </w:r>
            <w:r>
              <w:rPr>
                <w:rFonts w:ascii="Arial" w:cs="Arial" w:eastAsia="Arial" w:hAnsi="Arial"/>
                <w:sz w:val="29"/>
                <w:szCs w:val="29"/>
                <w:b w:val="1"/>
                <w:bCs w:val="1"/>
                <w:color w:val="002453"/>
                <w:vertAlign w:val="subscript"/>
              </w:rPr>
              <w:t>​</w:t>
            </w:r>
          </w:p>
        </w:tc>
      </w:tr>
      <w:tr>
        <w:trPr>
          <w:trHeight w:val="304"/>
        </w:trPr>
        <w:tc>
          <w:tcPr>
            <w:tcW w:w="7400" w:type="dxa"/>
            <w:vAlign w:val="bottom"/>
            <w:tcBorders>
              <w:top w:val="single" w:sz="8" w:color="00C08A"/>
            </w:tcBorders>
            <w:gridSpan w:val="2"/>
          </w:tcPr>
          <w:p>
            <w:pPr>
              <w:ind w:left="200"/>
              <w:spacing w:after="0" w:line="30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To elect three directors to our board of directors, each to serve as a Class I director for a</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line="228" w:lineRule="exact"/>
              <w:rPr>
                <w:sz w:val="20"/>
                <w:szCs w:val="20"/>
                <w:color w:val="auto"/>
              </w:rPr>
            </w:pPr>
            <w:r>
              <w:rPr>
                <w:rFonts w:ascii="Arial" w:cs="Arial" w:eastAsia="Arial" w:hAnsi="Arial"/>
                <w:sz w:val="26"/>
                <w:szCs w:val="26"/>
                <w:b w:val="1"/>
                <w:bCs w:val="1"/>
                <w:color w:val="00C08A"/>
              </w:rPr>
              <w:t>1</w:t>
            </w:r>
            <w:r>
              <w:rPr>
                <w:rFonts w:ascii="Arial" w:cs="Arial" w:eastAsia="Arial" w:hAnsi="Arial"/>
                <w:sz w:val="14"/>
                <w:szCs w:val="14"/>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w w:val="98"/>
              </w:rPr>
              <w:t>term of three years expiring at the annual meeting of stockholders to be held in 2028 and</w:t>
            </w:r>
          </w:p>
        </w:tc>
        <w:tc>
          <w:tcPr>
            <w:tcW w:w="340" w:type="dxa"/>
            <w:vAlign w:val="bottom"/>
          </w:tcPr>
          <w:p>
            <w:pPr>
              <w:spacing w:after="0"/>
              <w:rPr>
                <w:sz w:val="19"/>
                <w:szCs w:val="19"/>
                <w:color w:val="auto"/>
              </w:rPr>
            </w:pPr>
          </w:p>
        </w:tc>
        <w:tc>
          <w:tcPr>
            <w:tcW w:w="1500" w:type="dxa"/>
            <w:vAlign w:val="bottom"/>
            <w:gridSpan w:val="2"/>
          </w:tcPr>
          <w:p>
            <w:pPr>
              <w:ind w:left="640"/>
              <w:spacing w:after="0" w:line="228" w:lineRule="exact"/>
              <w:rPr>
                <w:sz w:val="20"/>
                <w:szCs w:val="20"/>
                <w:color w:val="auto"/>
              </w:rPr>
            </w:pPr>
            <w:r>
              <w:rPr>
                <w:rFonts w:ascii="Arial" w:cs="Arial" w:eastAsia="Arial" w:hAnsi="Arial"/>
                <w:sz w:val="22"/>
                <w:szCs w:val="22"/>
                <w:b w:val="1"/>
                <w:bCs w:val="1"/>
                <w:color w:val="002453"/>
              </w:rPr>
              <w:t>FOR</w:t>
            </w:r>
          </w:p>
        </w:tc>
      </w:tr>
      <w:tr>
        <w:trPr>
          <w:trHeight w:val="257"/>
        </w:trPr>
        <w:tc>
          <w:tcPr>
            <w:tcW w:w="340" w:type="dxa"/>
            <w:vAlign w:val="bottom"/>
          </w:tcPr>
          <w:p>
            <w:pPr>
              <w:spacing w:after="0"/>
              <w:rPr>
                <w:sz w:val="22"/>
                <w:szCs w:val="22"/>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until such director’s successor has been duly elected and qualified.</w:t>
            </w:r>
          </w:p>
        </w:tc>
        <w:tc>
          <w:tcPr>
            <w:tcW w:w="34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each Nominee</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compensation of our named executive officers as</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2</w:t>
            </w:r>
            <w:r>
              <w:rPr>
                <w:rFonts w:ascii="Arial" w:cs="Arial" w:eastAsia="Arial" w:hAnsi="Arial"/>
                <w:sz w:val="17"/>
                <w:szCs w:val="17"/>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disclosed in the accompanying proxy statement.</w:t>
            </w:r>
          </w:p>
        </w:tc>
        <w:tc>
          <w:tcPr>
            <w:tcW w:w="340" w:type="dxa"/>
            <w:vAlign w:val="bottom"/>
          </w:tcPr>
          <w:p>
            <w:pPr>
              <w:spacing w:after="0"/>
              <w:rPr>
                <w:sz w:val="24"/>
                <w:szCs w:val="24"/>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r>
              <w:rPr>
                <w:rFonts w:ascii="Arial" w:cs="Arial" w:eastAsia="Arial" w:hAnsi="Arial"/>
                <w:sz w:val="17"/>
                <w:szCs w:val="17"/>
                <w:color w:val="000000"/>
              </w:rPr>
              <w:t>​</w:t>
            </w:r>
          </w:p>
        </w:tc>
      </w:tr>
      <w:tr>
        <w:trPr>
          <w:trHeight w:val="291"/>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frequency (every one, two or three years) of future</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3</w:t>
            </w:r>
            <w:r>
              <w:rPr>
                <w:rFonts w:ascii="Arial" w:cs="Arial" w:eastAsia="Arial" w:hAnsi="Arial"/>
                <w:sz w:val="17"/>
                <w:szCs w:val="17"/>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advisory votes to approve the compensation of our named executive officers.</w:t>
            </w:r>
          </w:p>
        </w:tc>
        <w:tc>
          <w:tcPr>
            <w:tcW w:w="340" w:type="dxa"/>
            <w:vAlign w:val="bottom"/>
          </w:tcPr>
          <w:p>
            <w:pPr>
              <w:spacing w:after="0"/>
              <w:rPr>
                <w:sz w:val="24"/>
                <w:szCs w:val="24"/>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r>
              <w:rPr>
                <w:rFonts w:ascii="Arial" w:cs="Arial" w:eastAsia="Arial" w:hAnsi="Arial"/>
                <w:sz w:val="17"/>
                <w:szCs w:val="17"/>
                <w:color w:val="000000"/>
              </w:rPr>
              <w:t>​</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ratify the appointment of PricewaterhouseCoopers LLP as our independent registered</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08A"/>
              </w:rPr>
              <w:t>4</w:t>
            </w:r>
            <w:r>
              <w:rPr>
                <w:rFonts w:ascii="Arial" w:cs="Arial" w:eastAsia="Arial" w:hAnsi="Arial"/>
                <w:sz w:val="17"/>
                <w:szCs w:val="17"/>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public accounting firm for the fiscal year ending December 31, 2025.</w:t>
            </w:r>
          </w:p>
        </w:tc>
        <w:tc>
          <w:tcPr>
            <w:tcW w:w="340" w:type="dxa"/>
            <w:vAlign w:val="bottom"/>
          </w:tcPr>
          <w:p>
            <w:pPr>
              <w:spacing w:after="0"/>
              <w:rPr>
                <w:sz w:val="24"/>
                <w:szCs w:val="24"/>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r>
              <w:rPr>
                <w:rFonts w:ascii="Arial" w:cs="Arial" w:eastAsia="Arial" w:hAnsi="Arial"/>
                <w:sz w:val="17"/>
                <w:szCs w:val="17"/>
                <w:color w:val="000000"/>
              </w:rPr>
              <w:t>​</w:t>
            </w:r>
          </w:p>
        </w:tc>
      </w:tr>
      <w:tr>
        <w:trPr>
          <w:trHeight w:val="290"/>
        </w:trPr>
        <w:tc>
          <w:tcPr>
            <w:tcW w:w="7400" w:type="dxa"/>
            <w:vAlign w:val="bottom"/>
            <w:tcBorders>
              <w:top w:val="single" w:sz="8" w:color="00C08A"/>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the Second Amended Plan to increase the number of shares authorized for</w:t>
            </w:r>
          </w:p>
        </w:tc>
        <w:tc>
          <w:tcPr>
            <w:tcW w:w="340" w:type="dxa"/>
            <w:vAlign w:val="bottom"/>
            <w:tcBorders>
              <w:top w:val="single" w:sz="8" w:color="00C08A"/>
            </w:tcBorders>
          </w:tcPr>
          <w:p>
            <w:pPr>
              <w:ind w:left="6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08A"/>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69"/>
        </w:trPr>
        <w:tc>
          <w:tcPr>
            <w:tcW w:w="340" w:type="dxa"/>
            <w:vAlign w:val="bottom"/>
          </w:tcPr>
          <w:p>
            <w:pPr>
              <w:spacing w:after="0" w:line="269" w:lineRule="exact"/>
              <w:rPr>
                <w:sz w:val="20"/>
                <w:szCs w:val="20"/>
                <w:color w:val="auto"/>
              </w:rPr>
            </w:pPr>
            <w:r>
              <w:rPr>
                <w:rFonts w:ascii="Arial" w:cs="Arial" w:eastAsia="Arial" w:hAnsi="Arial"/>
                <w:sz w:val="31"/>
                <w:szCs w:val="31"/>
                <w:b w:val="1"/>
                <w:bCs w:val="1"/>
                <w:color w:val="00C08A"/>
              </w:rPr>
              <w:t>5</w:t>
            </w:r>
            <w:r>
              <w:rPr>
                <w:rFonts w:ascii="Arial" w:cs="Arial" w:eastAsia="Arial" w:hAnsi="Arial"/>
                <w:sz w:val="15"/>
                <w:szCs w:val="15"/>
                <w:color w:val="000000"/>
              </w:rPr>
              <w:t>​</w:t>
            </w:r>
          </w:p>
        </w:tc>
        <w:tc>
          <w:tcPr>
            <w:tcW w:w="7060" w:type="dxa"/>
            <w:vAlign w:val="bottom"/>
          </w:tcPr>
          <w:p>
            <w:pPr>
              <w:ind w:left="80"/>
              <w:spacing w:after="0"/>
              <w:rPr>
                <w:sz w:val="20"/>
                <w:szCs w:val="20"/>
                <w:color w:val="auto"/>
              </w:rPr>
            </w:pPr>
            <w:r>
              <w:rPr>
                <w:rFonts w:ascii="Arial" w:cs="Arial" w:eastAsia="Arial" w:hAnsi="Arial"/>
                <w:sz w:val="18"/>
                <w:szCs w:val="18"/>
                <w:color w:val="auto"/>
              </w:rPr>
              <w:t>issuance thereunder, extend the expiration date thereof and remove certain provisions</w:t>
            </w:r>
          </w:p>
        </w:tc>
        <w:tc>
          <w:tcPr>
            <w:tcW w:w="340" w:type="dxa"/>
            <w:vAlign w:val="bottom"/>
          </w:tcPr>
          <w:p>
            <w:pPr>
              <w:spacing w:after="0"/>
              <w:rPr>
                <w:sz w:val="23"/>
                <w:szCs w:val="23"/>
                <w:color w:val="auto"/>
              </w:rPr>
            </w:pPr>
          </w:p>
        </w:tc>
        <w:tc>
          <w:tcPr>
            <w:tcW w:w="1500" w:type="dxa"/>
            <w:vAlign w:val="bottom"/>
            <w:gridSpan w:val="2"/>
          </w:tcPr>
          <w:p>
            <w:pPr>
              <w:ind w:left="640"/>
              <w:spacing w:after="0"/>
              <w:rPr>
                <w:sz w:val="20"/>
                <w:szCs w:val="20"/>
                <w:color w:val="auto"/>
              </w:rPr>
            </w:pPr>
            <w:r>
              <w:rPr>
                <w:rFonts w:ascii="Arial" w:cs="Arial" w:eastAsia="Arial" w:hAnsi="Arial"/>
                <w:sz w:val="22"/>
                <w:szCs w:val="22"/>
                <w:b w:val="1"/>
                <w:bCs w:val="1"/>
                <w:color w:val="002453"/>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5574665</wp:posOffset>
            </wp:positionH>
            <wp:positionV relativeFrom="paragraph">
              <wp:posOffset>-2202180</wp:posOffset>
            </wp:positionV>
            <wp:extent cx="18859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19748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-1696085</wp:posOffset>
            </wp:positionV>
            <wp:extent cx="18859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-1216025</wp:posOffset>
            </wp:positionV>
            <wp:extent cx="188595"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-735965</wp:posOffset>
            </wp:positionV>
            <wp:extent cx="188595"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-255905</wp:posOffset>
            </wp:positionV>
            <wp:extent cx="188595"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9685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related to Section 162(m) of the Code that are no longer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40640</wp:posOffset>
            </wp:positionV>
            <wp:extent cx="5829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How to Vote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154940</wp:posOffset>
            </wp:positionV>
            <wp:extent cx="29972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9720" cy="24892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137795</wp:posOffset>
            </wp:positionV>
            <wp:extent cx="179705"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705" cy="26606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120650</wp:posOffset>
            </wp:positionV>
            <wp:extent cx="282575" cy="282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137795</wp:posOffset>
            </wp:positionV>
            <wp:extent cx="282575"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color w:val="auto"/>
              </w:rPr>
              <w:t>​</w:t>
            </w:r>
          </w:p>
        </w:tc>
        <w:tc>
          <w:tcPr>
            <w:tcW w:w="15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4"/>
                <w:szCs w:val="14"/>
                <w:color w:val="auto"/>
              </w:rPr>
            </w:pPr>
          </w:p>
        </w:tc>
        <w:tc>
          <w:tcPr>
            <w:tcW w:w="2660" w:type="dxa"/>
            <w:vAlign w:val="bottom"/>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261"/>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ind w:left="360"/>
              <w:spacing w:after="0"/>
              <w:rPr>
                <w:sz w:val="20"/>
                <w:szCs w:val="20"/>
                <w:color w:val="auto"/>
              </w:rPr>
            </w:pPr>
            <w:r>
              <w:rPr>
                <w:rFonts w:ascii="Arial" w:cs="Arial" w:eastAsia="Arial" w:hAnsi="Arial"/>
                <w:sz w:val="16"/>
                <w:szCs w:val="16"/>
                <w:b w:val="1"/>
                <w:bCs w:val="1"/>
                <w:color w:val="auto"/>
              </w:rPr>
              <w:t>INTERNET</w:t>
            </w:r>
          </w:p>
        </w:tc>
        <w:tc>
          <w:tcPr>
            <w:tcW w:w="5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8"/>
              </w:rPr>
              <w:t>TELEPHONE</w:t>
            </w:r>
          </w:p>
        </w:tc>
        <w:tc>
          <w:tcPr>
            <w:tcW w:w="5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MAIL</w:t>
            </w:r>
          </w:p>
        </w:tc>
        <w:tc>
          <w:tcPr>
            <w:tcW w:w="2740" w:type="dxa"/>
            <w:vAlign w:val="bottom"/>
            <w:gridSpan w:val="2"/>
          </w:tcPr>
          <w:p>
            <w:pPr>
              <w:jc w:val="center"/>
              <w:ind w:left="327"/>
              <w:spacing w:after="0" w:line="261"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VIRTUAL ANNUAL MEETING </w:t>
            </w:r>
            <w:r>
              <w:rPr>
                <w:rFonts w:ascii="Arial" w:cs="Arial" w:eastAsia="Arial" w:hAnsi="Arial"/>
                <w:sz w:val="30"/>
                <w:szCs w:val="30"/>
                <w:b w:val="1"/>
                <w:bCs w:val="1"/>
                <w:color w:val="auto"/>
                <w:vertAlign w:val="superscript"/>
              </w:rPr>
              <w:t>​</w:t>
            </w:r>
          </w:p>
        </w:tc>
      </w:tr>
      <w:tr>
        <w:trPr>
          <w:trHeight w:val="216"/>
        </w:trPr>
        <w:tc>
          <w:tcPr>
            <w:tcW w:w="9140" w:type="dxa"/>
            <w:vAlign w:val="bottom"/>
            <w:gridSpan w:val="7"/>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Visit www.proxyvote.com to vote via </w:t>
            </w:r>
            <w:r>
              <w:rPr>
                <w:rFonts w:ascii="Arial" w:cs="Arial" w:eastAsia="Arial" w:hAnsi="Arial"/>
                <w:sz w:val="25"/>
                <w:szCs w:val="25"/>
                <w:color w:val="auto"/>
                <w:vertAlign w:val="superscript"/>
              </w:rPr>
              <w:t>​​</w:t>
            </w:r>
            <w:r>
              <w:rPr>
                <w:rFonts w:ascii="Arial" w:cs="Arial" w:eastAsia="Arial" w:hAnsi="Arial"/>
                <w:sz w:val="13"/>
                <w:szCs w:val="13"/>
                <w:color w:val="auto"/>
              </w:rPr>
              <w:t xml:space="preserve">Call toll-free 1-800-690-6903 in the </w:t>
            </w:r>
            <w:r>
              <w:rPr>
                <w:rFonts w:ascii="Arial" w:cs="Arial" w:eastAsia="Arial" w:hAnsi="Arial"/>
                <w:sz w:val="25"/>
                <w:szCs w:val="25"/>
                <w:color w:val="auto"/>
                <w:vertAlign w:val="superscript"/>
              </w:rPr>
              <w:t>​​</w:t>
            </w:r>
            <w:r>
              <w:rPr>
                <w:rFonts w:ascii="Arial" w:cs="Arial" w:eastAsia="Arial" w:hAnsi="Arial"/>
                <w:sz w:val="13"/>
                <w:szCs w:val="13"/>
                <w:color w:val="auto"/>
              </w:rPr>
              <w:t xml:space="preserve">Follow the instructions in your proxy </w:t>
            </w:r>
            <w:r>
              <w:rPr>
                <w:rFonts w:ascii="Arial" w:cs="Arial" w:eastAsia="Arial" w:hAnsi="Arial"/>
                <w:sz w:val="25"/>
                <w:szCs w:val="25"/>
                <w:color w:val="auto"/>
                <w:vertAlign w:val="superscript"/>
              </w:rPr>
              <w:t>​​</w:t>
            </w:r>
            <w:r>
              <w:rPr>
                <w:rFonts w:ascii="Arial" w:cs="Arial" w:eastAsia="Arial" w:hAnsi="Arial"/>
                <w:sz w:val="13"/>
                <w:szCs w:val="13"/>
                <w:color w:val="auto"/>
              </w:rPr>
              <w:t xml:space="preserve"> All stockholders as of the close of</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r>
      <w:tr>
        <w:trPr>
          <w:trHeight w:val="176"/>
        </w:trPr>
        <w:tc>
          <w:tcPr>
            <w:tcW w:w="38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Arial" w:cs="Arial" w:eastAsia="Arial" w:hAnsi="Arial"/>
                <w:sz w:val="14"/>
                <w:szCs w:val="14"/>
                <w:color w:val="auto"/>
              </w:rPr>
              <w:t>the Internet.</w:t>
            </w:r>
          </w:p>
        </w:tc>
        <w:tc>
          <w:tcPr>
            <w:tcW w:w="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United States or from foreign</w:t>
            </w:r>
          </w:p>
        </w:tc>
        <w:tc>
          <w:tcPr>
            <w:tcW w:w="5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materials.</w:t>
            </w: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business on the Record Date can</w:t>
            </w:r>
          </w:p>
        </w:tc>
        <w:tc>
          <w:tcPr>
            <w:tcW w:w="80" w:type="dxa"/>
            <w:vAlign w:val="bottom"/>
          </w:tcPr>
          <w:p>
            <w:pPr>
              <w:spacing w:after="0"/>
              <w:rPr>
                <w:sz w:val="15"/>
                <w:szCs w:val="15"/>
                <w:color w:val="auto"/>
              </w:rPr>
            </w:pPr>
          </w:p>
        </w:tc>
      </w:tr>
      <w:tr>
        <w:trPr>
          <w:trHeight w:val="162"/>
        </w:trPr>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countries from any touch-tone</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vote electronically at the virtual</w:t>
            </w:r>
          </w:p>
        </w:tc>
        <w:tc>
          <w:tcPr>
            <w:tcW w:w="80" w:type="dxa"/>
            <w:vAlign w:val="bottom"/>
          </w:tcPr>
          <w:p>
            <w:pPr>
              <w:spacing w:after="0"/>
              <w:rPr>
                <w:sz w:val="14"/>
                <w:szCs w:val="14"/>
                <w:color w:val="auto"/>
              </w:rPr>
            </w:pPr>
          </w:p>
        </w:tc>
      </w:tr>
      <w:tr>
        <w:trPr>
          <w:trHeight w:val="175"/>
        </w:trPr>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telephone and follow the</w:t>
            </w: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60" w:type="dxa"/>
            <w:vAlign w:val="bottom"/>
          </w:tcPr>
          <w:p>
            <w:pPr>
              <w:jc w:val="center"/>
              <w:ind w:left="407"/>
              <w:spacing w:after="0"/>
              <w:rPr>
                <w:sz w:val="20"/>
                <w:szCs w:val="20"/>
                <w:color w:val="auto"/>
              </w:rPr>
            </w:pPr>
            <w:r>
              <w:rPr>
                <w:rFonts w:ascii="Arial" w:cs="Arial" w:eastAsia="Arial" w:hAnsi="Arial"/>
                <w:sz w:val="14"/>
                <w:szCs w:val="14"/>
                <w:color w:val="auto"/>
              </w:rPr>
              <w:t>Annual Meeting.</w:t>
            </w:r>
          </w:p>
        </w:tc>
        <w:tc>
          <w:tcPr>
            <w:tcW w:w="80" w:type="dxa"/>
            <w:vAlign w:val="bottom"/>
          </w:tcPr>
          <w:p>
            <w:pPr>
              <w:spacing w:after="0"/>
              <w:rPr>
                <w:sz w:val="15"/>
                <w:szCs w:val="15"/>
                <w:color w:val="auto"/>
              </w:rPr>
            </w:pPr>
          </w:p>
        </w:tc>
      </w:tr>
      <w:tr>
        <w:trPr>
          <w:trHeight w:val="190"/>
        </w:trPr>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instructions.</w:t>
            </w: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The following table sets forth certain information about our directors and executive officers as of the date of this proxy statement.</w:t>
      </w: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Director or</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02453"/>
              </w:rPr>
              <w:t>​</w:t>
            </w:r>
          </w:p>
        </w:tc>
        <w:tc>
          <w:tcPr>
            <w:tcW w:w="240" w:type="dxa"/>
            <w:vAlign w:val="bottom"/>
          </w:tcPr>
          <w:p>
            <w:pPr>
              <w:spacing w:after="0"/>
              <w:rPr>
                <w:sz w:val="14"/>
                <w:szCs w:val="14"/>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b w:val="1"/>
                <w:bCs w:val="1"/>
                <w:color w:val="002453"/>
              </w:rPr>
              <w:t>Committee Membership</w:t>
            </w:r>
          </w:p>
        </w:tc>
        <w:tc>
          <w:tcPr>
            <w:tcW w:w="32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77"/>
        </w:trPr>
        <w:tc>
          <w:tcPr>
            <w:tcW w:w="13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002453"/>
              </w:rPr>
              <w:t>Officer</w:t>
            </w: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Borders>
              <w:bottom w:val="single" w:sz="8" w:color="00C08A"/>
            </w:tcBorders>
            <w:vMerge w:val="continue"/>
          </w:tcPr>
          <w:p>
            <w:pPr>
              <w:spacing w:after="0"/>
              <w:rPr>
                <w:sz w:val="6"/>
                <w:szCs w:val="6"/>
                <w:color w:val="auto"/>
              </w:rPr>
            </w:pPr>
          </w:p>
        </w:tc>
        <w:tc>
          <w:tcPr>
            <w:tcW w:w="240" w:type="dxa"/>
            <w:vAlign w:val="bottom"/>
            <w:tcBorders>
              <w:bottom w:val="single" w:sz="8" w:color="00C08A"/>
            </w:tcBorders>
          </w:tcPr>
          <w:p>
            <w:pPr>
              <w:spacing w:after="0"/>
              <w:rPr>
                <w:sz w:val="6"/>
                <w:szCs w:val="6"/>
                <w:color w:val="auto"/>
              </w:rPr>
            </w:pPr>
          </w:p>
        </w:tc>
        <w:tc>
          <w:tcPr>
            <w:tcW w:w="340" w:type="dxa"/>
            <w:vAlign w:val="bottom"/>
            <w:tcBorders>
              <w:bottom w:val="single" w:sz="8" w:color="00C08A"/>
            </w:tcBorders>
          </w:tcPr>
          <w:p>
            <w:pPr>
              <w:spacing w:after="0"/>
              <w:rPr>
                <w:sz w:val="6"/>
                <w:szCs w:val="6"/>
                <w:color w:val="auto"/>
              </w:rPr>
            </w:pPr>
          </w:p>
        </w:tc>
        <w:tc>
          <w:tcPr>
            <w:tcW w:w="200" w:type="dxa"/>
            <w:vAlign w:val="bottom"/>
            <w:tcBorders>
              <w:bottom w:val="single" w:sz="8" w:color="00C08A"/>
            </w:tcBorders>
          </w:tcPr>
          <w:p>
            <w:pPr>
              <w:spacing w:after="0"/>
              <w:rPr>
                <w:sz w:val="6"/>
                <w:szCs w:val="6"/>
                <w:color w:val="auto"/>
              </w:rPr>
            </w:pPr>
          </w:p>
        </w:tc>
        <w:tc>
          <w:tcPr>
            <w:tcW w:w="500" w:type="dxa"/>
            <w:vAlign w:val="bottom"/>
            <w:tcBorders>
              <w:bottom w:val="single" w:sz="8" w:color="00C08A"/>
            </w:tcBorders>
          </w:tcPr>
          <w:p>
            <w:pPr>
              <w:spacing w:after="0"/>
              <w:rPr>
                <w:sz w:val="6"/>
                <w:szCs w:val="6"/>
                <w:color w:val="auto"/>
              </w:rPr>
            </w:pPr>
          </w:p>
        </w:tc>
        <w:tc>
          <w:tcPr>
            <w:tcW w:w="540" w:type="dxa"/>
            <w:vAlign w:val="bottom"/>
            <w:tcBorders>
              <w:bottom w:val="single" w:sz="8" w:color="00C08A"/>
            </w:tcBorders>
          </w:tcPr>
          <w:p>
            <w:pPr>
              <w:spacing w:after="0"/>
              <w:rPr>
                <w:sz w:val="6"/>
                <w:szCs w:val="6"/>
                <w:color w:val="auto"/>
              </w:rPr>
            </w:pPr>
          </w:p>
        </w:tc>
        <w:tc>
          <w:tcPr>
            <w:tcW w:w="520" w:type="dxa"/>
            <w:vAlign w:val="bottom"/>
            <w:tcBorders>
              <w:bottom w:val="single" w:sz="8" w:color="00C08A"/>
            </w:tcBorders>
          </w:tcPr>
          <w:p>
            <w:pPr>
              <w:spacing w:after="0"/>
              <w:rPr>
                <w:sz w:val="6"/>
                <w:szCs w:val="6"/>
                <w:color w:val="auto"/>
              </w:rPr>
            </w:pPr>
          </w:p>
        </w:tc>
        <w:tc>
          <w:tcPr>
            <w:tcW w:w="320" w:type="dxa"/>
            <w:vAlign w:val="bottom"/>
            <w:tcBorders>
              <w:bottom w:val="single" w:sz="8" w:color="00C08A"/>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600" w:type="dxa"/>
            <w:vAlign w:val="bottom"/>
            <w:gridSpan w:val="13"/>
            <w:vMerge w:val="restart"/>
          </w:tcPr>
          <w:p>
            <w:pPr>
              <w:ind w:left="40"/>
              <w:spacing w:after="0" w:line="263" w:lineRule="exact"/>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Age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Independent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Audit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Risk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Compensation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N&amp;CG</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4"/>
                <w:szCs w:val="14"/>
                <w:b w:val="1"/>
                <w:bCs w:val="1"/>
                <w:color w:val="002453"/>
              </w:rPr>
              <w:t>Name and Primary Occupation</w:t>
            </w:r>
          </w:p>
        </w:tc>
        <w:tc>
          <w:tcPr>
            <w:tcW w:w="560" w:type="dxa"/>
            <w:vAlign w:val="bottom"/>
          </w:tcPr>
          <w:p>
            <w:pPr>
              <w:ind w:left="380"/>
              <w:spacing w:after="0"/>
              <w:rPr>
                <w:sz w:val="20"/>
                <w:szCs w:val="20"/>
                <w:color w:val="auto"/>
              </w:rPr>
            </w:pPr>
            <w:r>
              <w:rPr>
                <w:rFonts w:ascii="Arial" w:cs="Arial" w:eastAsia="Arial" w:hAnsi="Arial"/>
                <w:sz w:val="14"/>
                <w:szCs w:val="14"/>
                <w:b w:val="1"/>
                <w:bCs w:val="1"/>
                <w:color w:val="002453"/>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453"/>
              </w:rPr>
              <w:t>Since</w:t>
            </w:r>
          </w:p>
        </w:tc>
        <w:tc>
          <w:tcPr>
            <w:tcW w:w="4600" w:type="dxa"/>
            <w:vAlign w:val="bottom"/>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36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Vincent Viola</w:t>
            </w:r>
          </w:p>
        </w:tc>
        <w:tc>
          <w:tcPr>
            <w:tcW w:w="1940" w:type="dxa"/>
            <w:vAlign w:val="bottom"/>
            <w:tcBorders>
              <w:top w:val="single" w:sz="8" w:color="00C08A"/>
            </w:tcBorders>
          </w:tcPr>
          <w:p>
            <w:pPr>
              <w:spacing w:after="0"/>
              <w:rPr>
                <w:sz w:val="24"/>
                <w:szCs w:val="24"/>
                <w:color w:val="auto"/>
              </w:rPr>
            </w:pPr>
          </w:p>
        </w:tc>
        <w:tc>
          <w:tcPr>
            <w:tcW w:w="560" w:type="dxa"/>
            <w:vAlign w:val="bottom"/>
            <w:tcBorders>
              <w:top w:val="single" w:sz="8" w:color="00C08A"/>
            </w:tcBorders>
          </w:tcPr>
          <w:p>
            <w:pPr>
              <w:ind w:left="380"/>
              <w:spacing w:after="0"/>
              <w:rPr>
                <w:sz w:val="20"/>
                <w:szCs w:val="20"/>
                <w:color w:val="auto"/>
              </w:rPr>
            </w:pPr>
            <w:r>
              <w:rPr>
                <w:rFonts w:ascii="Arial" w:cs="Arial" w:eastAsia="Arial" w:hAnsi="Arial"/>
                <w:sz w:val="18"/>
                <w:szCs w:val="18"/>
                <w:color w:val="auto"/>
              </w:rPr>
              <w:t>​ ​</w:t>
            </w:r>
          </w:p>
        </w:tc>
        <w:tc>
          <w:tcPr>
            <w:tcW w:w="780" w:type="dxa"/>
            <w:vAlign w:val="bottom"/>
            <w:tcBorders>
              <w:top w:val="single" w:sz="8" w:color="00C08A"/>
            </w:tcBorders>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Borders>
              <w:top w:val="single" w:sz="8" w:color="00C08A"/>
            </w:tcBorders>
          </w:tcPr>
          <w:p>
            <w:pPr>
              <w:ind w:left="40"/>
              <w:spacing w:after="0" w:line="312"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69</w:t>
            </w:r>
          </w:p>
        </w:tc>
        <w:tc>
          <w:tcPr>
            <w:tcW w:w="420" w:type="dxa"/>
            <w:vAlign w:val="bottom"/>
            <w:tcBorders>
              <w:top w:val="single" w:sz="8" w:color="00C08A"/>
            </w:tcBorders>
          </w:tcPr>
          <w:p>
            <w:pPr>
              <w:ind w:left="40"/>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00C08A"/>
            </w:tcBorders>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00C08A"/>
            </w:tcBorders>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08A"/>
            </w:tcBorders>
          </w:tcPr>
          <w:p>
            <w:pPr>
              <w:ind w:left="100"/>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00C08A"/>
            </w:tcBorders>
          </w:tcPr>
          <w:p>
            <w:pPr>
              <w:ind w:left="80"/>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00C08A"/>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00C08A"/>
            </w:tcBorders>
          </w:tcPr>
          <w:p>
            <w:pPr>
              <w:ind w:left="260"/>
              <w:spacing w:after="0"/>
              <w:rPr>
                <w:sz w:val="20"/>
                <w:szCs w:val="20"/>
                <w:color w:val="auto"/>
              </w:rPr>
            </w:pPr>
            <w:r>
              <w:rPr>
                <w:rFonts w:ascii="Arial" w:cs="Arial" w:eastAsia="Arial" w:hAnsi="Arial"/>
                <w:sz w:val="18"/>
                <w:szCs w:val="18"/>
                <w:color w:val="auto"/>
              </w:rPr>
              <w:t>​ ​</w:t>
            </w:r>
          </w:p>
        </w:tc>
        <w:tc>
          <w:tcPr>
            <w:tcW w:w="320" w:type="dxa"/>
            <w:vAlign w:val="bottom"/>
            <w:tcBorders>
              <w:top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300" w:type="dxa"/>
            <w:vAlign w:val="bottom"/>
            <w:gridSpan w:val="2"/>
          </w:tcPr>
          <w:p>
            <w:pPr>
              <w:spacing w:after="0"/>
              <w:rPr>
                <w:sz w:val="20"/>
                <w:szCs w:val="20"/>
                <w:color w:val="auto"/>
              </w:rPr>
            </w:pPr>
            <w:r>
              <w:rPr>
                <w:rFonts w:ascii="Arial" w:cs="Arial" w:eastAsia="Arial" w:hAnsi="Arial"/>
                <w:sz w:val="18"/>
                <w:szCs w:val="18"/>
                <w:color w:val="auto"/>
              </w:rPr>
              <w:t>Founder and Chairman Emeritus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360" w:type="dxa"/>
            <w:vAlign w:val="bottom"/>
            <w:tcBorders>
              <w:bottom w:val="single" w:sz="8" w:color="00C08A"/>
            </w:tcBorders>
          </w:tcPr>
          <w:p>
            <w:pPr>
              <w:spacing w:after="0"/>
              <w:rPr>
                <w:sz w:val="13"/>
                <w:szCs w:val="13"/>
                <w:color w:val="auto"/>
              </w:rPr>
            </w:pPr>
          </w:p>
        </w:tc>
        <w:tc>
          <w:tcPr>
            <w:tcW w:w="1940" w:type="dxa"/>
            <w:vAlign w:val="bottom"/>
            <w:tcBorders>
              <w:bottom w:val="single" w:sz="8" w:color="00C08A"/>
            </w:tcBorders>
          </w:tcPr>
          <w:p>
            <w:pPr>
              <w:spacing w:after="0"/>
              <w:rPr>
                <w:sz w:val="13"/>
                <w:szCs w:val="13"/>
                <w:color w:val="auto"/>
              </w:rPr>
            </w:pPr>
          </w:p>
        </w:tc>
        <w:tc>
          <w:tcPr>
            <w:tcW w:w="560" w:type="dxa"/>
            <w:vAlign w:val="bottom"/>
            <w:tcBorders>
              <w:bottom w:val="single" w:sz="8" w:color="00C08A"/>
            </w:tcBorders>
          </w:tcPr>
          <w:p>
            <w:pPr>
              <w:spacing w:after="0"/>
              <w:rPr>
                <w:sz w:val="13"/>
                <w:szCs w:val="13"/>
                <w:color w:val="auto"/>
              </w:rPr>
            </w:pPr>
          </w:p>
        </w:tc>
        <w:tc>
          <w:tcPr>
            <w:tcW w:w="78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420" w:type="dxa"/>
            <w:vAlign w:val="bottom"/>
            <w:tcBorders>
              <w:bottom w:val="single" w:sz="8" w:color="00C08A"/>
            </w:tcBorders>
          </w:tcPr>
          <w:p>
            <w:pPr>
              <w:spacing w:after="0"/>
              <w:rPr>
                <w:sz w:val="13"/>
                <w:szCs w:val="13"/>
                <w:color w:val="auto"/>
              </w:rPr>
            </w:pPr>
          </w:p>
        </w:tc>
        <w:tc>
          <w:tcPr>
            <w:tcW w:w="480" w:type="dxa"/>
            <w:vAlign w:val="bottom"/>
            <w:tcBorders>
              <w:bottom w:val="single" w:sz="8" w:color="00C08A"/>
            </w:tcBorders>
          </w:tcPr>
          <w:p>
            <w:pPr>
              <w:spacing w:after="0"/>
              <w:rPr>
                <w:sz w:val="13"/>
                <w:szCs w:val="13"/>
                <w:color w:val="auto"/>
              </w:rPr>
            </w:pPr>
          </w:p>
        </w:tc>
        <w:tc>
          <w:tcPr>
            <w:tcW w:w="28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240" w:type="dxa"/>
            <w:vAlign w:val="bottom"/>
            <w:tcBorders>
              <w:bottom w:val="single" w:sz="8" w:color="00C08A"/>
            </w:tcBorders>
          </w:tcPr>
          <w:p>
            <w:pPr>
              <w:spacing w:after="0"/>
              <w:rPr>
                <w:sz w:val="13"/>
                <w:szCs w:val="13"/>
                <w:color w:val="auto"/>
              </w:rPr>
            </w:pPr>
          </w:p>
        </w:tc>
        <w:tc>
          <w:tcPr>
            <w:tcW w:w="34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540" w:type="dxa"/>
            <w:vAlign w:val="bottom"/>
            <w:tcBorders>
              <w:bottom w:val="single" w:sz="8" w:color="00C08A"/>
            </w:tcBorders>
          </w:tcPr>
          <w:p>
            <w:pPr>
              <w:spacing w:after="0"/>
              <w:rPr>
                <w:sz w:val="13"/>
                <w:szCs w:val="13"/>
                <w:color w:val="auto"/>
              </w:rPr>
            </w:pPr>
          </w:p>
        </w:tc>
        <w:tc>
          <w:tcPr>
            <w:tcW w:w="520" w:type="dxa"/>
            <w:vAlign w:val="bottom"/>
            <w:tcBorders>
              <w:bottom w:val="single" w:sz="8" w:color="00C08A"/>
            </w:tcBorders>
          </w:tcPr>
          <w:p>
            <w:pPr>
              <w:spacing w:after="0"/>
              <w:rPr>
                <w:sz w:val="13"/>
                <w:szCs w:val="13"/>
                <w:color w:val="auto"/>
              </w:rPr>
            </w:pPr>
          </w:p>
        </w:tc>
        <w:tc>
          <w:tcPr>
            <w:tcW w:w="320" w:type="dxa"/>
            <w:vAlign w:val="bottom"/>
            <w:tcBorders>
              <w:bottom w:val="single" w:sz="8" w:color="00C08A"/>
            </w:tcBorders>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0"/>
                <w:szCs w:val="20"/>
                <w:color w:val="auto"/>
              </w:rPr>
            </w:pPr>
            <w:r>
              <w:rPr>
                <w:rFonts w:ascii="Arial" w:cs="Arial" w:eastAsia="Arial" w:hAnsi="Arial"/>
                <w:sz w:val="18"/>
                <w:szCs w:val="18"/>
                <w:b w:val="1"/>
                <w:bCs w:val="1"/>
                <w:color w:val="auto"/>
                <w:w w:val="99"/>
              </w:rPr>
              <w:t>Douglas A. Cifu</w:t>
            </w:r>
          </w:p>
        </w:tc>
        <w:tc>
          <w:tcPr>
            <w:tcW w:w="1940" w:type="dxa"/>
            <w:vAlign w:val="bottom"/>
          </w:tcPr>
          <w:p>
            <w:pPr>
              <w:spacing w:after="0"/>
              <w:rPr>
                <w:sz w:val="21"/>
                <w:szCs w:val="21"/>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500" w:type="dxa"/>
            <w:vAlign w:val="bottom"/>
          </w:tcPr>
          <w:p>
            <w:pPr>
              <w:ind w:left="40"/>
              <w:spacing w:after="0"/>
              <w:rPr>
                <w:sz w:val="20"/>
                <w:szCs w:val="20"/>
                <w:color w:val="auto"/>
              </w:rPr>
            </w:pPr>
            <w:r>
              <w:rPr>
                <w:rFonts w:ascii="Arial" w:cs="Arial" w:eastAsia="Arial" w:hAnsi="Arial"/>
                <w:sz w:val="18"/>
                <w:szCs w:val="18"/>
                <w:color w:val="auto"/>
              </w:rPr>
              <w:t>​ ​ 59</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3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360" w:type="dxa"/>
            <w:vAlign w:val="bottom"/>
            <w:tcBorders>
              <w:bottom w:val="single" w:sz="8" w:color="00C08A"/>
            </w:tcBorders>
          </w:tcPr>
          <w:p>
            <w:pPr>
              <w:spacing w:after="0"/>
              <w:rPr>
                <w:sz w:val="7"/>
                <w:szCs w:val="7"/>
                <w:color w:val="auto"/>
              </w:rPr>
            </w:pPr>
          </w:p>
        </w:tc>
        <w:tc>
          <w:tcPr>
            <w:tcW w:w="1940" w:type="dxa"/>
            <w:vAlign w:val="bottom"/>
            <w:tcBorders>
              <w:bottom w:val="single" w:sz="8" w:color="00C08A"/>
            </w:tcBorders>
          </w:tcPr>
          <w:p>
            <w:pPr>
              <w:spacing w:after="0"/>
              <w:rPr>
                <w:sz w:val="7"/>
                <w:szCs w:val="7"/>
                <w:color w:val="auto"/>
              </w:rPr>
            </w:pPr>
          </w:p>
        </w:tc>
        <w:tc>
          <w:tcPr>
            <w:tcW w:w="560" w:type="dxa"/>
            <w:vAlign w:val="bottom"/>
            <w:tcBorders>
              <w:bottom w:val="single" w:sz="8" w:color="00C08A"/>
            </w:tcBorders>
          </w:tcPr>
          <w:p>
            <w:pPr>
              <w:spacing w:after="0"/>
              <w:rPr>
                <w:sz w:val="7"/>
                <w:szCs w:val="7"/>
                <w:color w:val="auto"/>
              </w:rPr>
            </w:pPr>
          </w:p>
        </w:tc>
        <w:tc>
          <w:tcPr>
            <w:tcW w:w="78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420" w:type="dxa"/>
            <w:vAlign w:val="bottom"/>
            <w:tcBorders>
              <w:bottom w:val="single" w:sz="8" w:color="00C08A"/>
            </w:tcBorders>
          </w:tcPr>
          <w:p>
            <w:pPr>
              <w:spacing w:after="0"/>
              <w:rPr>
                <w:sz w:val="7"/>
                <w:szCs w:val="7"/>
                <w:color w:val="auto"/>
              </w:rPr>
            </w:pPr>
          </w:p>
        </w:tc>
        <w:tc>
          <w:tcPr>
            <w:tcW w:w="48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340" w:type="dxa"/>
            <w:vAlign w:val="bottom"/>
            <w:tcBorders>
              <w:bottom w:val="single" w:sz="8" w:color="00C08A"/>
            </w:tcBorders>
          </w:tcPr>
          <w:p>
            <w:pPr>
              <w:spacing w:after="0"/>
              <w:rPr>
                <w:sz w:val="7"/>
                <w:szCs w:val="7"/>
                <w:color w:val="auto"/>
              </w:rPr>
            </w:pPr>
          </w:p>
        </w:tc>
        <w:tc>
          <w:tcPr>
            <w:tcW w:w="200" w:type="dxa"/>
            <w:vAlign w:val="bottom"/>
            <w:tcBorders>
              <w:bottom w:val="single" w:sz="8" w:color="00C08A"/>
            </w:tcBorders>
          </w:tcPr>
          <w:p>
            <w:pPr>
              <w:spacing w:after="0"/>
              <w:rPr>
                <w:sz w:val="7"/>
                <w:szCs w:val="7"/>
                <w:color w:val="auto"/>
              </w:rPr>
            </w:pPr>
          </w:p>
        </w:tc>
        <w:tc>
          <w:tcPr>
            <w:tcW w:w="5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52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Arial" w:cs="Arial" w:eastAsia="Arial" w:hAnsi="Arial"/>
                <w:sz w:val="18"/>
                <w:szCs w:val="18"/>
                <w:b w:val="1"/>
                <w:bCs w:val="1"/>
                <w:color w:val="auto"/>
                <w:w w:val="99"/>
              </w:rPr>
              <w:t>Michael T. Viola</w:t>
            </w:r>
          </w:p>
        </w:tc>
        <w:tc>
          <w:tcPr>
            <w:tcW w:w="1940" w:type="dxa"/>
            <w:vAlign w:val="bottom"/>
          </w:tcPr>
          <w:p>
            <w:pPr>
              <w:spacing w:after="0"/>
              <w:rPr>
                <w:sz w:val="22"/>
                <w:szCs w:val="22"/>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4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38</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Chairman of the Board of Directors</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William F. Cruger, Jr.</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66</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Virginia Gambale</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65</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Joseph J. Grano, Jr.</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77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Joanne M. Minieri</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64</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360" w:type="dxa"/>
            <w:vAlign w:val="bottom"/>
          </w:tcPr>
          <w:p>
            <w:pPr>
              <w:spacing w:after="0"/>
              <w:rPr>
                <w:sz w:val="20"/>
                <w:szCs w:val="20"/>
                <w:color w:val="auto"/>
              </w:rPr>
            </w:pPr>
            <w:r>
              <w:rPr>
                <w:rFonts w:ascii="Arial" w:cs="Arial" w:eastAsia="Arial" w:hAnsi="Arial"/>
                <w:sz w:val="18"/>
                <w:szCs w:val="18"/>
                <w:b w:val="1"/>
                <w:bCs w:val="1"/>
                <w:color w:val="auto"/>
              </w:rPr>
              <w:t>John D. Nixon</w:t>
            </w:r>
          </w:p>
        </w:tc>
        <w:tc>
          <w:tcPr>
            <w:tcW w:w="1940" w:type="dxa"/>
            <w:vAlign w:val="bottom"/>
          </w:tcPr>
          <w:p>
            <w:pPr>
              <w:spacing w:after="0"/>
              <w:rPr>
                <w:sz w:val="23"/>
                <w:szCs w:val="23"/>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69</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Christopher C. Quick</w:t>
            </w: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67</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360" w:type="dxa"/>
            <w:vAlign w:val="bottom"/>
          </w:tcPr>
          <w:p>
            <w:pPr>
              <w:spacing w:after="0"/>
              <w:rPr>
                <w:sz w:val="20"/>
                <w:szCs w:val="20"/>
                <w:color w:val="auto"/>
              </w:rPr>
            </w:pPr>
            <w:r>
              <w:rPr>
                <w:rFonts w:ascii="Arial" w:cs="Arial" w:eastAsia="Arial" w:hAnsi="Arial"/>
                <w:sz w:val="18"/>
                <w:szCs w:val="18"/>
                <w:b w:val="1"/>
                <w:bCs w:val="1"/>
                <w:color w:val="auto"/>
              </w:rPr>
              <w:t>David J. Urban</w:t>
            </w:r>
          </w:p>
        </w:tc>
        <w:tc>
          <w:tcPr>
            <w:tcW w:w="1940" w:type="dxa"/>
            <w:vAlign w:val="bottom"/>
          </w:tcPr>
          <w:p>
            <w:pPr>
              <w:spacing w:after="0"/>
              <w:rPr>
                <w:sz w:val="23"/>
                <w:szCs w:val="23"/>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500" w:type="dxa"/>
            <w:vAlign w:val="bottom"/>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61</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3"/>
                <w:szCs w:val="2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3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Director</w:t>
            </w:r>
          </w:p>
        </w:tc>
        <w:tc>
          <w:tcPr>
            <w:tcW w:w="1940" w:type="dxa"/>
            <w:vAlign w:val="bottom"/>
            <w:tcBorders>
              <w:bottom w:val="single" w:sz="8" w:color="00C08A"/>
            </w:tcBorders>
          </w:tcPr>
          <w:p>
            <w:pPr>
              <w:spacing w:after="0"/>
              <w:rPr>
                <w:sz w:val="21"/>
                <w:szCs w:val="21"/>
                <w:color w:val="auto"/>
              </w:rPr>
            </w:pP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60" w:type="dxa"/>
            <w:vAlign w:val="bottom"/>
          </w:tcPr>
          <w:p>
            <w:pPr>
              <w:spacing w:after="0"/>
              <w:rPr>
                <w:sz w:val="20"/>
                <w:szCs w:val="20"/>
                <w:color w:val="auto"/>
              </w:rPr>
            </w:pPr>
            <w:r>
              <w:rPr>
                <w:rFonts w:ascii="Arial" w:cs="Arial" w:eastAsia="Arial" w:hAnsi="Arial"/>
                <w:sz w:val="18"/>
                <w:szCs w:val="18"/>
                <w:b w:val="1"/>
                <w:bCs w:val="1"/>
                <w:color w:val="auto"/>
              </w:rPr>
              <w:t>Stephen Cavoli</w:t>
            </w:r>
          </w:p>
        </w:tc>
        <w:tc>
          <w:tcPr>
            <w:tcW w:w="1940" w:type="dxa"/>
            <w:vAlign w:val="bottom"/>
          </w:tcPr>
          <w:p>
            <w:pPr>
              <w:spacing w:after="0"/>
              <w:rPr>
                <w:sz w:val="22"/>
                <w:szCs w:val="22"/>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40"/>
              <w:spacing w:after="0"/>
              <w:rPr>
                <w:sz w:val="20"/>
                <w:szCs w:val="20"/>
                <w:color w:val="auto"/>
              </w:rPr>
            </w:pPr>
            <w:r>
              <w:rPr>
                <w:rFonts w:ascii="Arial" w:cs="Arial" w:eastAsia="Arial" w:hAnsi="Arial"/>
                <w:sz w:val="18"/>
                <w:szCs w:val="18"/>
                <w:color w:val="auto"/>
              </w:rPr>
              <w:t>​ ​ 56</w:t>
            </w:r>
          </w:p>
        </w:tc>
        <w:tc>
          <w:tcPr>
            <w:tcW w:w="420" w:type="dxa"/>
            <w:vAlign w:val="bottom"/>
          </w:tcPr>
          <w:p>
            <w:pPr>
              <w:ind w:left="40"/>
              <w:spacing w:after="0"/>
              <w:rPr>
                <w:sz w:val="20"/>
                <w:szCs w:val="20"/>
                <w:color w:val="auto"/>
              </w:rPr>
            </w:pPr>
            <w:r>
              <w:rPr>
                <w:rFonts w:ascii="Arial" w:cs="Arial" w:eastAsia="Arial" w:hAnsi="Arial"/>
                <w:sz w:val="18"/>
                <w:szCs w:val="18"/>
                <w:color w:val="auto"/>
              </w:rPr>
              <w:t>​ ​</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 ​</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 ​</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 ​</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3300" w:type="dxa"/>
            <w:vAlign w:val="bottom"/>
            <w:gridSpan w:val="2"/>
          </w:tcPr>
          <w:p>
            <w:pPr>
              <w:spacing w:after="0"/>
              <w:rPr>
                <w:sz w:val="20"/>
                <w:szCs w:val="20"/>
                <w:color w:val="auto"/>
              </w:rPr>
            </w:pPr>
            <w:r>
              <w:rPr>
                <w:rFonts w:ascii="Arial" w:cs="Arial" w:eastAsia="Arial" w:hAnsi="Arial"/>
                <w:sz w:val="18"/>
                <w:szCs w:val="18"/>
                <w:color w:val="auto"/>
              </w:rPr>
              <w:t>Executive Vice President, Markets</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3300" w:type="dxa"/>
            <w:vAlign w:val="bottom"/>
            <w:tcBorders>
              <w:bottom w:val="single" w:sz="8" w:color="00C08A"/>
            </w:tcBorders>
            <w:gridSpan w:val="2"/>
          </w:tcPr>
          <w:p>
            <w:pPr>
              <w:spacing w:after="0"/>
              <w:rPr>
                <w:sz w:val="13"/>
                <w:szCs w:val="13"/>
                <w:color w:val="auto"/>
              </w:rPr>
            </w:pPr>
          </w:p>
        </w:tc>
        <w:tc>
          <w:tcPr>
            <w:tcW w:w="560" w:type="dxa"/>
            <w:vAlign w:val="bottom"/>
            <w:tcBorders>
              <w:bottom w:val="single" w:sz="8" w:color="00C08A"/>
            </w:tcBorders>
          </w:tcPr>
          <w:p>
            <w:pPr>
              <w:spacing w:after="0"/>
              <w:rPr>
                <w:sz w:val="13"/>
                <w:szCs w:val="13"/>
                <w:color w:val="auto"/>
              </w:rPr>
            </w:pPr>
          </w:p>
        </w:tc>
        <w:tc>
          <w:tcPr>
            <w:tcW w:w="78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420" w:type="dxa"/>
            <w:vAlign w:val="bottom"/>
            <w:tcBorders>
              <w:bottom w:val="single" w:sz="8" w:color="00C08A"/>
            </w:tcBorders>
          </w:tcPr>
          <w:p>
            <w:pPr>
              <w:spacing w:after="0"/>
              <w:rPr>
                <w:sz w:val="13"/>
                <w:szCs w:val="13"/>
                <w:color w:val="auto"/>
              </w:rPr>
            </w:pPr>
          </w:p>
        </w:tc>
        <w:tc>
          <w:tcPr>
            <w:tcW w:w="480" w:type="dxa"/>
            <w:vAlign w:val="bottom"/>
            <w:tcBorders>
              <w:bottom w:val="single" w:sz="8" w:color="00C08A"/>
            </w:tcBorders>
          </w:tcPr>
          <w:p>
            <w:pPr>
              <w:spacing w:after="0"/>
              <w:rPr>
                <w:sz w:val="13"/>
                <w:szCs w:val="13"/>
                <w:color w:val="auto"/>
              </w:rPr>
            </w:pPr>
          </w:p>
        </w:tc>
        <w:tc>
          <w:tcPr>
            <w:tcW w:w="28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240" w:type="dxa"/>
            <w:vAlign w:val="bottom"/>
            <w:tcBorders>
              <w:bottom w:val="single" w:sz="8" w:color="00C08A"/>
            </w:tcBorders>
          </w:tcPr>
          <w:p>
            <w:pPr>
              <w:spacing w:after="0"/>
              <w:rPr>
                <w:sz w:val="13"/>
                <w:szCs w:val="13"/>
                <w:color w:val="auto"/>
              </w:rPr>
            </w:pPr>
          </w:p>
        </w:tc>
        <w:tc>
          <w:tcPr>
            <w:tcW w:w="340" w:type="dxa"/>
            <w:vAlign w:val="bottom"/>
            <w:tcBorders>
              <w:bottom w:val="single" w:sz="8" w:color="00C08A"/>
            </w:tcBorders>
          </w:tcPr>
          <w:p>
            <w:pPr>
              <w:spacing w:after="0"/>
              <w:rPr>
                <w:sz w:val="13"/>
                <w:szCs w:val="13"/>
                <w:color w:val="auto"/>
              </w:rPr>
            </w:pPr>
          </w:p>
        </w:tc>
        <w:tc>
          <w:tcPr>
            <w:tcW w:w="200" w:type="dxa"/>
            <w:vAlign w:val="bottom"/>
            <w:tcBorders>
              <w:bottom w:val="single" w:sz="8" w:color="00C08A"/>
            </w:tcBorders>
          </w:tcPr>
          <w:p>
            <w:pPr>
              <w:spacing w:after="0"/>
              <w:rPr>
                <w:sz w:val="13"/>
                <w:szCs w:val="13"/>
                <w:color w:val="auto"/>
              </w:rPr>
            </w:pPr>
          </w:p>
        </w:tc>
        <w:tc>
          <w:tcPr>
            <w:tcW w:w="500" w:type="dxa"/>
            <w:vAlign w:val="bottom"/>
            <w:tcBorders>
              <w:bottom w:val="single" w:sz="8" w:color="00C08A"/>
            </w:tcBorders>
          </w:tcPr>
          <w:p>
            <w:pPr>
              <w:spacing w:after="0"/>
              <w:rPr>
                <w:sz w:val="13"/>
                <w:szCs w:val="13"/>
                <w:color w:val="auto"/>
              </w:rPr>
            </w:pPr>
          </w:p>
        </w:tc>
        <w:tc>
          <w:tcPr>
            <w:tcW w:w="540" w:type="dxa"/>
            <w:vAlign w:val="bottom"/>
            <w:tcBorders>
              <w:bottom w:val="single" w:sz="8" w:color="00C08A"/>
            </w:tcBorders>
          </w:tcPr>
          <w:p>
            <w:pPr>
              <w:spacing w:after="0"/>
              <w:rPr>
                <w:sz w:val="13"/>
                <w:szCs w:val="13"/>
                <w:color w:val="auto"/>
              </w:rPr>
            </w:pPr>
          </w:p>
        </w:tc>
        <w:tc>
          <w:tcPr>
            <w:tcW w:w="520" w:type="dxa"/>
            <w:vAlign w:val="bottom"/>
            <w:tcBorders>
              <w:bottom w:val="single" w:sz="8" w:color="00C08A"/>
            </w:tcBorders>
          </w:tcPr>
          <w:p>
            <w:pPr>
              <w:spacing w:after="0"/>
              <w:rPr>
                <w:sz w:val="13"/>
                <w:szCs w:val="13"/>
                <w:color w:val="auto"/>
              </w:rPr>
            </w:pPr>
          </w:p>
        </w:tc>
        <w:tc>
          <w:tcPr>
            <w:tcW w:w="320" w:type="dxa"/>
            <w:vAlign w:val="bottom"/>
            <w:tcBorders>
              <w:bottom w:val="single" w:sz="8" w:color="00C08A"/>
            </w:tcBorders>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Brett Fairclough</w:t>
            </w:r>
          </w:p>
        </w:tc>
        <w:tc>
          <w:tcPr>
            <w:tcW w:w="560" w:type="dxa"/>
            <w:vAlign w:val="bottom"/>
          </w:tcPr>
          <w:p>
            <w:pPr>
              <w:ind w:left="38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2019</w:t>
            </w:r>
          </w:p>
        </w:tc>
        <w:tc>
          <w:tcPr>
            <w:tcW w:w="500" w:type="dxa"/>
            <w:vAlign w:val="bottom"/>
          </w:tcPr>
          <w:p>
            <w:pPr>
              <w:ind w:left="40"/>
              <w:spacing w:after="0" w:line="191" w:lineRule="exact"/>
              <w:rPr>
                <w:sz w:val="20"/>
                <w:szCs w:val="20"/>
                <w:color w:val="auto"/>
              </w:rPr>
            </w:pPr>
            <w:r>
              <w:rPr>
                <w:rFonts w:ascii="Arial" w:cs="Arial" w:eastAsia="Arial" w:hAnsi="Arial"/>
                <w:sz w:val="18"/>
                <w:szCs w:val="18"/>
                <w:color w:val="auto"/>
              </w:rPr>
              <w:t>​ ​ 42</w:t>
            </w:r>
          </w:p>
        </w:tc>
        <w:tc>
          <w:tcPr>
            <w:tcW w:w="420" w:type="dxa"/>
            <w:vAlign w:val="bottom"/>
          </w:tcPr>
          <w:p>
            <w:pPr>
              <w:ind w:left="40"/>
              <w:spacing w:after="0" w:line="191" w:lineRule="exact"/>
              <w:rPr>
                <w:sz w:val="20"/>
                <w:szCs w:val="20"/>
                <w:color w:val="auto"/>
              </w:rPr>
            </w:pPr>
            <w:r>
              <w:rPr>
                <w:rFonts w:ascii="Arial" w:cs="Arial" w:eastAsia="Arial" w:hAnsi="Arial"/>
                <w:sz w:val="18"/>
                <w:szCs w:val="18"/>
                <w:color w:val="auto"/>
              </w:rPr>
              <w:t>​ ​</w:t>
            </w:r>
          </w:p>
        </w:tc>
        <w:tc>
          <w:tcPr>
            <w:tcW w:w="48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line="191"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1"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line="197" w:lineRule="exact"/>
              <w:rPr>
                <w:sz w:val="20"/>
                <w:szCs w:val="20"/>
                <w:color w:val="auto"/>
              </w:rPr>
            </w:pPr>
            <w:r>
              <w:rPr>
                <w:rFonts w:ascii="Arial" w:cs="Arial" w:eastAsia="Arial" w:hAnsi="Arial"/>
                <w:sz w:val="18"/>
                <w:szCs w:val="18"/>
                <w:b w:val="1"/>
                <w:bCs w:val="1"/>
                <w:color w:val="auto"/>
                <w:w w:val="98"/>
              </w:rPr>
              <w:t>Joseph Molluso</w:t>
            </w:r>
          </w:p>
        </w:tc>
        <w:tc>
          <w:tcPr>
            <w:tcW w:w="1940" w:type="dxa"/>
            <w:vAlign w:val="bottom"/>
          </w:tcPr>
          <w:p>
            <w:pPr>
              <w:spacing w:after="0"/>
              <w:rPr>
                <w:sz w:val="17"/>
                <w:szCs w:val="17"/>
                <w:color w:val="auto"/>
              </w:rPr>
            </w:pPr>
          </w:p>
        </w:tc>
        <w:tc>
          <w:tcPr>
            <w:tcW w:w="560" w:type="dxa"/>
            <w:vAlign w:val="bottom"/>
          </w:tcPr>
          <w:p>
            <w:pPr>
              <w:ind w:left="380"/>
              <w:spacing w:after="0" w:line="197"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2020</w:t>
            </w:r>
          </w:p>
        </w:tc>
        <w:tc>
          <w:tcPr>
            <w:tcW w:w="500" w:type="dxa"/>
            <w:vAlign w:val="bottom"/>
          </w:tcPr>
          <w:p>
            <w:pPr>
              <w:ind w:left="40"/>
              <w:spacing w:after="0" w:line="197" w:lineRule="exact"/>
              <w:rPr>
                <w:sz w:val="20"/>
                <w:szCs w:val="20"/>
                <w:color w:val="auto"/>
              </w:rPr>
            </w:pPr>
            <w:r>
              <w:rPr>
                <w:rFonts w:ascii="Arial" w:cs="Arial" w:eastAsia="Arial" w:hAnsi="Arial"/>
                <w:sz w:val="18"/>
                <w:szCs w:val="18"/>
                <w:color w:val="auto"/>
              </w:rPr>
              <w:t>​ ​ 56</w:t>
            </w:r>
          </w:p>
        </w:tc>
        <w:tc>
          <w:tcPr>
            <w:tcW w:w="420" w:type="dxa"/>
            <w:vAlign w:val="bottom"/>
          </w:tcPr>
          <w:p>
            <w:pPr>
              <w:ind w:left="40"/>
              <w:spacing w:after="0" w:line="197" w:lineRule="exact"/>
              <w:rPr>
                <w:sz w:val="20"/>
                <w:szCs w:val="20"/>
                <w:color w:val="auto"/>
              </w:rPr>
            </w:pPr>
            <w:r>
              <w:rPr>
                <w:rFonts w:ascii="Arial" w:cs="Arial" w:eastAsia="Arial" w:hAnsi="Arial"/>
                <w:sz w:val="18"/>
                <w:szCs w:val="18"/>
                <w:color w:val="auto"/>
              </w:rPr>
              <w:t>​ ​</w:t>
            </w:r>
          </w:p>
        </w:tc>
        <w:tc>
          <w:tcPr>
            <w:tcW w:w="480" w:type="dxa"/>
            <w:vAlign w:val="bottom"/>
          </w:tcPr>
          <w:p>
            <w:pPr>
              <w:ind w:left="220"/>
              <w:spacing w:after="0" w:line="197"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line="197"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7"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7"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7"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7"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line="197" w:lineRule="exact"/>
              <w:rPr>
                <w:sz w:val="20"/>
                <w:szCs w:val="20"/>
                <w:color w:val="auto"/>
              </w:rPr>
            </w:pPr>
            <w:r>
              <w:rPr>
                <w:rFonts w:ascii="Arial" w:cs="Arial" w:eastAsia="Arial" w:hAnsi="Arial"/>
                <w:sz w:val="18"/>
                <w:szCs w:val="18"/>
                <w:b w:val="1"/>
                <w:bCs w:val="1"/>
                <w:color w:val="auto"/>
              </w:rPr>
              <w:t>Cindy Lee</w:t>
            </w:r>
          </w:p>
        </w:tc>
        <w:tc>
          <w:tcPr>
            <w:tcW w:w="1940" w:type="dxa"/>
            <w:vAlign w:val="bottom"/>
          </w:tcPr>
          <w:p>
            <w:pPr>
              <w:spacing w:after="0"/>
              <w:rPr>
                <w:sz w:val="17"/>
                <w:szCs w:val="17"/>
                <w:color w:val="auto"/>
              </w:rPr>
            </w:pPr>
          </w:p>
        </w:tc>
        <w:tc>
          <w:tcPr>
            <w:tcW w:w="560" w:type="dxa"/>
            <w:vAlign w:val="bottom"/>
          </w:tcPr>
          <w:p>
            <w:pPr>
              <w:ind w:left="380"/>
              <w:spacing w:after="0" w:line="197"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2024</w:t>
            </w:r>
          </w:p>
        </w:tc>
        <w:tc>
          <w:tcPr>
            <w:tcW w:w="500" w:type="dxa"/>
            <w:vAlign w:val="bottom"/>
          </w:tcPr>
          <w:p>
            <w:pPr>
              <w:ind w:left="40"/>
              <w:spacing w:after="0" w:line="197" w:lineRule="exact"/>
              <w:rPr>
                <w:sz w:val="20"/>
                <w:szCs w:val="20"/>
                <w:color w:val="auto"/>
              </w:rPr>
            </w:pPr>
            <w:r>
              <w:rPr>
                <w:rFonts w:ascii="Arial" w:cs="Arial" w:eastAsia="Arial" w:hAnsi="Arial"/>
                <w:sz w:val="18"/>
                <w:szCs w:val="18"/>
                <w:color w:val="auto"/>
              </w:rPr>
              <w:t>​ ​ 40</w:t>
            </w:r>
          </w:p>
        </w:tc>
        <w:tc>
          <w:tcPr>
            <w:tcW w:w="420" w:type="dxa"/>
            <w:vAlign w:val="bottom"/>
          </w:tcPr>
          <w:p>
            <w:pPr>
              <w:ind w:left="40"/>
              <w:spacing w:after="0" w:line="197" w:lineRule="exact"/>
              <w:rPr>
                <w:sz w:val="20"/>
                <w:szCs w:val="20"/>
                <w:color w:val="auto"/>
              </w:rPr>
            </w:pPr>
            <w:r>
              <w:rPr>
                <w:rFonts w:ascii="Arial" w:cs="Arial" w:eastAsia="Arial" w:hAnsi="Arial"/>
                <w:sz w:val="18"/>
                <w:szCs w:val="18"/>
                <w:color w:val="auto"/>
              </w:rPr>
              <w:t>​ ​</w:t>
            </w:r>
          </w:p>
        </w:tc>
        <w:tc>
          <w:tcPr>
            <w:tcW w:w="480" w:type="dxa"/>
            <w:vAlign w:val="bottom"/>
          </w:tcPr>
          <w:p>
            <w:pPr>
              <w:ind w:left="220"/>
              <w:spacing w:after="0" w:line="197"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
              <w:spacing w:after="0" w:line="197" w:lineRule="exact"/>
              <w:rPr>
                <w:sz w:val="20"/>
                <w:szCs w:val="20"/>
                <w:color w:val="auto"/>
              </w:rPr>
            </w:pPr>
            <w:r>
              <w:rPr>
                <w:rFonts w:ascii="Arial" w:cs="Arial" w:eastAsia="Arial" w:hAnsi="Arial"/>
                <w:sz w:val="18"/>
                <w:szCs w:val="18"/>
                <w:color w:val="auto"/>
              </w:rPr>
              <w:t>​ ​</w:t>
            </w:r>
          </w:p>
        </w:tc>
        <w:tc>
          <w:tcPr>
            <w:tcW w:w="24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340" w:type="dxa"/>
            <w:vAlign w:val="bottom"/>
          </w:tcPr>
          <w:p>
            <w:pPr>
              <w:ind w:left="100"/>
              <w:spacing w:after="0" w:line="197"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7" w:lineRule="exact"/>
              <w:rPr>
                <w:sz w:val="20"/>
                <w:szCs w:val="20"/>
                <w:color w:val="auto"/>
              </w:rPr>
            </w:pPr>
            <w:r>
              <w:rPr>
                <w:rFonts w:ascii="Arial" w:cs="Arial" w:eastAsia="Arial" w:hAnsi="Arial"/>
                <w:sz w:val="18"/>
                <w:szCs w:val="18"/>
                <w:color w:val="auto"/>
              </w:rPr>
              <w:t>​</w:t>
            </w:r>
          </w:p>
        </w:tc>
        <w:tc>
          <w:tcPr>
            <w:tcW w:w="50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540" w:type="dxa"/>
            <w:vAlign w:val="bottom"/>
          </w:tcPr>
          <w:p>
            <w:pPr>
              <w:ind w:left="24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ind w:left="260"/>
              <w:spacing w:after="0" w:line="197" w:lineRule="exact"/>
              <w:rPr>
                <w:sz w:val="20"/>
                <w:szCs w:val="20"/>
                <w:color w:val="auto"/>
              </w:rPr>
            </w:pPr>
            <w:r>
              <w:rPr>
                <w:rFonts w:ascii="Arial" w:cs="Arial" w:eastAsia="Arial" w:hAnsi="Arial"/>
                <w:sz w:val="18"/>
                <w:szCs w:val="18"/>
                <w:color w:val="auto"/>
              </w:rPr>
              <w:t>​ ​</w:t>
            </w:r>
          </w:p>
        </w:tc>
        <w:tc>
          <w:tcPr>
            <w:tcW w:w="320" w:type="dxa"/>
            <w:vAlign w:val="bottom"/>
          </w:tcPr>
          <w:p>
            <w:pPr>
              <w:ind w:left="120"/>
              <w:spacing w:after="0" w:line="197"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00C08A"/>
            </w:tcBorders>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tcBorders>
              <w:bottom w:val="single" w:sz="8" w:color="00C08A"/>
            </w:tcBorders>
          </w:tcPr>
          <w:p>
            <w:pPr>
              <w:spacing w:after="0"/>
              <w:rPr>
                <w:sz w:val="21"/>
                <w:szCs w:val="21"/>
                <w:color w:val="auto"/>
              </w:rPr>
            </w:pPr>
          </w:p>
        </w:tc>
        <w:tc>
          <w:tcPr>
            <w:tcW w:w="78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420" w:type="dxa"/>
            <w:vAlign w:val="bottom"/>
            <w:tcBorders>
              <w:bottom w:val="single" w:sz="8" w:color="00C08A"/>
            </w:tcBorders>
          </w:tcPr>
          <w:p>
            <w:pPr>
              <w:spacing w:after="0"/>
              <w:rPr>
                <w:sz w:val="21"/>
                <w:szCs w:val="21"/>
                <w:color w:val="auto"/>
              </w:rPr>
            </w:pPr>
          </w:p>
        </w:tc>
        <w:tc>
          <w:tcPr>
            <w:tcW w:w="480" w:type="dxa"/>
            <w:vAlign w:val="bottom"/>
            <w:tcBorders>
              <w:bottom w:val="single" w:sz="8" w:color="00C08A"/>
            </w:tcBorders>
          </w:tcPr>
          <w:p>
            <w:pPr>
              <w:spacing w:after="0"/>
              <w:rPr>
                <w:sz w:val="21"/>
                <w:szCs w:val="21"/>
                <w:color w:val="auto"/>
              </w:rPr>
            </w:pPr>
          </w:p>
        </w:tc>
        <w:tc>
          <w:tcPr>
            <w:tcW w:w="28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240" w:type="dxa"/>
            <w:vAlign w:val="bottom"/>
            <w:tcBorders>
              <w:bottom w:val="single" w:sz="8" w:color="00C08A"/>
            </w:tcBorders>
          </w:tcPr>
          <w:p>
            <w:pPr>
              <w:spacing w:after="0"/>
              <w:rPr>
                <w:sz w:val="21"/>
                <w:szCs w:val="21"/>
                <w:color w:val="auto"/>
              </w:rPr>
            </w:pPr>
          </w:p>
        </w:tc>
        <w:tc>
          <w:tcPr>
            <w:tcW w:w="340" w:type="dxa"/>
            <w:vAlign w:val="bottom"/>
            <w:tcBorders>
              <w:bottom w:val="single" w:sz="8" w:color="00C08A"/>
            </w:tcBorders>
          </w:tcPr>
          <w:p>
            <w:pPr>
              <w:spacing w:after="0"/>
              <w:rPr>
                <w:sz w:val="21"/>
                <w:szCs w:val="21"/>
                <w:color w:val="auto"/>
              </w:rPr>
            </w:pPr>
          </w:p>
        </w:tc>
        <w:tc>
          <w:tcPr>
            <w:tcW w:w="200" w:type="dxa"/>
            <w:vAlign w:val="bottom"/>
            <w:tcBorders>
              <w:bottom w:val="single" w:sz="8" w:color="00C08A"/>
            </w:tcBorders>
          </w:tcPr>
          <w:p>
            <w:pPr>
              <w:spacing w:after="0"/>
              <w:rPr>
                <w:sz w:val="21"/>
                <w:szCs w:val="21"/>
                <w:color w:val="auto"/>
              </w:rPr>
            </w:pPr>
          </w:p>
        </w:tc>
        <w:tc>
          <w:tcPr>
            <w:tcW w:w="500" w:type="dxa"/>
            <w:vAlign w:val="bottom"/>
            <w:tcBorders>
              <w:bottom w:val="single" w:sz="8" w:color="00C08A"/>
            </w:tcBorders>
          </w:tcPr>
          <w:p>
            <w:pPr>
              <w:spacing w:after="0"/>
              <w:rPr>
                <w:sz w:val="21"/>
                <w:szCs w:val="21"/>
                <w:color w:val="auto"/>
              </w:rPr>
            </w:pPr>
          </w:p>
        </w:tc>
        <w:tc>
          <w:tcPr>
            <w:tcW w:w="540" w:type="dxa"/>
            <w:vAlign w:val="bottom"/>
            <w:tcBorders>
              <w:bottom w:val="single" w:sz="8" w:color="00C08A"/>
            </w:tcBorders>
          </w:tcPr>
          <w:p>
            <w:pPr>
              <w:spacing w:after="0"/>
              <w:rPr>
                <w:sz w:val="21"/>
                <w:szCs w:val="21"/>
                <w:color w:val="auto"/>
              </w:rPr>
            </w:pPr>
          </w:p>
        </w:tc>
        <w:tc>
          <w:tcPr>
            <w:tcW w:w="520" w:type="dxa"/>
            <w:vAlign w:val="bottom"/>
            <w:tcBorders>
              <w:bottom w:val="single" w:sz="8" w:color="00C08A"/>
            </w:tcBorders>
          </w:tcPr>
          <w:p>
            <w:pPr>
              <w:spacing w:after="0"/>
              <w:rPr>
                <w:sz w:val="21"/>
                <w:szCs w:val="21"/>
                <w:color w:val="auto"/>
              </w:rPr>
            </w:pPr>
          </w:p>
        </w:tc>
        <w:tc>
          <w:tcPr>
            <w:tcW w:w="320" w:type="dxa"/>
            <w:vAlign w:val="bottom"/>
            <w:tcBorders>
              <w:bottom w:val="single" w:sz="8" w:color="00C08A"/>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1"/>
        </w:trPr>
        <w:tc>
          <w:tcPr>
            <w:tcW w:w="1360" w:type="dxa"/>
            <w:vAlign w:val="bottom"/>
          </w:tcPr>
          <w:p>
            <w:pPr>
              <w:ind w:left="200"/>
              <w:spacing w:after="0"/>
              <w:rPr>
                <w:sz w:val="20"/>
                <w:szCs w:val="20"/>
                <w:color w:val="auto"/>
              </w:rPr>
            </w:pPr>
            <w:r>
              <w:rPr>
                <w:rFonts w:ascii="Arial" w:cs="Arial" w:eastAsia="Arial" w:hAnsi="Arial"/>
                <w:sz w:val="18"/>
                <w:szCs w:val="18"/>
                <w:color w:val="auto"/>
              </w:rPr>
              <w:t>  Member</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  Audit Committee Financial Expert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-207645</wp:posOffset>
            </wp:positionV>
            <wp:extent cx="1200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-4639945</wp:posOffset>
            </wp:positionV>
            <wp:extent cx="12001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-4639945</wp:posOffset>
            </wp:positionV>
            <wp:extent cx="12001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-4305300</wp:posOffset>
            </wp:positionV>
            <wp:extent cx="16256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-4305300</wp:posOffset>
            </wp:positionV>
            <wp:extent cx="1200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-4305300</wp:posOffset>
            </wp:positionV>
            <wp:extent cx="12001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-3971290</wp:posOffset>
            </wp:positionV>
            <wp:extent cx="16256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-3971290</wp:posOffset>
            </wp:positionV>
            <wp:extent cx="1200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-3636645</wp:posOffset>
            </wp:positionV>
            <wp:extent cx="16256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-3636645</wp:posOffset>
            </wp:positionV>
            <wp:extent cx="12001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-3636645</wp:posOffset>
            </wp:positionV>
            <wp:extent cx="12001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-3302635</wp:posOffset>
            </wp:positionV>
            <wp:extent cx="16256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-3302635</wp:posOffset>
            </wp:positionV>
            <wp:extent cx="12001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-3302635</wp:posOffset>
            </wp:positionV>
            <wp:extent cx="12001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-2967990</wp:posOffset>
            </wp:positionV>
            <wp:extent cx="16256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-2967990</wp:posOffset>
            </wp:positionV>
            <wp:extent cx="12001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-2967990</wp:posOffset>
            </wp:positionV>
            <wp:extent cx="12001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-2633980</wp:posOffset>
            </wp:positionV>
            <wp:extent cx="16256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-2633980</wp:posOffset>
            </wp:positionV>
            <wp:extent cx="1200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-2633980</wp:posOffset>
            </wp:positionV>
            <wp:extent cx="1200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-2299335</wp:posOffset>
            </wp:positionV>
            <wp:extent cx="16256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-2299335</wp:posOffset>
            </wp:positionV>
            <wp:extent cx="1200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-2299335</wp:posOffset>
            </wp:positionV>
            <wp:extent cx="1200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-207645</wp:posOffset>
            </wp:positionV>
            <wp:extent cx="1200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1034415</wp:posOffset>
            </wp:positionV>
            <wp:extent cx="75438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1645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4046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367030</wp:posOffset>
            </wp:positionV>
            <wp:extent cx="284607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20574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760" w:type="dxa"/>
        <w:tblCellMar>
          <w:top w:w="0" w:type="dxa"/>
          <w:left w:w="0" w:type="dxa"/>
          <w:bottom w:w="0" w:type="dxa"/>
          <w:right w:w="0" w:type="dxa"/>
        </w:tblCellMar>
      </w:tblPr>
      <w:tr>
        <w:trPr>
          <w:trHeight w:val="304"/>
        </w:trPr>
        <w:tc>
          <w:tcPr>
            <w:tcW w:w="240" w:type="dxa"/>
            <w:vAlign w:val="bottom"/>
            <w:tcBorders>
              <w:bottom w:val="single" w:sz="8" w:color="00C08A"/>
            </w:tcBorders>
            <w:shd w:val="clear" w:color="auto" w:fill="00C08A"/>
          </w:tcPr>
          <w:p>
            <w:pPr>
              <w:spacing w:after="0"/>
              <w:rPr>
                <w:sz w:val="20"/>
                <w:szCs w:val="20"/>
                <w:color w:val="auto"/>
              </w:rPr>
            </w:pPr>
            <w:r>
              <w:rPr>
                <w:rFonts w:ascii="Arial" w:cs="Arial" w:eastAsia="Arial" w:hAnsi="Arial"/>
                <w:sz w:val="14"/>
                <w:szCs w:val="14"/>
                <w:b w:val="1"/>
                <w:bCs w:val="1"/>
                <w:color w:val="FEFEFE"/>
              </w:rPr>
              <w:t>​</w:t>
            </w:r>
          </w:p>
        </w:tc>
        <w:tc>
          <w:tcPr>
            <w:tcW w:w="4240" w:type="dxa"/>
            <w:vAlign w:val="bottom"/>
            <w:tcBorders>
              <w:bottom w:val="single" w:sz="8" w:color="00C08A"/>
            </w:tcBorders>
            <w:shd w:val="clear" w:color="auto" w:fill="00C08A"/>
          </w:tcPr>
          <w:p>
            <w:pPr>
              <w:ind w:left="1540"/>
              <w:spacing w:after="0"/>
              <w:rPr>
                <w:sz w:val="20"/>
                <w:szCs w:val="20"/>
                <w:color w:val="auto"/>
              </w:rPr>
            </w:pPr>
            <w:r>
              <w:rPr>
                <w:rFonts w:ascii="Arial" w:cs="Arial" w:eastAsia="Arial" w:hAnsi="Arial"/>
                <w:sz w:val="14"/>
                <w:szCs w:val="14"/>
                <w:b w:val="1"/>
                <w:bCs w:val="1"/>
                <w:color w:val="FEFEFE"/>
              </w:rPr>
              <w:t>WHAT WE DO</w:t>
            </w:r>
          </w:p>
        </w:tc>
        <w:tc>
          <w:tcPr>
            <w:tcW w:w="160" w:type="dxa"/>
            <w:vAlign w:val="bottom"/>
          </w:tcPr>
          <w:p>
            <w:pPr>
              <w:jc w:val="center"/>
              <w:spacing w:after="0"/>
              <w:rPr>
                <w:sz w:val="20"/>
                <w:szCs w:val="20"/>
                <w:color w:val="auto"/>
              </w:rPr>
            </w:pPr>
            <w:r>
              <w:rPr>
                <w:rFonts w:ascii="Arial" w:cs="Arial" w:eastAsia="Arial" w:hAnsi="Arial"/>
                <w:sz w:val="14"/>
                <w:szCs w:val="14"/>
                <w:b w:val="1"/>
                <w:bCs w:val="1"/>
                <w:color w:val="FEFEFE"/>
              </w:rPr>
              <w:t>​</w:t>
            </w:r>
          </w:p>
        </w:tc>
        <w:tc>
          <w:tcPr>
            <w:tcW w:w="12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4"/>
                <w:szCs w:val="14"/>
                <w:color w:val="auto"/>
              </w:rPr>
            </w:pPr>
          </w:p>
        </w:tc>
      </w:tr>
      <w:tr>
        <w:trPr>
          <w:trHeight w:val="130"/>
        </w:trPr>
        <w:tc>
          <w:tcPr>
            <w:tcW w:w="240" w:type="dxa"/>
            <w:vAlign w:val="bottom"/>
          </w:tcPr>
          <w:p>
            <w:pPr>
              <w:spacing w:after="0"/>
              <w:rPr>
                <w:sz w:val="11"/>
                <w:szCs w:val="11"/>
                <w:color w:val="auto"/>
              </w:rPr>
            </w:pPr>
          </w:p>
        </w:tc>
        <w:tc>
          <w:tcPr>
            <w:tcW w:w="4240" w:type="dxa"/>
            <w:vAlign w:val="bottom"/>
          </w:tcPr>
          <w:p>
            <w:pPr>
              <w:ind w:left="200"/>
              <w:spacing w:after="0" w:line="130" w:lineRule="exact"/>
              <w:rPr>
                <w:sz w:val="20"/>
                <w:szCs w:val="20"/>
                <w:color w:val="auto"/>
              </w:rPr>
            </w:pPr>
            <w:r>
              <w:rPr>
                <w:rFonts w:ascii="Arial" w:cs="Arial" w:eastAsia="Arial" w:hAnsi="Arial"/>
                <w:sz w:val="15"/>
                <w:szCs w:val="15"/>
                <w:i w:val="1"/>
                <w:iCs w:val="1"/>
                <w:color w:val="auto"/>
              </w:rPr>
              <w:t xml:space="preserve">Pay for performance: </w:t>
            </w:r>
            <w:r>
              <w:rPr>
                <w:rFonts w:ascii="Arial" w:cs="Arial" w:eastAsia="Arial" w:hAnsi="Arial"/>
                <w:sz w:val="15"/>
                <w:szCs w:val="15"/>
                <w:color w:val="auto"/>
              </w:rPr>
              <w:t>A portion of the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for named executive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9"/>
              </w:rPr>
              <w:t>officers is designed to encourage the executives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remain focused on both our short-term and long-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term operational success and to reward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outstanding individual performance.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Align Incentives with Stockholders: </w:t>
            </w:r>
            <w:r>
              <w:rPr>
                <w:rFonts w:ascii="Arial" w:cs="Arial" w:eastAsia="Arial" w:hAnsi="Arial"/>
                <w:sz w:val="10"/>
                <w:szCs w:val="10"/>
                <w:color w:val="auto"/>
              </w:rPr>
              <w:t>Our executive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is designed to focus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named executive officers on our key strategic,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financial and operational goals that will translate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into long-term value creation for our stockholders.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Limited perquisites: </w:t>
            </w:r>
            <w:r>
              <w:rPr>
                <w:rFonts w:ascii="Arial" w:cs="Arial" w:eastAsia="Arial" w:hAnsi="Arial"/>
                <w:sz w:val="10"/>
                <w:szCs w:val="10"/>
                <w:color w:val="auto"/>
              </w:rPr>
              <w:t>We provide limited, reasonable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perquisites that we believe are consistent with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overall compensation philosophy.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Independent Governance: </w:t>
            </w:r>
            <w:r>
              <w:rPr>
                <w:rFonts w:ascii="Arial" w:cs="Arial" w:eastAsia="Arial" w:hAnsi="Arial"/>
                <w:sz w:val="10"/>
                <w:szCs w:val="10"/>
                <w:color w:val="auto"/>
              </w:rPr>
              <w:t>Our board of directors is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8"/>
              </w:rPr>
              <w:t>currently majority independent and although we 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not required to have fully independent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and Nominating and 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Governance Committees, our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240" w:type="dxa"/>
            <w:vAlign w:val="bottom"/>
            <w:tcBorders>
              <w:bottom w:val="single" w:sz="8" w:color="00C08A"/>
            </w:tcBorders>
          </w:tcPr>
          <w:p>
            <w:pPr>
              <w:spacing w:after="0"/>
              <w:rPr>
                <w:sz w:val="21"/>
                <w:szCs w:val="21"/>
                <w:color w:val="auto"/>
              </w:rPr>
            </w:pPr>
          </w:p>
        </w:tc>
        <w:tc>
          <w:tcPr>
            <w:tcW w:w="4240" w:type="dxa"/>
            <w:vAlign w:val="bottom"/>
            <w:tcBorders>
              <w:bottom w:val="single" w:sz="8" w:color="00C08A"/>
            </w:tcBorders>
          </w:tcPr>
          <w:p>
            <w:pPr>
              <w:ind w:left="200"/>
              <w:spacing w:after="0"/>
              <w:rPr>
                <w:sz w:val="20"/>
                <w:szCs w:val="20"/>
                <w:color w:val="auto"/>
              </w:rPr>
            </w:pPr>
            <w:r>
              <w:rPr>
                <w:rFonts w:ascii="Arial" w:cs="Arial" w:eastAsia="Arial" w:hAnsi="Arial"/>
                <w:sz w:val="18"/>
                <w:szCs w:val="18"/>
                <w:color w:val="auto"/>
              </w:rPr>
              <w:t>Committee is fully independent.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-2905125</wp:posOffset>
            </wp:positionV>
            <wp:extent cx="16256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-2914015</wp:posOffset>
            </wp:positionV>
            <wp:extent cx="16319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-2039620</wp:posOffset>
            </wp:positionV>
            <wp:extent cx="16256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-1302385</wp:posOffset>
            </wp:positionV>
            <wp:extent cx="16256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-839470</wp:posOffset>
            </wp:positionV>
            <wp:extent cx="16256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3909060</wp:posOffset>
            </wp:positionV>
            <wp:extent cx="75438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FEFEFE"/>
        </w:rPr>
        <w:t>WHAT WE DON’T DO</w:t>
      </w:r>
    </w:p>
    <w:p>
      <w:pPr>
        <w:spacing w:after="0" w:line="214" w:lineRule="auto"/>
        <w:rPr>
          <w:sz w:val="20"/>
          <w:szCs w:val="20"/>
          <w:color w:val="auto"/>
        </w:rPr>
      </w:pPr>
      <w:r>
        <w:rPr>
          <w:rFonts w:ascii="Arial" w:cs="Arial" w:eastAsia="Arial" w:hAnsi="Arial"/>
          <w:sz w:val="18"/>
          <w:szCs w:val="18"/>
          <w:color w:val="auto"/>
        </w:rPr>
        <w:t>​</w:t>
      </w:r>
    </w:p>
    <w:p>
      <w:pPr>
        <w:spacing w:after="0" w:line="255" w:lineRule="auto"/>
        <w:rPr>
          <w:sz w:val="20"/>
          <w:szCs w:val="20"/>
          <w:color w:val="auto"/>
        </w:rPr>
      </w:pPr>
      <w:r>
        <w:rPr>
          <w:rFonts w:ascii="Arial" w:cs="Arial" w:eastAsia="Arial" w:hAnsi="Arial"/>
          <w:sz w:val="18"/>
          <w:szCs w:val="18"/>
          <w:i w:val="1"/>
          <w:iCs w:val="1"/>
          <w:color w:val="auto"/>
        </w:rPr>
        <w:t xml:space="preserve">No IRC Section 280G or 409A tax gross-ups: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tax gross-ups under our change in control provisions or deferred compensation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-127635</wp:posOffset>
            </wp:positionV>
            <wp:extent cx="28460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88" w:lineRule="exact"/>
        <w:rPr>
          <w:sz w:val="20"/>
          <w:szCs w:val="20"/>
          <w:color w:val="auto"/>
        </w:rPr>
      </w:pPr>
    </w:p>
    <w:p>
      <w:pPr>
        <w:sectPr>
          <w:pgSz w:w="11900" w:h="16838" w:orient="portrait"/>
          <w:cols w:equalWidth="0" w:num="3">
            <w:col w:w="5520" w:space="380"/>
            <w:col w:w="3900" w:space="140"/>
            <w:col w:w="6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Proposal 1: Election of Directors</w:t>
      </w:r>
    </w:p>
    <w:p>
      <w:pPr>
        <w:spacing w:after="0" w:line="146"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At the Annual Meeting, stockholders will vote to elect the three nominees named in this proxy statement as Class I directors. Each of the Class I directors elected at the Annual Meeting will hold office until the 2028 annual meeting of stockholders and until his or her successor has been duly elected and qualified. Our board of directors has nominated William F. Cruger, Jr., Christopher C. Quick, and Vincent Viola to serve as Class I directors for terms expiring at the 2028 annual meeting of stockholders and until each of their successors has been duly elected and qualified. The persons named as proxies will vote to elect Messrs. Cruger Jr., Quick, and Viola, unless a stockholder indicates that his or her shares should be withheld with respect to one or more of such nominees.</w:t>
      </w:r>
    </w:p>
    <w:p>
      <w:pPr>
        <w:spacing w:after="0" w:line="75"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In the event that any nominee for Class 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120"/>
        <w:spacing w:after="0" w:line="268"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Abstentions and broker non-votes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283210</wp:posOffset>
            </wp:positionV>
            <wp:extent cx="5829300" cy="4800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each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453"/>
                <w:w w:val="99"/>
              </w:rPr>
              <w:t>the nominees for our board of directors in this proposal 1.</w:t>
            </w:r>
          </w:p>
        </w:tc>
        <w:tc>
          <w:tcPr>
            <w:tcW w:w="1000" w:type="dxa"/>
            <w:vAlign w:val="bottom"/>
            <w:vMerge w:val="restart"/>
          </w:tcPr>
          <w:p>
            <w:pPr>
              <w:ind w:left="94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7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directors.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 Directors</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 directors will expire at the Annual Meeting. Messrs. Cruger Jr., Quick, and</w:t>
      </w:r>
    </w:p>
    <w:p>
      <w:pPr>
        <w:spacing w:after="0" w:line="14" w:lineRule="exact"/>
        <w:rPr>
          <w:sz w:val="20"/>
          <w:szCs w:val="20"/>
          <w:color w:val="auto"/>
        </w:rPr>
      </w:pPr>
    </w:p>
    <w:p>
      <w:pPr>
        <w:ind w:left="760" w:right="160"/>
        <w:spacing w:after="0" w:line="237" w:lineRule="auto"/>
        <w:rPr>
          <w:sz w:val="20"/>
          <w:szCs w:val="20"/>
          <w:color w:val="auto"/>
        </w:rPr>
      </w:pPr>
      <w:r>
        <w:rPr>
          <w:rFonts w:ascii="Arial" w:cs="Arial" w:eastAsia="Arial" w:hAnsi="Arial"/>
          <w:sz w:val="18"/>
          <w:szCs w:val="18"/>
          <w:color w:val="auto"/>
        </w:rPr>
        <w:t>Viola are the only nominees for election at the Annual Meeting, for a term that will expire at the 2028 annual meeting of stockholders and until each of their successors has been duly elected and qualified.</w:t>
      </w:r>
    </w:p>
    <w:p>
      <w:pPr>
        <w:sectPr>
          <w:pgSz w:w="11900" w:h="16838" w:orient="portrait"/>
          <w:cols w:equalWidth="0" w:num="1">
            <w:col w:w="10000"/>
          </w:cols>
          <w:pgMar w:left="580" w:top="97" w:right="1319" w:bottom="1440" w:gutter="0" w:footer="0" w:header="0"/>
        </w:sectPr>
      </w:pPr>
    </w:p>
    <w:p>
      <w:pPr>
        <w:spacing w:after="0" w:line="99"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60" w:type="dxa"/>
            <w:vAlign w:val="bottom"/>
          </w:tcPr>
          <w:p>
            <w:pPr>
              <w:spacing w:after="0"/>
              <w:rPr>
                <w:sz w:val="20"/>
                <w:szCs w:val="20"/>
                <w:color w:val="auto"/>
              </w:rPr>
            </w:pPr>
            <w:r>
              <w:rPr>
                <w:rFonts w:ascii="Arial" w:cs="Arial" w:eastAsia="Arial" w:hAnsi="Arial"/>
                <w:sz w:val="36"/>
                <w:szCs w:val="36"/>
                <w:color w:val="00C08A"/>
              </w:rPr>
              <w:t>William F.</w:t>
            </w:r>
          </w:p>
        </w:tc>
        <w:tc>
          <w:tcPr>
            <w:tcW w:w="2540" w:type="dxa"/>
            <w:vAlign w:val="bottom"/>
            <w:vMerge w:val="restart"/>
          </w:tcPr>
          <w:p>
            <w:pPr>
              <w:ind w:left="640"/>
              <w:spacing w:after="0"/>
              <w:rPr>
                <w:sz w:val="20"/>
                <w:szCs w:val="20"/>
                <w:color w:val="auto"/>
              </w:rPr>
            </w:pPr>
            <w:r>
              <w:rPr>
                <w:rFonts w:ascii="Arial" w:cs="Arial" w:eastAsia="Arial" w:hAnsi="Arial"/>
                <w:sz w:val="18"/>
                <w:szCs w:val="18"/>
                <w:color w:val="auto"/>
              </w:rPr>
              <w:t>Age: 66</w:t>
            </w:r>
          </w:p>
        </w:tc>
        <w:tc>
          <w:tcPr>
            <w:tcW w:w="2140" w:type="dxa"/>
            <w:vAlign w:val="bottom"/>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1640" w:type="dxa"/>
            <w:vAlign w:val="bottom"/>
            <w:vMerge w:val="restart"/>
          </w:tcPr>
          <w:p>
            <w:pPr>
              <w:jc w:val="right"/>
              <w:ind w:right="7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7"/>
        </w:trPr>
        <w:tc>
          <w:tcPr>
            <w:tcW w:w="2060" w:type="dxa"/>
            <w:vAlign w:val="bottom"/>
          </w:tcPr>
          <w:p>
            <w:pPr>
              <w:spacing w:after="0" w:line="37" w:lineRule="exact"/>
              <w:rPr>
                <w:sz w:val="20"/>
                <w:szCs w:val="20"/>
                <w:color w:val="auto"/>
              </w:rPr>
            </w:pPr>
            <w:r>
              <w:rPr>
                <w:rFonts w:ascii="Arial" w:cs="Arial" w:eastAsia="Arial" w:hAnsi="Arial"/>
                <w:sz w:val="4"/>
                <w:szCs w:val="4"/>
                <w:color w:val="00C08A"/>
              </w:rPr>
              <w:t>Cruger, Jr.</w:t>
            </w:r>
          </w:p>
        </w:tc>
        <w:tc>
          <w:tcPr>
            <w:tcW w:w="2540" w:type="dxa"/>
            <w:vAlign w:val="bottom"/>
            <w:vMerge w:val="continue"/>
          </w:tcPr>
          <w:p>
            <w:pPr>
              <w:spacing w:after="0"/>
              <w:rPr>
                <w:sz w:val="3"/>
                <w:szCs w:val="3"/>
                <w:color w:val="auto"/>
              </w:rPr>
            </w:pPr>
          </w:p>
        </w:tc>
        <w:tc>
          <w:tcPr>
            <w:tcW w:w="2140" w:type="dxa"/>
            <w:vAlign w:val="bottom"/>
          </w:tcPr>
          <w:p>
            <w:pPr>
              <w:ind w:left="320"/>
              <w:spacing w:after="0" w:line="37" w:lineRule="exact"/>
              <w:rPr>
                <w:sz w:val="20"/>
                <w:szCs w:val="20"/>
                <w:color w:val="auto"/>
              </w:rPr>
            </w:pPr>
            <w:r>
              <w:rPr>
                <w:rFonts w:ascii="Arial" w:cs="Arial" w:eastAsia="Arial" w:hAnsi="Arial"/>
                <w:sz w:val="4"/>
                <w:szCs w:val="4"/>
                <w:color w:val="002453"/>
              </w:rPr>
              <w:t xml:space="preserve">• </w:t>
            </w:r>
            <w:r>
              <w:rPr>
                <w:rFonts w:ascii="Arial" w:cs="Arial" w:eastAsia="Arial" w:hAnsi="Arial"/>
                <w:sz w:val="4"/>
                <w:szCs w:val="4"/>
                <w:color w:val="000000"/>
              </w:rPr>
              <w:t>Risk</w:t>
            </w: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7"/>
        </w:trPr>
        <w:tc>
          <w:tcPr>
            <w:tcW w:w="206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42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tcPr>
          <w:p>
            <w:pPr>
              <w:ind w:left="120"/>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color w:val="002453"/>
              </w:rPr>
              <w:t xml:space="preserve"> • </w:t>
            </w:r>
            <w:r>
              <w:rPr>
                <w:rFonts w:ascii="Arial" w:cs="Arial" w:eastAsia="Arial" w:hAnsi="Arial"/>
                <w:sz w:val="18"/>
                <w:szCs w:val="18"/>
                <w:color w:val="000000"/>
              </w:rPr>
              <w:t>Audit</w:t>
            </w:r>
          </w:p>
        </w:tc>
        <w:tc>
          <w:tcPr>
            <w:tcW w:w="1640" w:type="dxa"/>
            <w:vAlign w:val="bottom"/>
          </w:tcPr>
          <w:p>
            <w:pPr>
              <w:jc w:val="right"/>
              <w:spacing w:after="0" w:line="386" w:lineRule="exact"/>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0" w:type="dxa"/>
            <w:vAlign w:val="bottom"/>
          </w:tcPr>
          <w:p>
            <w:pPr>
              <w:spacing w:after="0"/>
              <w:rPr>
                <w:sz w:val="1"/>
                <w:szCs w:val="1"/>
                <w:color w:val="auto"/>
              </w:rPr>
            </w:pPr>
          </w:p>
        </w:tc>
      </w:tr>
      <w:tr>
        <w:trPr>
          <w:trHeight w:val="181"/>
        </w:trPr>
        <w:tc>
          <w:tcPr>
            <w:tcW w:w="20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Arial" w:cs="Arial" w:eastAsia="Arial" w:hAnsi="Arial"/>
                <w:sz w:val="18"/>
                <w:szCs w:val="18"/>
                <w:color w:val="00C08A"/>
              </w:rPr>
              <w:t>BACKGROUND</w:t>
            </w:r>
          </w:p>
        </w:tc>
        <w:tc>
          <w:tcPr>
            <w:tcW w:w="25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-254000</wp:posOffset>
            </wp:positionV>
            <wp:extent cx="58293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Cruger became a member of our board of directors in April 2015 and was previously a member of the board of</w:t>
      </w:r>
    </w:p>
    <w:p>
      <w:pPr>
        <w:spacing w:after="0" w:line="14" w:lineRule="exact"/>
        <w:rPr>
          <w:sz w:val="20"/>
          <w:szCs w:val="20"/>
          <w:color w:val="auto"/>
        </w:rPr>
      </w:pPr>
    </w:p>
    <w:p>
      <w:pPr>
        <w:ind w:left="760" w:right="20"/>
        <w:spacing w:after="0"/>
        <w:rPr>
          <w:sz w:val="20"/>
          <w:szCs w:val="20"/>
          <w:color w:val="auto"/>
        </w:rPr>
      </w:pPr>
      <w:r>
        <w:rPr>
          <w:rFonts w:ascii="Arial" w:cs="Arial" w:eastAsia="Arial" w:hAnsi="Arial"/>
          <w:sz w:val="17"/>
          <w:szCs w:val="17"/>
          <w:color w:val="auto"/>
        </w:rPr>
        <w:t>directors of Virtu Financial LLC (“</w:t>
      </w:r>
      <w:r>
        <w:rPr>
          <w:rFonts w:ascii="Arial" w:cs="Arial" w:eastAsia="Arial" w:hAnsi="Arial"/>
          <w:sz w:val="17"/>
          <w:szCs w:val="17"/>
          <w:b w:val="1"/>
          <w:bCs w:val="1"/>
          <w:color w:val="auto"/>
        </w:rPr>
        <w:t>Virtu Financial</w:t>
      </w:r>
      <w:r>
        <w:rPr>
          <w:rFonts w:ascii="Arial" w:cs="Arial" w:eastAsia="Arial" w:hAnsi="Arial"/>
          <w:sz w:val="17"/>
          <w:szCs w:val="17"/>
          <w:color w:val="auto"/>
        </w:rPr>
        <w:t>”), which is a subsidiary of the Company and was the entity through which we conducted our business prior to our initial public offering. From 1982 to 2013, he held a number of senior</w:t>
      </w:r>
    </w:p>
    <w:p>
      <w:pPr>
        <w:spacing w:after="0" w:line="1" w:lineRule="exact"/>
        <w:rPr>
          <w:sz w:val="20"/>
          <w:szCs w:val="20"/>
          <w:color w:val="auto"/>
        </w:rPr>
      </w:pPr>
    </w:p>
    <w:p>
      <w:pPr>
        <w:ind w:left="760" w:right="140"/>
        <w:spacing w:after="0"/>
        <w:rPr>
          <w:sz w:val="20"/>
          <w:szCs w:val="20"/>
          <w:color w:val="auto"/>
        </w:rPr>
      </w:pPr>
      <w:r>
        <w:rPr>
          <w:rFonts w:ascii="Arial" w:cs="Arial" w:eastAsia="Arial" w:hAnsi="Arial"/>
          <w:sz w:val="17"/>
          <w:szCs w:val="17"/>
          <w:color w:val="auto"/>
        </w:rPr>
        <w:t>positions at J.P. Morgan and Co., a global investment bank. Mr. Cruger was Managing Director in the Financial Institutions group from 1996 to 2011, and then served as Vice Chairman of Investment Banking at J.P. Morgan and</w:t>
      </w:r>
    </w:p>
    <w:p>
      <w:pPr>
        <w:spacing w:after="0" w:line="1" w:lineRule="exact"/>
        <w:rPr>
          <w:sz w:val="20"/>
          <w:szCs w:val="20"/>
          <w:color w:val="auto"/>
        </w:rPr>
      </w:pPr>
    </w:p>
    <w:p>
      <w:pPr>
        <w:ind w:left="760" w:right="140"/>
        <w:spacing w:after="0"/>
        <w:rPr>
          <w:sz w:val="20"/>
          <w:szCs w:val="20"/>
          <w:color w:val="auto"/>
        </w:rPr>
      </w:pPr>
      <w:r>
        <w:rPr>
          <w:rFonts w:ascii="Arial" w:cs="Arial" w:eastAsia="Arial" w:hAnsi="Arial"/>
          <w:sz w:val="17"/>
          <w:szCs w:val="17"/>
          <w:color w:val="auto"/>
        </w:rPr>
        <w:t>Co., where he was responsible for key client relationships on a global basis. During this time, he also oversaw the rationalization of the firm’s private equity investments in trading platforms and related ventures at Lab Morgan from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2000 to 2001. Prior to this, Mr. Cruger ran the firm’s investment banking practices in Japan from 1991 to 1996, Latin</w:t>
      </w:r>
    </w:p>
    <w:p>
      <w:pPr>
        <w:spacing w:after="0" w:line="7"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America from 1989 to 1991, and Emerging Asia from 1984 to 1988. Mr. Cruger currently serves on the board of MarketAxess Holdings Inc., a financial technology company (Nasdaq:MKTX) and M&amp;T Bank Corporation, a bank</w:t>
      </w:r>
    </w:p>
    <w:p>
      <w:pPr>
        <w:spacing w:after="0" w:line="1"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holding company (NYSE:MTB) (“</w:t>
      </w:r>
      <w:r>
        <w:rPr>
          <w:rFonts w:ascii="Arial" w:cs="Arial" w:eastAsia="Arial" w:hAnsi="Arial"/>
          <w:sz w:val="17"/>
          <w:szCs w:val="17"/>
          <w:b w:val="1"/>
          <w:bCs w:val="1"/>
          <w:color w:val="auto"/>
        </w:rPr>
        <w:t>M&amp;T Bank</w:t>
      </w:r>
      <w:r>
        <w:rPr>
          <w:rFonts w:ascii="Arial" w:cs="Arial" w:eastAsia="Arial" w:hAnsi="Arial"/>
          <w:sz w:val="17"/>
          <w:szCs w:val="17"/>
          <w:color w:val="auto"/>
        </w:rPr>
        <w:t>”), and has previously served on the boards of Archipelago Holdings, Inc., an electronic stock market, CreditTrade, Inc., a fixed income broker and trading platform, Capital IQ, Inc., a</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financial data and analytics company and People’s United Financial, Inc. (Nasdaq:PBCT) (which was a bank holding company prior to its acquisition by M&amp;T Bank). He has an M.B.A. from Columbia University and a B.A. from Clark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University.</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90" w:lineRule="exact"/>
        <w:rPr>
          <w:sz w:val="20"/>
          <w:szCs w:val="20"/>
          <w:color w:val="auto"/>
        </w:rPr>
      </w:pPr>
    </w:p>
    <w:p>
      <w:pPr>
        <w:ind w:left="760" w:right="820"/>
        <w:spacing w:after="0" w:line="301" w:lineRule="auto"/>
        <w:rPr>
          <w:sz w:val="20"/>
          <w:szCs w:val="20"/>
          <w:color w:val="auto"/>
        </w:rPr>
      </w:pPr>
      <w:r>
        <w:rPr>
          <w:rFonts w:ascii="Arial" w:cs="Arial" w:eastAsia="Arial" w:hAnsi="Arial"/>
          <w:sz w:val="17"/>
          <w:szCs w:val="17"/>
          <w:color w:val="auto"/>
        </w:rPr>
        <w:t>Mr. Cruger’s diverse experience in investment banking at a global financial services firm and his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-33020</wp:posOffset>
            </wp:positionV>
            <wp:extent cx="5829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39" w:lineRule="exact"/>
        <w:rPr>
          <w:sz w:val="20"/>
          <w:szCs w:val="20"/>
          <w:color w:val="auto"/>
        </w:rPr>
      </w:pPr>
    </w:p>
    <w:p>
      <w:pPr>
        <w:sectPr>
          <w:pgSz w:w="11900" w:h="16838" w:orient="portrait"/>
          <w:cols w:equalWidth="0" w:num="2">
            <w:col w:w="9860" w:space="60"/>
            <w:col w:w="80"/>
          </w:cols>
          <w:pgMar w:left="580" w:top="97" w:right="1319" w:bottom="1440" w:gutter="0" w:footer="0" w:header="0"/>
          <w:type w:val="continuous"/>
        </w:sectPr>
      </w:pPr>
    </w:p>
    <w:tbl>
      <w:tblPr>
        <w:tblLayout w:type="fixed"/>
        <w:tblInd w:w="760" w:type="dxa"/>
        <w:tblCellMar>
          <w:top w:w="0" w:type="dxa"/>
          <w:left w:w="0" w:type="dxa"/>
          <w:bottom w:w="0" w:type="dxa"/>
          <w:right w:w="0" w:type="dxa"/>
        </w:tblCellMar>
      </w:tblPr>
      <w:tr>
        <w:trPr>
          <w:trHeight w:val="414"/>
        </w:trPr>
        <w:tc>
          <w:tcPr>
            <w:tcW w:w="2380" w:type="dxa"/>
            <w:vAlign w:val="bottom"/>
          </w:tcPr>
          <w:p>
            <w:pPr>
              <w:spacing w:after="0"/>
              <w:rPr>
                <w:sz w:val="20"/>
                <w:szCs w:val="20"/>
                <w:color w:val="auto"/>
              </w:rPr>
            </w:pPr>
            <w:r>
              <w:rPr>
                <w:rFonts w:ascii="Arial" w:cs="Arial" w:eastAsia="Arial" w:hAnsi="Arial"/>
                <w:sz w:val="36"/>
                <w:szCs w:val="36"/>
                <w:color w:val="00C08A"/>
              </w:rPr>
              <w:t>Christopher C.</w:t>
            </w:r>
          </w:p>
        </w:tc>
        <w:tc>
          <w:tcPr>
            <w:tcW w:w="2220" w:type="dxa"/>
            <w:vAlign w:val="bottom"/>
            <w:vMerge w:val="restart"/>
          </w:tcPr>
          <w:p>
            <w:pPr>
              <w:ind w:left="320"/>
              <w:spacing w:after="0"/>
              <w:rPr>
                <w:sz w:val="20"/>
                <w:szCs w:val="20"/>
                <w:color w:val="auto"/>
              </w:rPr>
            </w:pPr>
            <w:r>
              <w:rPr>
                <w:rFonts w:ascii="Arial" w:cs="Arial" w:eastAsia="Arial" w:hAnsi="Arial"/>
                <w:sz w:val="18"/>
                <w:szCs w:val="18"/>
                <w:color w:val="auto"/>
              </w:rPr>
              <w:t>Age: 67</w:t>
            </w:r>
          </w:p>
        </w:tc>
        <w:tc>
          <w:tcPr>
            <w:tcW w:w="2140" w:type="dxa"/>
            <w:vAlign w:val="bottom"/>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2420" w:type="dxa"/>
            <w:vAlign w:val="bottom"/>
            <w:vMerge w:val="restart"/>
          </w:tcPr>
          <w:p>
            <w:pPr>
              <w:jc w:val="right"/>
              <w:ind w:right="15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line="37" w:lineRule="exact"/>
              <w:rPr>
                <w:sz w:val="20"/>
                <w:szCs w:val="20"/>
                <w:color w:val="auto"/>
              </w:rPr>
            </w:pPr>
            <w:r>
              <w:rPr>
                <w:rFonts w:ascii="Arial" w:cs="Arial" w:eastAsia="Arial" w:hAnsi="Arial"/>
                <w:sz w:val="4"/>
                <w:szCs w:val="4"/>
                <w:color w:val="00C08A"/>
              </w:rPr>
              <w:t>Quick</w:t>
            </w:r>
          </w:p>
        </w:tc>
        <w:tc>
          <w:tcPr>
            <w:tcW w:w="2220" w:type="dxa"/>
            <w:vAlign w:val="bottom"/>
            <w:vMerge w:val="continue"/>
          </w:tcPr>
          <w:p>
            <w:pPr>
              <w:spacing w:after="0"/>
              <w:rPr>
                <w:sz w:val="3"/>
                <w:szCs w:val="3"/>
                <w:color w:val="auto"/>
              </w:rPr>
            </w:pPr>
          </w:p>
        </w:tc>
        <w:tc>
          <w:tcPr>
            <w:tcW w:w="2140" w:type="dxa"/>
            <w:vAlign w:val="bottom"/>
          </w:tcPr>
          <w:p>
            <w:pPr>
              <w:ind w:left="320"/>
              <w:spacing w:after="0" w:line="37" w:lineRule="exact"/>
              <w:rPr>
                <w:sz w:val="20"/>
                <w:szCs w:val="20"/>
                <w:color w:val="auto"/>
              </w:rPr>
            </w:pPr>
            <w:r>
              <w:rPr>
                <w:rFonts w:ascii="Arial" w:cs="Arial" w:eastAsia="Arial" w:hAnsi="Arial"/>
                <w:sz w:val="4"/>
                <w:szCs w:val="4"/>
                <w:color w:val="002453"/>
              </w:rPr>
              <w:t xml:space="preserve">• </w:t>
            </w:r>
            <w:r>
              <w:rPr>
                <w:rFonts w:ascii="Arial" w:cs="Arial" w:eastAsia="Arial" w:hAnsi="Arial"/>
                <w:sz w:val="4"/>
                <w:szCs w:val="4"/>
                <w:color w:val="000000"/>
              </w:rPr>
              <w:t>N&amp;CG</w:t>
            </w:r>
          </w:p>
        </w:tc>
        <w:tc>
          <w:tcPr>
            <w:tcW w:w="24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6"/>
        </w:trPr>
        <w:tc>
          <w:tcPr>
            <w:tcW w:w="23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00C08A"/>
            </w:tcBorders>
          </w:tcPr>
          <w:p>
            <w:pPr>
              <w:ind w:left="10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tcBorders>
              <w:bottom w:val="single" w:sz="8" w:color="00C08A"/>
            </w:tcBorders>
          </w:tcPr>
          <w:p>
            <w:pPr>
              <w:ind w:left="12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color w:val="002453"/>
              </w:rPr>
              <w:t xml:space="preserve"> • </w:t>
            </w:r>
            <w:r>
              <w:rPr>
                <w:rFonts w:ascii="Arial" w:cs="Arial" w:eastAsia="Arial" w:hAnsi="Arial"/>
                <w:sz w:val="18"/>
                <w:szCs w:val="18"/>
                <w:color w:val="000000"/>
              </w:rPr>
              <w:t>Compensation</w:t>
            </w:r>
          </w:p>
        </w:tc>
        <w:tc>
          <w:tcPr>
            <w:tcW w:w="2420" w:type="dxa"/>
            <w:vAlign w:val="bottom"/>
            <w:tcBorders>
              <w:bottom w:val="single" w:sz="8" w:color="00C08A"/>
            </w:tcBorders>
          </w:tcPr>
          <w:p>
            <w:pPr>
              <w:jc w:val="right"/>
              <w:ind w:right="69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3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Arial" w:cs="Arial" w:eastAsia="Arial" w:hAnsi="Arial"/>
                <w:sz w:val="18"/>
                <w:szCs w:val="18"/>
                <w:color w:val="00C08A"/>
              </w:rPr>
              <w:t>BACKGROUND</w:t>
            </w:r>
          </w:p>
        </w:tc>
        <w:tc>
          <w:tcPr>
            <w:tcW w:w="2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right="140"/>
        <w:spacing w:after="0" w:line="251" w:lineRule="auto"/>
        <w:rPr>
          <w:sz w:val="20"/>
          <w:szCs w:val="20"/>
          <w:color w:val="auto"/>
        </w:rPr>
      </w:pPr>
      <w:r>
        <w:rPr>
          <w:rFonts w:ascii="Arial" w:cs="Arial" w:eastAsia="Arial" w:hAnsi="Arial"/>
          <w:sz w:val="17"/>
          <w:szCs w:val="17"/>
          <w:color w:val="auto"/>
        </w:rPr>
        <w:t>Mr. Quick became a member of our board of directors in April 2016. Mr. Quick has more than 30 years of experience in the securities and financial services industries. He is the former CEO of Banc of America Specialist, Inc., a wholly</w:t>
      </w:r>
    </w:p>
    <w:p>
      <w:pPr>
        <w:spacing w:after="0" w:line="1" w:lineRule="exact"/>
        <w:rPr>
          <w:sz w:val="20"/>
          <w:szCs w:val="20"/>
          <w:color w:val="auto"/>
        </w:rPr>
      </w:pPr>
    </w:p>
    <w:p>
      <w:pPr>
        <w:ind w:left="760" w:right="260"/>
        <w:spacing w:after="0"/>
        <w:rPr>
          <w:sz w:val="20"/>
          <w:szCs w:val="20"/>
          <w:color w:val="auto"/>
        </w:rPr>
      </w:pPr>
      <w:r>
        <w:rPr>
          <w:rFonts w:ascii="Arial" w:cs="Arial" w:eastAsia="Arial" w:hAnsi="Arial"/>
          <w:sz w:val="17"/>
          <w:szCs w:val="17"/>
          <w:color w:val="auto"/>
        </w:rPr>
        <w:t>owned subsidiary of Bank of America Corporation and member firm of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He served in this capacity until 2006. He is also a past Vice Chairman of Global Wealth and Investment Management</w:t>
      </w:r>
    </w:p>
    <w:p>
      <w:pPr>
        <w:spacing w:after="0" w:line="1" w:lineRule="exact"/>
        <w:rPr>
          <w:sz w:val="20"/>
          <w:szCs w:val="20"/>
          <w:color w:val="auto"/>
        </w:rPr>
      </w:pPr>
    </w:p>
    <w:p>
      <w:pPr>
        <w:ind w:left="760" w:right="80"/>
        <w:spacing w:after="0"/>
        <w:rPr>
          <w:sz w:val="20"/>
          <w:szCs w:val="20"/>
          <w:color w:val="auto"/>
        </w:rPr>
      </w:pPr>
      <w:r>
        <w:rPr>
          <w:rFonts w:ascii="Arial" w:cs="Arial" w:eastAsia="Arial" w:hAnsi="Arial"/>
          <w:sz w:val="17"/>
          <w:szCs w:val="17"/>
          <w:color w:val="auto"/>
        </w:rPr>
        <w:t>with Bank of America. From 1982 to 2004, he served as Chairman and Chief Executive Officer of floor-based trading firms Q&amp;R Specialist, JJC Specialist and Fleet Specialists where he remained following the firm’s acquisition by Bank</w:t>
      </w:r>
    </w:p>
    <w:p>
      <w:pPr>
        <w:spacing w:after="0" w:line="1" w:lineRule="exact"/>
        <w:rPr>
          <w:sz w:val="20"/>
          <w:szCs w:val="20"/>
          <w:color w:val="auto"/>
        </w:rPr>
      </w:pPr>
    </w:p>
    <w:p>
      <w:pPr>
        <w:ind w:left="760" w:right="400"/>
        <w:spacing w:after="0"/>
        <w:rPr>
          <w:sz w:val="20"/>
          <w:szCs w:val="20"/>
          <w:color w:val="auto"/>
        </w:rPr>
      </w:pPr>
      <w:r>
        <w:rPr>
          <w:rFonts w:ascii="Arial" w:cs="Arial" w:eastAsia="Arial" w:hAnsi="Arial"/>
          <w:sz w:val="17"/>
          <w:szCs w:val="17"/>
          <w:color w:val="auto"/>
        </w:rPr>
        <w:t>of America Corporation. He is a member of the board of directors of Mutual of America, a provider of retirement services and investments and a Trustee of Fairfield University. He is also a former member of the NYSE Board of</w:t>
      </w:r>
    </w:p>
    <w:p>
      <w:pPr>
        <w:ind w:left="760"/>
        <w:spacing w:after="0" w:line="235" w:lineRule="auto"/>
        <w:rPr>
          <w:sz w:val="20"/>
          <w:szCs w:val="20"/>
          <w:color w:val="auto"/>
        </w:rPr>
      </w:pPr>
      <w:r>
        <w:rPr>
          <w:rFonts w:ascii="Arial" w:cs="Arial" w:eastAsia="Arial" w:hAnsi="Arial"/>
          <w:sz w:val="18"/>
          <w:szCs w:val="18"/>
          <w:color w:val="auto"/>
        </w:rPr>
        <w:t>Directors, the board of directors of KCG Holdings, Inc. (“</w:t>
      </w:r>
      <w:r>
        <w:rPr>
          <w:rFonts w:ascii="Arial" w:cs="Arial" w:eastAsia="Arial" w:hAnsi="Arial"/>
          <w:sz w:val="18"/>
          <w:szCs w:val="18"/>
          <w:b w:val="1"/>
          <w:bCs w:val="1"/>
          <w:color w:val="auto"/>
        </w:rPr>
        <w:t>KCG</w:t>
      </w:r>
      <w:r>
        <w:rPr>
          <w:rFonts w:ascii="Arial" w:cs="Arial" w:eastAsia="Arial" w:hAnsi="Arial"/>
          <w:sz w:val="18"/>
          <w:szCs w:val="18"/>
          <w:color w:val="auto"/>
        </w:rPr>
        <w:t>”), a market making and electronic trading firm which</w:t>
      </w:r>
    </w:p>
    <w:p>
      <w:pPr>
        <w:jc w:val="both"/>
        <w:ind w:left="760" w:right="600"/>
        <w:spacing w:after="0" w:line="263" w:lineRule="auto"/>
        <w:rPr>
          <w:sz w:val="20"/>
          <w:szCs w:val="20"/>
          <w:color w:val="auto"/>
        </w:rPr>
      </w:pPr>
      <w:r>
        <w:rPr>
          <w:rFonts w:ascii="Arial" w:cs="Arial" w:eastAsia="Arial" w:hAnsi="Arial"/>
          <w:sz w:val="17"/>
          <w:szCs w:val="17"/>
          <w:color w:val="auto"/>
        </w:rPr>
        <w:t>we acquired in 2017, the board of directors of The Alfred E. Smith Memorial Foundation Inc., and the Board of Trustees for the Boys Club of New York. Mr. Quick received a B.S. in Finance from Fairfield University in 1979.</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04" w:lineRule="exact"/>
        <w:rPr>
          <w:sz w:val="20"/>
          <w:szCs w:val="20"/>
          <w:color w:val="auto"/>
        </w:rPr>
      </w:pPr>
    </w:p>
    <w:p>
      <w:pPr>
        <w:ind w:left="760" w:right="140"/>
        <w:spacing w:after="0" w:line="251" w:lineRule="auto"/>
        <w:rPr>
          <w:sz w:val="20"/>
          <w:szCs w:val="20"/>
          <w:color w:val="auto"/>
        </w:rPr>
      </w:pPr>
      <w:r>
        <w:rPr>
          <w:rFonts w:ascii="Arial" w:cs="Arial" w:eastAsia="Arial" w:hAnsi="Arial"/>
          <w:sz w:val="17"/>
          <w:szCs w:val="17"/>
          <w:color w:val="auto"/>
        </w:rPr>
        <w:t>Mr. Quick’s qualifications to serve on our board of directors include his significant experience in the financial services and securities industries, including in the specialist business, and in senior leadership roles and his substantial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6350</wp:posOffset>
            </wp:positionV>
            <wp:extent cx="5829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280670</wp:posOffset>
            </wp:positionV>
            <wp:extent cx="754380" cy="231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36"/>
          <w:szCs w:val="36"/>
          <w:color w:val="00C08A"/>
        </w:rPr>
        <w:t>Vincent</w:t>
      </w:r>
    </w:p>
    <w:tbl>
      <w:tblPr>
        <w:tblLayout w:type="fixed"/>
        <w:tblInd w:w="760" w:type="dxa"/>
        <w:tblCellMar>
          <w:top w:w="0" w:type="dxa"/>
          <w:left w:w="0" w:type="dxa"/>
          <w:bottom w:w="0" w:type="dxa"/>
          <w:right w:w="0" w:type="dxa"/>
        </w:tblCellMar>
      </w:tblPr>
      <w:tr>
        <w:trPr>
          <w:trHeight w:val="163"/>
        </w:trPr>
        <w:tc>
          <w:tcPr>
            <w:tcW w:w="1880" w:type="dxa"/>
            <w:vAlign w:val="bottom"/>
          </w:tcPr>
          <w:p>
            <w:pPr>
              <w:spacing w:after="0" w:line="163" w:lineRule="exact"/>
              <w:rPr>
                <w:sz w:val="20"/>
                <w:szCs w:val="20"/>
                <w:color w:val="auto"/>
              </w:rPr>
            </w:pPr>
            <w:r>
              <w:rPr>
                <w:rFonts w:ascii="Arial" w:cs="Arial" w:eastAsia="Arial" w:hAnsi="Arial"/>
                <w:sz w:val="18"/>
                <w:szCs w:val="18"/>
                <w:color w:val="00C08A"/>
              </w:rPr>
              <w:t>​</w:t>
            </w:r>
          </w:p>
        </w:tc>
        <w:tc>
          <w:tcPr>
            <w:tcW w:w="800" w:type="dxa"/>
            <w:vAlign w:val="bottom"/>
          </w:tcPr>
          <w:p>
            <w:pPr>
              <w:ind w:left="600"/>
              <w:spacing w:after="0" w:line="163" w:lineRule="exact"/>
              <w:rPr>
                <w:sz w:val="20"/>
                <w:szCs w:val="20"/>
                <w:color w:val="auto"/>
              </w:rPr>
            </w:pPr>
            <w:r>
              <w:rPr>
                <w:rFonts w:ascii="Arial" w:cs="Arial" w:eastAsia="Arial" w:hAnsi="Arial"/>
                <w:sz w:val="18"/>
                <w:szCs w:val="18"/>
                <w:color w:val="00C08A"/>
              </w:rPr>
              <w:t>​ ​</w:t>
            </w:r>
          </w:p>
        </w:tc>
        <w:tc>
          <w:tcPr>
            <w:tcW w:w="1380" w:type="dxa"/>
            <w:vAlign w:val="bottom"/>
          </w:tcPr>
          <w:p>
            <w:pPr>
              <w:ind w:left="20"/>
              <w:spacing w:after="0" w:line="163" w:lineRule="exact"/>
              <w:rPr>
                <w:sz w:val="20"/>
                <w:szCs w:val="20"/>
                <w:color w:val="auto"/>
              </w:rPr>
            </w:pPr>
            <w:r>
              <w:rPr>
                <w:rFonts w:ascii="Arial" w:cs="Arial" w:eastAsia="Arial" w:hAnsi="Arial"/>
                <w:sz w:val="18"/>
                <w:szCs w:val="18"/>
                <w:b w:val="1"/>
                <w:bCs w:val="1"/>
                <w:color w:val="00C08A"/>
              </w:rPr>
              <w:t>Director</w:t>
            </w:r>
          </w:p>
        </w:tc>
        <w:tc>
          <w:tcPr>
            <w:tcW w:w="840" w:type="dxa"/>
            <w:vAlign w:val="bottom"/>
          </w:tcPr>
          <w:p>
            <w:pPr>
              <w:ind w:left="660"/>
              <w:spacing w:after="0" w:line="163" w:lineRule="exact"/>
              <w:rPr>
                <w:sz w:val="20"/>
                <w:szCs w:val="20"/>
                <w:color w:val="auto"/>
              </w:rPr>
            </w:pPr>
            <w:r>
              <w:rPr>
                <w:rFonts w:ascii="Arial" w:cs="Arial" w:eastAsia="Arial" w:hAnsi="Arial"/>
                <w:sz w:val="18"/>
                <w:szCs w:val="18"/>
                <w:color w:val="00C08A"/>
              </w:rPr>
              <w:t>​ ​</w:t>
            </w:r>
          </w:p>
        </w:tc>
        <w:tc>
          <w:tcPr>
            <w:tcW w:w="1840" w:type="dxa"/>
            <w:vAlign w:val="bottom"/>
          </w:tcPr>
          <w:p>
            <w:pPr>
              <w:ind w:left="20"/>
              <w:spacing w:after="0" w:line="163" w:lineRule="exact"/>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ind w:left="200"/>
              <w:spacing w:after="0" w:line="163" w:lineRule="exact"/>
              <w:rPr>
                <w:sz w:val="20"/>
                <w:szCs w:val="20"/>
                <w:color w:val="auto"/>
              </w:rPr>
            </w:pPr>
            <w:r>
              <w:rPr>
                <w:rFonts w:ascii="Arial" w:cs="Arial" w:eastAsia="Arial" w:hAnsi="Arial"/>
                <w:sz w:val="18"/>
                <w:szCs w:val="18"/>
                <w:color w:val="00C08A"/>
              </w:rPr>
              <w:t>​ ​</w:t>
            </w:r>
          </w:p>
        </w:tc>
        <w:tc>
          <w:tcPr>
            <w:tcW w:w="1660" w:type="dxa"/>
            <w:vAlign w:val="bottom"/>
          </w:tcPr>
          <w:p>
            <w:pPr>
              <w:ind w:left="40"/>
              <w:spacing w:after="0" w:line="163" w:lineRule="exact"/>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tcPr>
          <w:p>
            <w:pPr>
              <w:jc w:val="right"/>
              <w:spacing w:after="0" w:line="163" w:lineRule="exact"/>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Viola</w:t>
            </w:r>
          </w:p>
        </w:tc>
        <w:tc>
          <w:tcPr>
            <w:tcW w:w="800" w:type="dxa"/>
            <w:vAlign w:val="bottom"/>
            <w:tcBorders>
              <w:bottom w:val="single" w:sz="8" w:color="00C08A"/>
            </w:tcBorders>
          </w:tcPr>
          <w:p>
            <w:pPr>
              <w:spacing w:after="0"/>
              <w:rPr>
                <w:sz w:val="22"/>
                <w:szCs w:val="22"/>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69</w:t>
            </w:r>
          </w:p>
        </w:tc>
        <w:tc>
          <w:tcPr>
            <w:tcW w:w="84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is our founder and has served as a member and Chairman Emeritus of our board of directors since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July 2017. From November 2013 until July 2017, Mr. Viola served as our Executive Chairman and Chairman of our</w:t>
      </w:r>
    </w:p>
    <w:p>
      <w:pPr>
        <w:ind w:left="760"/>
        <w:spacing w:after="0" w:line="234" w:lineRule="auto"/>
        <w:rPr>
          <w:sz w:val="20"/>
          <w:szCs w:val="20"/>
          <w:color w:val="auto"/>
        </w:rPr>
      </w:pPr>
      <w:r>
        <w:rPr>
          <w:rFonts w:ascii="Arial" w:cs="Arial" w:eastAsia="Arial" w:hAnsi="Arial"/>
          <w:sz w:val="18"/>
          <w:szCs w:val="18"/>
          <w:color w:val="auto"/>
        </w:rPr>
        <w:t>board of directors. He previously served as Chief Executive Officer and Chairman of the board of directors of Virtu</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its predecessors since April 2008. Mr. Viola is one of the nation’s foremost leaders in electronic trading. He was</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founder of Virtu Financial Operating LLC (“</w:t>
      </w:r>
      <w:r>
        <w:rPr>
          <w:rFonts w:ascii="Arial" w:cs="Arial" w:eastAsia="Arial" w:hAnsi="Arial"/>
          <w:sz w:val="18"/>
          <w:szCs w:val="18"/>
          <w:b w:val="1"/>
          <w:bCs w:val="1"/>
          <w:color w:val="auto"/>
        </w:rPr>
        <w:t>Virtu East</w:t>
      </w:r>
      <w:r>
        <w:rPr>
          <w:rFonts w:ascii="Arial" w:cs="Arial" w:eastAsia="Arial" w:hAnsi="Arial"/>
          <w:sz w:val="18"/>
          <w:szCs w:val="18"/>
          <w:color w:val="auto"/>
        </w:rPr>
        <w:t>”) in 2008, a founder of Madison Tyler Holdings, LLC</w:t>
      </w:r>
    </w:p>
    <w:p>
      <w:pPr>
        <w:ind w:left="7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Madison Tyler Holdings</w:t>
      </w:r>
      <w:r>
        <w:rPr>
          <w:rFonts w:ascii="Arial" w:cs="Arial" w:eastAsia="Arial" w:hAnsi="Arial"/>
          <w:sz w:val="18"/>
          <w:szCs w:val="18"/>
          <w:color w:val="auto"/>
        </w:rPr>
        <w:t>”) in 2002 and is the former Chairman of the New York Mercantile Exchange (“</w:t>
      </w:r>
      <w:r>
        <w:rPr>
          <w:rFonts w:ascii="Arial" w:cs="Arial" w:eastAsia="Arial" w:hAnsi="Arial"/>
          <w:sz w:val="18"/>
          <w:szCs w:val="18"/>
          <w:b w:val="1"/>
          <w:bCs w:val="1"/>
          <w:color w:val="auto"/>
        </w:rPr>
        <w:t>NYMEX</w:t>
      </w:r>
      <w:r>
        <w:rPr>
          <w:rFonts w:ascii="Arial" w:cs="Arial" w:eastAsia="Arial" w:hAnsi="Arial"/>
          <w:sz w:val="18"/>
          <w:szCs w:val="18"/>
          <w:color w:val="auto"/>
        </w:rPr>
        <w: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commodities exchange. Mr. Viola started his career in the financial services industry on the floor of the NYMEX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became Vice Chairman from 1993 to 1996 and Chairman from 2001 to 2004. Mr. Viola has launched a number of</w:t>
      </w:r>
    </w:p>
    <w:p>
      <w:pPr>
        <w:ind w:left="760"/>
        <w:spacing w:after="0"/>
        <w:rPr>
          <w:sz w:val="20"/>
          <w:szCs w:val="20"/>
          <w:color w:val="auto"/>
        </w:rPr>
      </w:pPr>
      <w:r>
        <w:rPr>
          <w:rFonts w:ascii="Arial" w:cs="Arial" w:eastAsia="Arial" w:hAnsi="Arial"/>
          <w:sz w:val="17"/>
          <w:szCs w:val="17"/>
          <w:color w:val="auto"/>
        </w:rPr>
        <w:t>successful businesses during his career, including Virtu and Independent Bank Group Inc., a regional banking group</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Texas that was listed on Nasdaq (IBTX) until its merger with SouthState Corporation. Shortly after September 11,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2001, Mr. Viola was instrumental in founding the Combating Terrorism Center at West Point. Mr. Viola is currently the</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principal owner and serves as the Chairman and Governor for the Florida Panthers Hockey Club and its parent</w:t>
      </w:r>
    </w:p>
    <w:p>
      <w:pPr>
        <w:ind w:left="760"/>
        <w:spacing w:after="0"/>
        <w:rPr>
          <w:sz w:val="20"/>
          <w:szCs w:val="20"/>
          <w:color w:val="auto"/>
        </w:rPr>
      </w:pPr>
      <w:r>
        <w:rPr>
          <w:rFonts w:ascii="Arial" w:cs="Arial" w:eastAsia="Arial" w:hAnsi="Arial"/>
          <w:sz w:val="17"/>
          <w:szCs w:val="17"/>
          <w:color w:val="auto"/>
        </w:rPr>
        <w:t>company, Sunrise Sports &amp; Entertainment LLC. Mr. Viola graduated from the U.S. Military Academy at West Point in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1977. He later graduated from the U.S. Army Airborne, Infantry and Ranger Schools and served in the 101st</w:t>
      </w:r>
    </w:p>
    <w:p>
      <w:pPr>
        <w:ind w:left="760"/>
        <w:spacing w:after="0"/>
        <w:rPr>
          <w:sz w:val="20"/>
          <w:szCs w:val="20"/>
          <w:color w:val="auto"/>
        </w:rPr>
      </w:pPr>
      <w:r>
        <w:rPr>
          <w:rFonts w:ascii="Arial" w:cs="Arial" w:eastAsia="Arial" w:hAnsi="Arial"/>
          <w:sz w:val="18"/>
          <w:szCs w:val="18"/>
          <w:color w:val="auto"/>
        </w:rPr>
        <w:t>Airborne Division. In 1983, he graduated from New York Law School.</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520"/>
        <w:spacing w:after="0" w:line="252" w:lineRule="auto"/>
        <w:rPr>
          <w:sz w:val="20"/>
          <w:szCs w:val="20"/>
          <w:color w:val="auto"/>
        </w:rPr>
      </w:pPr>
      <w:r>
        <w:rPr>
          <w:rFonts w:ascii="Arial" w:cs="Arial" w:eastAsia="Arial" w:hAnsi="Arial"/>
          <w:sz w:val="18"/>
          <w:szCs w:val="18"/>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-16510</wp:posOffset>
            </wp:positionV>
            <wp:extent cx="58293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three Class II directors will expire at the 2026 Annual Meeting.</w:t>
      </w:r>
    </w:p>
    <w:p>
      <w:pPr>
        <w:spacing w:after="0" w:line="378"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20" w:type="dxa"/>
            <w:vAlign w:val="bottom"/>
          </w:tcPr>
          <w:p>
            <w:pPr>
              <w:spacing w:after="0"/>
              <w:rPr>
                <w:sz w:val="20"/>
                <w:szCs w:val="20"/>
                <w:color w:val="auto"/>
              </w:rPr>
            </w:pPr>
            <w:r>
              <w:rPr>
                <w:rFonts w:ascii="Arial" w:cs="Arial" w:eastAsia="Arial" w:hAnsi="Arial"/>
                <w:sz w:val="36"/>
                <w:szCs w:val="36"/>
                <w:color w:val="00C08A"/>
              </w:rPr>
              <w:t>Douglas A.</w:t>
            </w:r>
          </w:p>
        </w:tc>
        <w:tc>
          <w:tcPr>
            <w:tcW w:w="2560" w:type="dxa"/>
            <w:vAlign w:val="bottom"/>
          </w:tcPr>
          <w:p>
            <w:pPr>
              <w:ind w:left="580"/>
              <w:spacing w:after="0"/>
              <w:rPr>
                <w:sz w:val="20"/>
                <w:szCs w:val="20"/>
                <w:color w:val="auto"/>
              </w:rPr>
            </w:pPr>
            <w:r>
              <w:rPr>
                <w:rFonts w:ascii="Arial" w:cs="Arial" w:eastAsia="Arial" w:hAnsi="Arial"/>
                <w:sz w:val="18"/>
                <w:szCs w:val="18"/>
                <w:b w:val="1"/>
                <w:bCs w:val="1"/>
                <w:color w:val="00C08A"/>
                <w:w w:val="99"/>
              </w:rPr>
              <w:t>Chief Executive Officer</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line="181" w:lineRule="exact"/>
              <w:rPr>
                <w:sz w:val="20"/>
                <w:szCs w:val="20"/>
                <w:color w:val="auto"/>
              </w:rPr>
            </w:pPr>
            <w:r>
              <w:rPr>
                <w:rFonts w:ascii="Arial" w:cs="Arial" w:eastAsia="Arial" w:hAnsi="Arial"/>
                <w:sz w:val="18"/>
                <w:szCs w:val="18"/>
                <w:b w:val="1"/>
                <w:bCs w:val="1"/>
                <w:color w:val="00C08A"/>
              </w:rPr>
              <w:t>​</w:t>
            </w:r>
          </w:p>
        </w:tc>
        <w:tc>
          <w:tcPr>
            <w:tcW w:w="2560" w:type="dxa"/>
            <w:vAlign w:val="bottom"/>
          </w:tcPr>
          <w:p>
            <w:pPr>
              <w:ind w:left="360"/>
              <w:spacing w:after="0" w:line="181" w:lineRule="exact"/>
              <w:rPr>
                <w:sz w:val="20"/>
                <w:szCs w:val="20"/>
                <w:color w:val="auto"/>
              </w:rPr>
            </w:pPr>
            <w:r>
              <w:rPr>
                <w:rFonts w:ascii="Arial" w:cs="Arial" w:eastAsia="Arial" w:hAnsi="Arial"/>
                <w:sz w:val="20"/>
                <w:szCs w:val="20"/>
                <w:b w:val="1"/>
                <w:bCs w:val="1"/>
                <w:color w:val="00C08A"/>
                <w:vertAlign w:val="subscript"/>
              </w:rPr>
              <w:t>​ ​</w:t>
            </w:r>
            <w:r>
              <w:rPr>
                <w:rFonts w:ascii="Arial" w:cs="Arial" w:eastAsia="Arial" w:hAnsi="Arial"/>
                <w:sz w:val="12"/>
                <w:szCs w:val="12"/>
                <w:b w:val="1"/>
                <w:bCs w:val="1"/>
                <w:color w:val="00C08A"/>
              </w:rPr>
              <w:t xml:space="preserve"> and Director</w:t>
            </w:r>
          </w:p>
        </w:tc>
        <w:tc>
          <w:tcPr>
            <w:tcW w:w="22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 ​</w:t>
            </w:r>
          </w:p>
        </w:tc>
        <w:tc>
          <w:tcPr>
            <w:tcW w:w="1840" w:type="dxa"/>
            <w:vAlign w:val="bottom"/>
          </w:tcPr>
          <w:p>
            <w:pPr>
              <w:ind w:left="20"/>
              <w:spacing w:after="0" w:line="181" w:lineRule="exact"/>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ind w:left="200"/>
              <w:spacing w:after="0" w:line="181" w:lineRule="exact"/>
              <w:rPr>
                <w:sz w:val="20"/>
                <w:szCs w:val="20"/>
                <w:color w:val="auto"/>
              </w:rPr>
            </w:pPr>
            <w:r>
              <w:rPr>
                <w:rFonts w:ascii="Arial" w:cs="Arial" w:eastAsia="Arial" w:hAnsi="Arial"/>
                <w:sz w:val="18"/>
                <w:szCs w:val="18"/>
                <w:b w:val="1"/>
                <w:bCs w:val="1"/>
                <w:color w:val="00C08A"/>
              </w:rPr>
              <w:t>​ ​</w:t>
            </w:r>
          </w:p>
        </w:tc>
        <w:tc>
          <w:tcPr>
            <w:tcW w:w="166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56"/>
        </w:trPr>
        <w:tc>
          <w:tcPr>
            <w:tcW w:w="212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Cifu</w:t>
            </w:r>
          </w:p>
        </w:tc>
        <w:tc>
          <w:tcPr>
            <w:tcW w:w="2560" w:type="dxa"/>
            <w:vAlign w:val="bottom"/>
            <w:tcBorders>
              <w:bottom w:val="single" w:sz="8" w:color="00C08A"/>
            </w:tcBorders>
          </w:tcPr>
          <w:p>
            <w:pPr>
              <w:ind w:left="580"/>
              <w:spacing w:after="0"/>
              <w:rPr>
                <w:sz w:val="20"/>
                <w:szCs w:val="20"/>
                <w:color w:val="auto"/>
              </w:rPr>
            </w:pPr>
            <w:r>
              <w:rPr>
                <w:rFonts w:ascii="Arial" w:cs="Arial" w:eastAsia="Arial" w:hAnsi="Arial"/>
                <w:sz w:val="18"/>
                <w:szCs w:val="18"/>
                <w:color w:val="auto"/>
              </w:rPr>
              <w:t>Age: 59</w:t>
            </w:r>
          </w:p>
        </w:tc>
        <w:tc>
          <w:tcPr>
            <w:tcW w:w="22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1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120" w:type="dxa"/>
            <w:vAlign w:val="bottom"/>
          </w:tcPr>
          <w:p>
            <w:pPr>
              <w:spacing w:after="0"/>
              <w:rPr>
                <w:sz w:val="20"/>
                <w:szCs w:val="20"/>
                <w:color w:val="auto"/>
              </w:rPr>
            </w:pPr>
            <w:r>
              <w:rPr>
                <w:rFonts w:ascii="Arial" w:cs="Arial" w:eastAsia="Arial" w:hAnsi="Arial"/>
                <w:sz w:val="18"/>
                <w:szCs w:val="18"/>
                <w:color w:val="00C08A"/>
              </w:rPr>
              <w:t>BACKGROUND</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and served as a member of the Management Committee and Deputy Chairman of the firm’s corporate department. Mr. Cifu also previously served on the board of directors of Independent Bank Group, Inc. (Nasdaq: IBTX), a regional bank holding company and the U.S. Chamber of Commerce. Mr. Cifu also serves as Vice Chairman, Partner and Alternate Governor for the Florida Panthers Hockey Club and its parent company, Sunrise Sports &amp; Entertainment LLC. Mr. Cifu completed his J.D. at Columbia Law School in 1990 and received his B.A. from Columbia University in 1987, from which he graduated magna cum laude.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04" w:lineRule="exact"/>
        <w:rPr>
          <w:sz w:val="20"/>
          <w:szCs w:val="20"/>
          <w:color w:val="auto"/>
        </w:rPr>
      </w:pPr>
    </w:p>
    <w:p>
      <w:pPr>
        <w:ind w:left="760" w:right="540"/>
        <w:spacing w:after="0" w:line="252" w:lineRule="auto"/>
        <w:rPr>
          <w:sz w:val="20"/>
          <w:szCs w:val="20"/>
          <w:color w:val="auto"/>
        </w:rPr>
      </w:pPr>
      <w:r>
        <w:rPr>
          <w:rFonts w:ascii="Arial" w:cs="Arial" w:eastAsia="Arial" w:hAnsi="Arial"/>
          <w:sz w:val="18"/>
          <w:szCs w:val="18"/>
          <w:color w:val="auto"/>
        </w:rPr>
        <w:t>Mr. Cifu’s extensive experience in global financial markets and market structure, his leadership acumen and his background as a corporate attorney add significant value to our Company and our board of directors. As a co-founder, Mr. Cifu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278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3"/>
          </w:tcPr>
          <w:p>
            <w:pPr>
              <w:ind w:left="580"/>
              <w:spacing w:after="0"/>
              <w:rPr>
                <w:sz w:val="20"/>
                <w:szCs w:val="20"/>
                <w:color w:val="auto"/>
              </w:rPr>
            </w:pPr>
            <w:r>
              <w:rPr>
                <w:rFonts w:ascii="Arial" w:cs="Arial" w:eastAsia="Arial" w:hAnsi="Arial"/>
                <w:sz w:val="18"/>
                <w:szCs w:val="18"/>
                <w:color w:val="auto"/>
                <w:w w:val="98"/>
              </w:rPr>
              <w:t>PROPOSAL 1: ELECTION OF DIRECTORS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36"/>
                <w:szCs w:val="36"/>
                <w:color w:val="00C08A"/>
              </w:rPr>
              <w:t>Joseph J.</w:t>
            </w:r>
          </w:p>
        </w:tc>
        <w:tc>
          <w:tcPr>
            <w:tcW w:w="660" w:type="dxa"/>
            <w:vAlign w:val="bottom"/>
            <w:vMerge w:val="restart"/>
          </w:tcPr>
          <w:p>
            <w:pPr>
              <w:ind w:left="46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204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6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7"/>
                <w:szCs w:val="17"/>
                <w:color w:val="002453"/>
              </w:rPr>
              <w:t>•</w:t>
            </w:r>
          </w:p>
        </w:tc>
        <w:tc>
          <w:tcPr>
            <w:tcW w:w="1680" w:type="dxa"/>
            <w:vAlign w:val="bottom"/>
          </w:tcPr>
          <w:p>
            <w:pPr>
              <w:ind w:left="40"/>
              <w:spacing w:after="0" w:line="149" w:lineRule="exact"/>
              <w:rPr>
                <w:sz w:val="20"/>
                <w:szCs w:val="20"/>
                <w:color w:val="auto"/>
              </w:rPr>
            </w:pPr>
            <w:r>
              <w:rPr>
                <w:rFonts w:ascii="Arial" w:cs="Arial" w:eastAsia="Arial" w:hAnsi="Arial"/>
                <w:sz w:val="17"/>
                <w:szCs w:val="17"/>
                <w:color w:val="auto"/>
              </w:rPr>
              <w:t>Audit</w:t>
            </w:r>
          </w:p>
        </w:tc>
        <w:tc>
          <w:tcPr>
            <w:tcW w:w="38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202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Grano, Jr.</w:t>
            </w:r>
          </w:p>
        </w:tc>
        <w:tc>
          <w:tcPr>
            <w:tcW w:w="66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77</w:t>
            </w:r>
          </w:p>
        </w:tc>
        <w:tc>
          <w:tcPr>
            <w:tcW w:w="300" w:type="dxa"/>
            <w:vAlign w:val="bottom"/>
            <w:tcBorders>
              <w:bottom w:val="single" w:sz="8" w:color="00C08A"/>
            </w:tcBorders>
          </w:tcPr>
          <w:p>
            <w:pPr>
              <w:spacing w:after="0"/>
              <w:rPr>
                <w:sz w:val="24"/>
                <w:szCs w:val="24"/>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Compensation</w:t>
            </w:r>
          </w:p>
        </w:tc>
        <w:tc>
          <w:tcPr>
            <w:tcW w:w="380" w:type="dxa"/>
            <w:vAlign w:val="bottom"/>
            <w:tcBorders>
              <w:bottom w:val="single" w:sz="8" w:color="00C08A"/>
            </w:tcBorders>
          </w:tcPr>
          <w:p>
            <w:pPr>
              <w:spacing w:after="0"/>
              <w:rPr>
                <w:sz w:val="24"/>
                <w:szCs w:val="24"/>
                <w:color w:val="auto"/>
              </w:rPr>
            </w:pPr>
          </w:p>
        </w:tc>
        <w:tc>
          <w:tcPr>
            <w:tcW w:w="204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0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00C08A"/>
              </w:rPr>
              <w:t>BACKGROUND</w:t>
            </w: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60" w:right="280"/>
        <w:spacing w:after="0" w:line="268" w:lineRule="auto"/>
        <w:rPr>
          <w:sz w:val="20"/>
          <w:szCs w:val="20"/>
          <w:color w:val="auto"/>
        </w:rPr>
      </w:pPr>
      <w:r>
        <w:rPr>
          <w:rFonts w:ascii="Arial" w:cs="Arial" w:eastAsia="Arial" w:hAnsi="Arial"/>
          <w:sz w:val="17"/>
          <w:szCs w:val="17"/>
          <w:color w:val="auto"/>
        </w:rPr>
        <w:t>Mr. Grano, Jr. became a member of our board of directors in October 2017. Mr. Grano has more than 30 years of experience in the securities and financial services industries. Since 2005, Mr. Grano has served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a brokerage firm, including Director of National Sales.</w:t>
      </w:r>
    </w:p>
    <w:p>
      <w:pPr>
        <w:spacing w:after="0" w:line="3" w:lineRule="exact"/>
        <w:rPr>
          <w:sz w:val="20"/>
          <w:szCs w:val="20"/>
          <w:color w:val="auto"/>
        </w:rPr>
      </w:pPr>
    </w:p>
    <w:p>
      <w:pPr>
        <w:ind w:left="760" w:right="100"/>
        <w:spacing w:after="0" w:line="258" w:lineRule="auto"/>
        <w:rPr>
          <w:sz w:val="20"/>
          <w:szCs w:val="20"/>
          <w:color w:val="auto"/>
        </w:rPr>
      </w:pPr>
      <w:r>
        <w:rPr>
          <w:rFonts w:ascii="Arial" w:cs="Arial" w:eastAsia="Arial" w:hAnsi="Arial"/>
          <w:sz w:val="18"/>
          <w:szCs w:val="18"/>
          <w:color w:val="auto"/>
        </w:rPr>
        <w:t>Mr. Grano previously served as Chairman of the Board of Governors of the National Association of Securities Dealers (NASD) (predecessor to the Financial Industry Regulatory Authority (FINRA)) and was formerly a member of the NASD’s Executive Committee.</w:t>
      </w:r>
    </w:p>
    <w:p>
      <w:pPr>
        <w:spacing w:after="0" w:line="43"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w:t>
      </w:r>
    </w:p>
    <w:tbl>
      <w:tblPr>
        <w:tblLayout w:type="fixed"/>
        <w:tblInd w:w="760" w:type="dxa"/>
        <w:tblCellMar>
          <w:top w:w="0" w:type="dxa"/>
          <w:left w:w="0" w:type="dxa"/>
          <w:bottom w:w="0" w:type="dxa"/>
          <w:right w:w="0" w:type="dxa"/>
        </w:tblCellMar>
      </w:tblPr>
      <w:tr>
        <w:trPr>
          <w:trHeight w:val="187"/>
        </w:trPr>
        <w:tc>
          <w:tcPr>
            <w:tcW w:w="2080" w:type="dxa"/>
            <w:vAlign w:val="bottom"/>
          </w:tcPr>
          <w:p>
            <w:pPr>
              <w:spacing w:after="0" w:line="188" w:lineRule="exact"/>
              <w:rPr>
                <w:sz w:val="20"/>
                <w:szCs w:val="20"/>
                <w:color w:val="auto"/>
              </w:rPr>
            </w:pPr>
            <w:r>
              <w:rPr>
                <w:rFonts w:ascii="Arial" w:cs="Arial" w:eastAsia="Arial" w:hAnsi="Arial"/>
                <w:sz w:val="18"/>
                <w:szCs w:val="18"/>
                <w:color w:val="auto"/>
              </w:rPr>
              <w:t>​</w:t>
            </w:r>
          </w:p>
        </w:tc>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9040" w:type="dxa"/>
            <w:vAlign w:val="bottom"/>
            <w:gridSpan w:val="5"/>
          </w:tcPr>
          <w:p>
            <w:pPr>
              <w:spacing w:after="0" w:line="63" w:lineRule="exact"/>
              <w:rPr>
                <w:sz w:val="20"/>
                <w:szCs w:val="20"/>
                <w:color w:val="auto"/>
              </w:rPr>
            </w:pPr>
            <w:r>
              <w:rPr>
                <w:rFonts w:ascii="Arial" w:cs="Arial" w:eastAsia="Arial" w:hAnsi="Arial"/>
                <w:sz w:val="7"/>
                <w:szCs w:val="7"/>
                <w:color w:val="auto"/>
              </w:rPr>
              <w:t>Mr. Grano holds honorary Doctor of Laws degrees from Pepperdine University and Babson College as well as an</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40" w:type="dxa"/>
            <w:vAlign w:val="bottom"/>
            <w:gridSpan w:val="5"/>
          </w:tcPr>
          <w:p>
            <w:pPr>
              <w:spacing w:after="0"/>
              <w:rPr>
                <w:sz w:val="20"/>
                <w:szCs w:val="20"/>
                <w:color w:val="auto"/>
              </w:rPr>
            </w:pPr>
            <w:r>
              <w:rPr>
                <w:rFonts w:ascii="Arial" w:cs="Arial" w:eastAsia="Arial" w:hAnsi="Arial"/>
                <w:sz w:val="18"/>
                <w:szCs w:val="18"/>
                <w:color w:val="auto"/>
                <w:w w:val="99"/>
              </w:rPr>
              <w:t>honorary Doctor of Humane Letters degree from Queens College. In addition to being one of the financial services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040" w:type="dxa"/>
            <w:vAlign w:val="bottom"/>
            <w:gridSpan w:val="5"/>
          </w:tcPr>
          <w:p>
            <w:pPr>
              <w:spacing w:after="0"/>
              <w:rPr>
                <w:sz w:val="20"/>
                <w:szCs w:val="20"/>
                <w:color w:val="auto"/>
              </w:rPr>
            </w:pPr>
            <w:r>
              <w:rPr>
                <w:rFonts w:ascii="Arial" w:cs="Arial" w:eastAsia="Arial" w:hAnsi="Arial"/>
                <w:sz w:val="18"/>
                <w:szCs w:val="18"/>
                <w:color w:val="auto"/>
              </w:rPr>
              <w:t>industry’s leading executives, Mr. Grano is involved in a wide range of educational and philanthropic endeavors.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040" w:type="dxa"/>
            <w:vAlign w:val="bottom"/>
            <w:gridSpan w:val="5"/>
          </w:tcPr>
          <w:p>
            <w:pPr>
              <w:spacing w:after="0"/>
              <w:rPr>
                <w:sz w:val="20"/>
                <w:szCs w:val="20"/>
                <w:color w:val="auto"/>
              </w:rPr>
            </w:pPr>
            <w:r>
              <w:rPr>
                <w:rFonts w:ascii="Arial" w:cs="Arial" w:eastAsia="Arial" w:hAnsi="Arial"/>
                <w:sz w:val="18"/>
                <w:szCs w:val="18"/>
                <w:color w:val="auto"/>
                <w:w w:val="99"/>
              </w:rPr>
              <w:t>Mr. Grano also served in the U.S. Special Forces (Green Berets). He also won a Tony Award as a producer of the</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40" w:type="dxa"/>
            <w:vAlign w:val="bottom"/>
            <w:gridSpan w:val="5"/>
          </w:tcPr>
          <w:p>
            <w:pPr>
              <w:spacing w:after="0"/>
              <w:rPr>
                <w:sz w:val="20"/>
                <w:szCs w:val="20"/>
                <w:color w:val="auto"/>
              </w:rPr>
            </w:pPr>
            <w:r>
              <w:rPr>
                <w:rFonts w:ascii="Arial" w:cs="Arial" w:eastAsia="Arial" w:hAnsi="Arial"/>
                <w:sz w:val="18"/>
                <w:szCs w:val="18"/>
                <w:color w:val="auto"/>
              </w:rPr>
              <w:t xml:space="preserve">record-setting musical Jersey Boys. Mr. Grano is the author of the book </w:t>
            </w:r>
            <w:r>
              <w:rPr>
                <w:rFonts w:ascii="Arial" w:cs="Arial" w:eastAsia="Arial" w:hAnsi="Arial"/>
                <w:sz w:val="18"/>
                <w:szCs w:val="18"/>
                <w:i w:val="1"/>
                <w:iCs w:val="1"/>
                <w:color w:val="auto"/>
              </w:rPr>
              <w:t>You Can’t Predict A Hero</w:t>
            </w:r>
            <w:r>
              <w:rPr>
                <w:rFonts w:ascii="Arial" w:cs="Arial" w:eastAsia="Arial" w:hAnsi="Arial"/>
                <w:sz w:val="18"/>
                <w:szCs w:val="18"/>
                <w:color w:val="auto"/>
              </w:rPr>
              <w:t xml:space="preserve"> which was 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spacing w:after="0"/>
              <w:rPr>
                <w:sz w:val="20"/>
                <w:szCs w:val="20"/>
                <w:color w:val="auto"/>
              </w:rPr>
            </w:pPr>
            <w:r>
              <w:rPr>
                <w:rFonts w:ascii="Arial" w:cs="Arial" w:eastAsia="Arial" w:hAnsi="Arial"/>
                <w:sz w:val="18"/>
                <w:szCs w:val="18"/>
                <w:color w:val="auto"/>
              </w:rPr>
              <w:t>Businessweek’s best seller list in 2009.</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0"/>
                <w:szCs w:val="20"/>
                <w:color w:val="auto"/>
              </w:rPr>
            </w:pPr>
            <w:r>
              <w:rPr>
                <w:rFonts w:ascii="Arial" w:cs="Arial" w:eastAsia="Arial" w:hAnsi="Arial"/>
                <w:sz w:val="18"/>
                <w:szCs w:val="18"/>
                <w:color w:val="00C08A"/>
              </w:rPr>
              <w:t>QUALIFICATIONS</w:t>
            </w:r>
          </w:p>
        </w:tc>
        <w:tc>
          <w:tcPr>
            <w:tcW w:w="2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40" w:type="dxa"/>
            <w:vAlign w:val="bottom"/>
            <w:gridSpan w:val="5"/>
          </w:tcPr>
          <w:p>
            <w:pPr>
              <w:spacing w:after="0"/>
              <w:rPr>
                <w:sz w:val="20"/>
                <w:szCs w:val="20"/>
                <w:color w:val="auto"/>
              </w:rPr>
            </w:pPr>
            <w:r>
              <w:rPr>
                <w:rFonts w:ascii="Arial" w:cs="Arial" w:eastAsia="Arial" w:hAnsi="Arial"/>
                <w:sz w:val="18"/>
                <w:szCs w:val="18"/>
                <w:color w:val="auto"/>
              </w:rPr>
              <w:t>Mr. Grano’s previous senior leadership roles in the financial securities industry and public company experience</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040" w:type="dxa"/>
            <w:vAlign w:val="bottom"/>
            <w:gridSpan w:val="5"/>
          </w:tcPr>
          <w:p>
            <w:pPr>
              <w:spacing w:after="0"/>
              <w:rPr>
                <w:sz w:val="20"/>
                <w:szCs w:val="20"/>
                <w:color w:val="auto"/>
              </w:rPr>
            </w:pPr>
            <w:r>
              <w:rPr>
                <w:rFonts w:ascii="Arial" w:cs="Arial" w:eastAsia="Arial" w:hAnsi="Arial"/>
                <w:sz w:val="18"/>
                <w:szCs w:val="18"/>
                <w:color w:val="auto"/>
              </w:rPr>
              <w:t>provide a valuable insight regarding strategic decisions and add value to our board of directors.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80" w:type="dxa"/>
            <w:vAlign w:val="bottom"/>
            <w:tcBorders>
              <w:bottom w:val="single" w:sz="8" w:color="00C08A"/>
            </w:tcBorders>
          </w:tcPr>
          <w:p>
            <w:pPr>
              <w:spacing w:after="0"/>
              <w:rPr>
                <w:sz w:val="5"/>
                <w:szCs w:val="5"/>
                <w:color w:val="auto"/>
              </w:rPr>
            </w:pPr>
          </w:p>
        </w:tc>
        <w:tc>
          <w:tcPr>
            <w:tcW w:w="2520" w:type="dxa"/>
            <w:vAlign w:val="bottom"/>
            <w:tcBorders>
              <w:bottom w:val="single" w:sz="8" w:color="00C08A"/>
            </w:tcBorders>
          </w:tcPr>
          <w:p>
            <w:pPr>
              <w:spacing w:after="0"/>
              <w:rPr>
                <w:sz w:val="5"/>
                <w:szCs w:val="5"/>
                <w:color w:val="auto"/>
              </w:rPr>
            </w:pPr>
          </w:p>
        </w:tc>
        <w:tc>
          <w:tcPr>
            <w:tcW w:w="2140" w:type="dxa"/>
            <w:vAlign w:val="bottom"/>
            <w:tcBorders>
              <w:bottom w:val="single" w:sz="8" w:color="00C08A"/>
            </w:tcBorders>
            <w:gridSpan w:val="2"/>
          </w:tcPr>
          <w:p>
            <w:pPr>
              <w:spacing w:after="0"/>
              <w:rPr>
                <w:sz w:val="5"/>
                <w:szCs w:val="5"/>
                <w:color w:val="auto"/>
              </w:rPr>
            </w:pPr>
          </w:p>
        </w:tc>
        <w:tc>
          <w:tcPr>
            <w:tcW w:w="2300" w:type="dxa"/>
            <w:vAlign w:val="bottom"/>
            <w:tcBorders>
              <w:bottom w:val="single" w:sz="8" w:color="00C08A"/>
            </w:tcBorders>
          </w:tcPr>
          <w:p>
            <w:pPr>
              <w:spacing w:after="0"/>
              <w:rPr>
                <w:sz w:val="5"/>
                <w:szCs w:val="5"/>
                <w:color w:val="auto"/>
              </w:rPr>
            </w:pPr>
          </w:p>
        </w:tc>
        <w:tc>
          <w:tcPr>
            <w:tcW w:w="140" w:type="dxa"/>
            <w:vAlign w:val="bottom"/>
            <w:tcBorders>
              <w:bottom w:val="single" w:sz="8" w:color="00C08A"/>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4"/>
        </w:trPr>
        <w:tc>
          <w:tcPr>
            <w:tcW w:w="2080" w:type="dxa"/>
            <w:vAlign w:val="bottom"/>
          </w:tcPr>
          <w:p>
            <w:pPr>
              <w:spacing w:after="0"/>
              <w:rPr>
                <w:sz w:val="20"/>
                <w:szCs w:val="20"/>
                <w:color w:val="auto"/>
              </w:rPr>
            </w:pPr>
            <w:r>
              <w:rPr>
                <w:rFonts w:ascii="Arial" w:cs="Arial" w:eastAsia="Arial" w:hAnsi="Arial"/>
                <w:sz w:val="36"/>
                <w:szCs w:val="36"/>
                <w:color w:val="00C08A"/>
              </w:rPr>
              <w:t>Joanne M.</w:t>
            </w:r>
          </w:p>
        </w:tc>
        <w:tc>
          <w:tcPr>
            <w:tcW w:w="2520" w:type="dxa"/>
            <w:vAlign w:val="bottom"/>
            <w:vMerge w:val="restart"/>
          </w:tcPr>
          <w:p>
            <w:pPr>
              <w:ind w:left="40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Independent Director</w:t>
            </w:r>
          </w:p>
        </w:tc>
        <w:tc>
          <w:tcPr>
            <w:tcW w:w="2140" w:type="dxa"/>
            <w:vAlign w:val="bottom"/>
            <w:gridSpan w:val="2"/>
          </w:tcPr>
          <w:p>
            <w:pPr>
              <w:ind w:left="320"/>
              <w:spacing w:after="0"/>
              <w:rPr>
                <w:sz w:val="20"/>
                <w:szCs w:val="20"/>
                <w:color w:val="auto"/>
              </w:rPr>
            </w:pPr>
            <w:r>
              <w:rPr>
                <w:rFonts w:ascii="Arial" w:cs="Arial" w:eastAsia="Arial" w:hAnsi="Arial"/>
                <w:sz w:val="18"/>
                <w:szCs w:val="18"/>
                <w:b w:val="1"/>
                <w:bCs w:val="1"/>
                <w:color w:val="00C08A"/>
              </w:rPr>
              <w:t>Board Committees</w:t>
            </w:r>
          </w:p>
        </w:tc>
        <w:tc>
          <w:tcPr>
            <w:tcW w:w="2300" w:type="dxa"/>
            <w:vAlign w:val="bottom"/>
            <w:vMerge w:val="restart"/>
          </w:tcPr>
          <w:p>
            <w:pPr>
              <w:jc w:val="right"/>
              <w:ind w:right="570"/>
              <w:spacing w:after="0"/>
              <w:rPr>
                <w:sz w:val="20"/>
                <w:szCs w:val="20"/>
                <w:color w:val="auto"/>
              </w:rPr>
            </w:pPr>
            <w:r>
              <w:rPr>
                <w:rFonts w:ascii="Arial" w:cs="Arial" w:eastAsia="Arial" w:hAnsi="Arial"/>
                <w:sz w:val="35"/>
                <w:szCs w:val="35"/>
                <w:color w:val="000000"/>
                <w:vertAlign w:val="subscript"/>
              </w:rPr>
              <w:t>​ ​</w:t>
            </w:r>
            <w:r>
              <w:rPr>
                <w:rFonts w:ascii="Arial" w:cs="Arial" w:eastAsia="Arial" w:hAnsi="Arial"/>
                <w:sz w:val="18"/>
                <w:szCs w:val="18"/>
                <w:b w:val="1"/>
                <w:bCs w:val="1"/>
                <w:color w:val="00C08A"/>
              </w:rPr>
              <w:t xml:space="preserve"> Director Since</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520" w:type="dxa"/>
            <w:vAlign w:val="bottom"/>
            <w:vMerge w:val="continue"/>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0"/>
                <w:szCs w:val="20"/>
                <w:color w:val="002453"/>
                <w:vertAlign w:val="superscript"/>
              </w:rPr>
              <w:t>•</w:t>
            </w:r>
          </w:p>
        </w:tc>
        <w:tc>
          <w:tcPr>
            <w:tcW w:w="1680" w:type="dxa"/>
            <w:vAlign w:val="bottom"/>
          </w:tcPr>
          <w:p>
            <w:pPr>
              <w:ind w:left="40"/>
              <w:spacing w:after="0" w:line="176" w:lineRule="exact"/>
              <w:rPr>
                <w:sz w:val="20"/>
                <w:szCs w:val="20"/>
                <w:color w:val="auto"/>
              </w:rPr>
            </w:pPr>
            <w:r>
              <w:rPr>
                <w:rFonts w:ascii="Arial" w:cs="Arial" w:eastAsia="Arial" w:hAnsi="Arial"/>
                <w:sz w:val="18"/>
                <w:szCs w:val="18"/>
                <w:color w:val="auto"/>
              </w:rPr>
              <w:t>Audit</w:t>
            </w:r>
          </w:p>
        </w:tc>
        <w:tc>
          <w:tcPr>
            <w:tcW w:w="23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Minieri</w:t>
            </w:r>
          </w:p>
        </w:tc>
        <w:tc>
          <w:tcPr>
            <w:tcW w:w="2520" w:type="dxa"/>
            <w:vAlign w:val="bottom"/>
            <w:tcBorders>
              <w:bottom w:val="single" w:sz="8" w:color="00C08A"/>
            </w:tcBorders>
          </w:tcPr>
          <w:p>
            <w:pPr>
              <w:ind w:left="620"/>
              <w:spacing w:after="0"/>
              <w:rPr>
                <w:sz w:val="20"/>
                <w:szCs w:val="20"/>
                <w:color w:val="auto"/>
              </w:rPr>
            </w:pPr>
            <w:r>
              <w:rPr>
                <w:rFonts w:ascii="Arial" w:cs="Arial" w:eastAsia="Arial" w:hAnsi="Arial"/>
                <w:sz w:val="18"/>
                <w:szCs w:val="18"/>
                <w:color w:val="auto"/>
              </w:rPr>
              <w:t>Age: 64</w:t>
            </w:r>
          </w:p>
        </w:tc>
        <w:tc>
          <w:tcPr>
            <w:tcW w:w="4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N&amp;CG</w:t>
            </w:r>
          </w:p>
        </w:tc>
        <w:tc>
          <w:tcPr>
            <w:tcW w:w="2300" w:type="dxa"/>
            <w:vAlign w:val="bottom"/>
            <w:tcBorders>
              <w:bottom w:val="single" w:sz="8" w:color="00C08A"/>
            </w:tcBorders>
          </w:tcPr>
          <w:p>
            <w:pPr>
              <w:jc w:val="right"/>
              <w:ind w:right="139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2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60" w:right="100"/>
        <w:spacing w:after="0" w:line="254" w:lineRule="auto"/>
        <w:rPr>
          <w:sz w:val="20"/>
          <w:szCs w:val="20"/>
          <w:color w:val="auto"/>
        </w:rPr>
      </w:pPr>
      <w:r>
        <w:rPr>
          <w:rFonts w:ascii="Arial" w:cs="Arial" w:eastAsia="Arial" w:hAnsi="Arial"/>
          <w:sz w:val="18"/>
          <w:szCs w:val="18"/>
          <w:color w:val="auto"/>
        </w:rPr>
        <w:t>Ms. Minieri became a member of our board of directors in April 2021. She has more than 35 years’ experience in senior leadership positions in real estate and financial services. She previously served as Chief Operating Officer of Development and Constructive Services and as Senior Executive Vice President and Senior Managing Director at RXR Realty (“RXR”) from October 2018 until February 2024. Earlier in her career, she served as President and Chief Operating Officer of Forest City Ratner Companies, overseeing billions of dollars of development, and as Deputy County Executive and Commissioner for Suffolk County Economic Development and Planning, as well as in leadership roles in professional accounting, tax and consulting services. Since 2024 she has served as the founder and principal of JONEE 1212, a consulting and advisory firm. Ms. Minieri has served on the board of local government development organizations and currently serves on numerous public and private boards including Trinity Place Holdings, Inc. and the Girl Scouts of Greater NY. She is a Certified Public Accountant and holds a B.B.A. from Hofstra University.</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80"/>
        <w:spacing w:after="0" w:line="287" w:lineRule="auto"/>
        <w:rPr>
          <w:sz w:val="20"/>
          <w:szCs w:val="20"/>
          <w:color w:val="auto"/>
        </w:rPr>
      </w:pPr>
      <w:r>
        <w:rPr>
          <w:rFonts w:ascii="Arial" w:cs="Arial" w:eastAsia="Arial" w:hAnsi="Arial"/>
          <w:sz w:val="18"/>
          <w:szCs w:val="18"/>
          <w:color w:val="auto"/>
        </w:rPr>
        <w:t>Ms. Minieri’s previous experience in senior leadership positions in financial services and public company experience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434975</wp:posOffset>
            </wp:positionV>
            <wp:extent cx="754380"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Class III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III directors will expire at the 2027 Annual Meeting.</w:t>
      </w: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478"/>
        </w:trPr>
        <w:tc>
          <w:tcPr>
            <w:tcW w:w="1960" w:type="dxa"/>
            <w:vAlign w:val="bottom"/>
          </w:tcPr>
          <w:p>
            <w:pPr>
              <w:spacing w:after="0"/>
              <w:rPr>
                <w:sz w:val="20"/>
                <w:szCs w:val="20"/>
                <w:color w:val="auto"/>
              </w:rPr>
            </w:pPr>
            <w:r>
              <w:rPr>
                <w:rFonts w:ascii="Arial" w:cs="Arial" w:eastAsia="Arial" w:hAnsi="Arial"/>
                <w:sz w:val="36"/>
                <w:szCs w:val="36"/>
                <w:color w:val="00C08A"/>
              </w:rPr>
              <w:t>Virginia</w:t>
            </w:r>
          </w:p>
        </w:tc>
        <w:tc>
          <w:tcPr>
            <w:tcW w:w="720" w:type="dxa"/>
            <w:vAlign w:val="bottom"/>
            <w:vMerge w:val="restart"/>
          </w:tcPr>
          <w:p>
            <w:pPr>
              <w:ind w:left="520"/>
              <w:spacing w:after="0"/>
              <w:rPr>
                <w:sz w:val="20"/>
                <w:szCs w:val="20"/>
                <w:color w:val="auto"/>
              </w:rPr>
            </w:pPr>
            <w:r>
              <w:rPr>
                <w:rFonts w:ascii="Arial" w:cs="Arial" w:eastAsia="Arial" w:hAnsi="Arial"/>
                <w:sz w:val="18"/>
                <w:szCs w:val="18"/>
                <w:color w:val="00C08A"/>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00C08A"/>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08A"/>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08A"/>
              </w:rPr>
              <w:t>​</w:t>
            </w:r>
          </w:p>
        </w:tc>
        <w:tc>
          <w:tcPr>
            <w:tcW w:w="0" w:type="dxa"/>
            <w:vAlign w:val="bottom"/>
          </w:tcPr>
          <w:p>
            <w:pPr>
              <w:spacing w:after="0"/>
              <w:rPr>
                <w:sz w:val="1"/>
                <w:szCs w:val="1"/>
                <w:color w:val="auto"/>
              </w:rPr>
            </w:pPr>
          </w:p>
        </w:tc>
      </w:tr>
      <w:tr>
        <w:trPr>
          <w:trHeight w:val="33"/>
        </w:trPr>
        <w:tc>
          <w:tcPr>
            <w:tcW w:w="1960" w:type="dxa"/>
            <w:vAlign w:val="bottom"/>
          </w:tcPr>
          <w:p>
            <w:pPr>
              <w:spacing w:after="0" w:line="33" w:lineRule="exact"/>
              <w:rPr>
                <w:sz w:val="20"/>
                <w:szCs w:val="20"/>
                <w:color w:val="auto"/>
              </w:rPr>
            </w:pPr>
            <w:r>
              <w:rPr>
                <w:rFonts w:ascii="Arial" w:cs="Arial" w:eastAsia="Arial" w:hAnsi="Arial"/>
                <w:sz w:val="3"/>
                <w:szCs w:val="3"/>
                <w:color w:val="00C08A"/>
              </w:rPr>
              <w:t>​</w:t>
            </w:r>
          </w:p>
        </w:tc>
        <w:tc>
          <w:tcPr>
            <w:tcW w:w="72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96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Gambale</w:t>
            </w:r>
          </w:p>
        </w:tc>
        <w:tc>
          <w:tcPr>
            <w:tcW w:w="720" w:type="dxa"/>
            <w:vAlign w:val="bottom"/>
            <w:tcBorders>
              <w:bottom w:val="single" w:sz="8" w:color="00C08A"/>
            </w:tcBorders>
          </w:tcPr>
          <w:p>
            <w:pPr>
              <w:spacing w:after="0"/>
              <w:rPr>
                <w:sz w:val="24"/>
                <w:szCs w:val="24"/>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65</w:t>
            </w:r>
          </w:p>
        </w:tc>
        <w:tc>
          <w:tcPr>
            <w:tcW w:w="30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9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r>
              <w:rPr>
                <w:rFonts w:ascii="Arial" w:cs="Arial" w:eastAsia="Arial" w:hAnsi="Arial"/>
                <w:sz w:val="18"/>
                <w:szCs w:val="18"/>
                <w:color w:val="00C08A"/>
              </w:rPr>
              <w:t>BACKGROUND</w:t>
            </w:r>
          </w:p>
        </w:tc>
        <w:tc>
          <w:tcPr>
            <w:tcW w:w="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280"/>
        <w:spacing w:after="0" w:line="270" w:lineRule="auto"/>
        <w:rPr>
          <w:sz w:val="20"/>
          <w:szCs w:val="20"/>
          <w:color w:val="auto"/>
        </w:rPr>
      </w:pPr>
      <w:r>
        <w:rPr>
          <w:rFonts w:ascii="Arial" w:cs="Arial" w:eastAsia="Arial" w:hAnsi="Arial"/>
          <w:sz w:val="17"/>
          <w:szCs w:val="17"/>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investment bank Deutsche Bank Capital and ABS Ventures, a venture capital firm, from 1999 to 2003. Prior to that, Ms. Gambale held the position of Chief Information Officer at Bankers Trust Alex Brown, an investment banking firm, and Merrill Lynch. Ms. Gambale currently serves on the board of Nutanix, Inc, (Nasdaq: NTNX), Jamf Holding Corp., (Nasdaq: JAMF) and Evertec Inc. (NYSE: EVTC) and serves on the NACD Risk Oversight Advisory Council and the Juilliard School Board of Trustees. She has also served on numerous international public and private boards including First Derivatives, a financial technology company, JetBlue Airways Corp., an airline company, Piper Jaffray Companies, an investment bank, Regis Corp., a hair salon operator, IQ Financial, a wealth management firm, and technology companies Synchronoss Technologies, Motive, Inc., and Workbrain, among others. Ms. Gambale holds a B.S. from New York Institute of Technology-Old Westbury.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280"/>
        <w:spacing w:after="0" w:line="287" w:lineRule="auto"/>
        <w:rPr>
          <w:sz w:val="20"/>
          <w:szCs w:val="20"/>
          <w:color w:val="auto"/>
        </w:rPr>
      </w:pPr>
      <w:r>
        <w:rPr>
          <w:rFonts w:ascii="Arial" w:cs="Arial" w:eastAsia="Arial" w:hAnsi="Arial"/>
          <w:sz w:val="18"/>
          <w:szCs w:val="18"/>
          <w:color w:val="auto"/>
        </w:rPr>
        <w:t>Ms. Gambale’s previous experience in senior leadership positions in finance and technology and previous services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08A"/>
              </w:rPr>
              <w:t>John D.</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840" w:type="dxa"/>
            <w:vAlign w:val="bottom"/>
          </w:tcPr>
          <w:p>
            <w:pPr>
              <w:ind w:left="20"/>
              <w:spacing w:after="0" w:line="181" w:lineRule="exact"/>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Audit</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Nixon</w:t>
            </w:r>
          </w:p>
        </w:tc>
        <w:tc>
          <w:tcPr>
            <w:tcW w:w="80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69</w:t>
            </w:r>
          </w:p>
        </w:tc>
        <w:tc>
          <w:tcPr>
            <w:tcW w:w="300" w:type="dxa"/>
            <w:vAlign w:val="bottom"/>
            <w:tcBorders>
              <w:bottom w:val="single" w:sz="8" w:color="00C08A"/>
            </w:tcBorders>
          </w:tcPr>
          <w:p>
            <w:pPr>
              <w:spacing w:after="0"/>
              <w:rPr>
                <w:sz w:val="22"/>
                <w:szCs w:val="22"/>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N&amp;CG</w:t>
            </w:r>
          </w:p>
        </w:tc>
        <w:tc>
          <w:tcPr>
            <w:tcW w:w="380" w:type="dxa"/>
            <w:vAlign w:val="bottom"/>
            <w:tcBorders>
              <w:bottom w:val="single" w:sz="8" w:color="00C08A"/>
            </w:tcBorders>
          </w:tcPr>
          <w:p>
            <w:pPr>
              <w:spacing w:after="0"/>
              <w:rPr>
                <w:sz w:val="22"/>
                <w:szCs w:val="22"/>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Mr. Nixon became a member of our board of directors in May 2015. Mr. Nixon has more than 30 years of international experience in the interdealer broker industry with ICAP plc (“</w:t>
      </w:r>
      <w:r>
        <w:rPr>
          <w:rFonts w:ascii="Arial" w:cs="Arial" w:eastAsia="Arial" w:hAnsi="Arial"/>
          <w:sz w:val="18"/>
          <w:szCs w:val="18"/>
          <w:b w:val="1"/>
          <w:bCs w:val="1"/>
          <w:color w:val="auto"/>
        </w:rPr>
        <w:t>ICAP</w:t>
      </w:r>
      <w:r>
        <w:rPr>
          <w:rFonts w:ascii="Arial" w:cs="Arial" w:eastAsia="Arial" w:hAnsi="Arial"/>
          <w:sz w:val="18"/>
          <w:szCs w:val="18"/>
          <w:color w:val="auto"/>
        </w:rPr>
        <w:t>”)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 Mr. Nixon serves as our representative on the board of Eris Innovations Holdings LLC, a financial technology company, as a senior financial services advisor to Temasek USA, a global investment company and as a member of the board of directors of Eastdil Secured, global real estate investment bank, on behalf of Temasek. Mr. Nixon holds a degree in Commerce from Queen’s University, Ontario.</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240"/>
        <w:spacing w:after="0" w:line="287" w:lineRule="auto"/>
        <w:rPr>
          <w:sz w:val="20"/>
          <w:szCs w:val="20"/>
          <w:color w:val="auto"/>
        </w:rPr>
      </w:pPr>
      <w:r>
        <w:rPr>
          <w:rFonts w:ascii="Arial" w:cs="Arial" w:eastAsia="Arial" w:hAnsi="Arial"/>
          <w:sz w:val="18"/>
          <w:szCs w:val="18"/>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264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3"/>
          </w:tcPr>
          <w:p>
            <w:pPr>
              <w:ind w:left="580"/>
              <w:spacing w:after="0"/>
              <w:rPr>
                <w:sz w:val="20"/>
                <w:szCs w:val="20"/>
                <w:color w:val="auto"/>
              </w:rPr>
            </w:pPr>
            <w:r>
              <w:rPr>
                <w:rFonts w:ascii="Arial" w:cs="Arial" w:eastAsia="Arial" w:hAnsi="Arial"/>
                <w:sz w:val="18"/>
                <w:szCs w:val="18"/>
                <w:color w:val="auto"/>
                <w:w w:val="98"/>
              </w:rPr>
              <w:t>PROPOSAL 1: ELECTION OF DIRECTORS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6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36"/>
                <w:szCs w:val="36"/>
                <w:color w:val="00C08A"/>
              </w:rPr>
              <w:t>David J.</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204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188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Pr>
          <w:p>
            <w:pPr>
              <w:ind w:left="20"/>
              <w:spacing w:after="0" w:line="181" w:lineRule="exact"/>
              <w:rPr>
                <w:sz w:val="20"/>
                <w:szCs w:val="20"/>
                <w:color w:val="auto"/>
              </w:rPr>
            </w:pPr>
            <w:r>
              <w:rPr>
                <w:rFonts w:ascii="Arial" w:cs="Arial" w:eastAsia="Arial" w:hAnsi="Arial"/>
                <w:sz w:val="18"/>
                <w:szCs w:val="18"/>
                <w:color w:val="002453"/>
              </w:rPr>
              <w:t>•</w:t>
            </w:r>
          </w:p>
        </w:tc>
        <w:tc>
          <w:tcPr>
            <w:tcW w:w="1680" w:type="dxa"/>
            <w:vAlign w:val="bottom"/>
          </w:tcPr>
          <w:p>
            <w:pPr>
              <w:ind w:left="40"/>
              <w:spacing w:after="0" w:line="181" w:lineRule="exact"/>
              <w:rPr>
                <w:sz w:val="20"/>
                <w:szCs w:val="20"/>
                <w:color w:val="auto"/>
              </w:rPr>
            </w:pPr>
            <w:r>
              <w:rPr>
                <w:rFonts w:ascii="Arial" w:cs="Arial" w:eastAsia="Arial" w:hAnsi="Arial"/>
                <w:sz w:val="18"/>
                <w:szCs w:val="18"/>
                <w:color w:val="auto"/>
              </w:rPr>
              <w:t>Compensation</w:t>
            </w:r>
          </w:p>
        </w:tc>
        <w:tc>
          <w:tcPr>
            <w:tcW w:w="38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1880" w:type="dxa"/>
            <w:vAlign w:val="bottom"/>
            <w:tcBorders>
              <w:bottom w:val="single" w:sz="8" w:color="00C08A"/>
            </w:tcBorders>
          </w:tcPr>
          <w:p>
            <w:pPr>
              <w:spacing w:after="0" w:line="256" w:lineRule="exact"/>
              <w:rPr>
                <w:sz w:val="20"/>
                <w:szCs w:val="20"/>
                <w:color w:val="auto"/>
              </w:rPr>
            </w:pPr>
            <w:r>
              <w:rPr>
                <w:rFonts w:ascii="Arial" w:cs="Arial" w:eastAsia="Arial" w:hAnsi="Arial"/>
                <w:sz w:val="29"/>
                <w:szCs w:val="29"/>
                <w:color w:val="00C08A"/>
              </w:rPr>
              <w:t>Urban</w:t>
            </w:r>
          </w:p>
        </w:tc>
        <w:tc>
          <w:tcPr>
            <w:tcW w:w="800" w:type="dxa"/>
            <w:vAlign w:val="bottom"/>
            <w:tcBorders>
              <w:bottom w:val="single" w:sz="8" w:color="00C08A"/>
            </w:tcBorders>
          </w:tcPr>
          <w:p>
            <w:pPr>
              <w:spacing w:after="0"/>
              <w:rPr>
                <w:sz w:val="22"/>
                <w:szCs w:val="22"/>
                <w:color w:val="auto"/>
              </w:rPr>
            </w:pPr>
          </w:p>
        </w:tc>
        <w:tc>
          <w:tcPr>
            <w:tcW w:w="19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61</w:t>
            </w:r>
          </w:p>
        </w:tc>
        <w:tc>
          <w:tcPr>
            <w:tcW w:w="300" w:type="dxa"/>
            <w:vAlign w:val="bottom"/>
            <w:tcBorders>
              <w:bottom w:val="single" w:sz="8" w:color="00C08A"/>
            </w:tcBorders>
          </w:tcPr>
          <w:p>
            <w:pPr>
              <w:spacing w:after="0"/>
              <w:rPr>
                <w:sz w:val="22"/>
                <w:szCs w:val="22"/>
                <w:color w:val="auto"/>
              </w:rPr>
            </w:pPr>
          </w:p>
        </w:tc>
        <w:tc>
          <w:tcPr>
            <w:tcW w:w="1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w:t>
            </w:r>
          </w:p>
        </w:tc>
        <w:tc>
          <w:tcPr>
            <w:tcW w:w="168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Risk</w:t>
            </w:r>
          </w:p>
        </w:tc>
        <w:tc>
          <w:tcPr>
            <w:tcW w:w="380" w:type="dxa"/>
            <w:vAlign w:val="bottom"/>
            <w:tcBorders>
              <w:bottom w:val="single" w:sz="8" w:color="00C08A"/>
            </w:tcBorders>
          </w:tcPr>
          <w:p>
            <w:pPr>
              <w:spacing w:after="0"/>
              <w:rPr>
                <w:sz w:val="22"/>
                <w:szCs w:val="22"/>
                <w:color w:val="auto"/>
              </w:rPr>
            </w:pPr>
          </w:p>
        </w:tc>
        <w:tc>
          <w:tcPr>
            <w:tcW w:w="204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00C08A"/>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00C08A"/>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Mr. Urban has more than 20 years’ experience in senior leadership positions in business and governmental roles, currently serving as Managing Director to BGR Group, a bi-partisan lobbying, strategic communications and business solutions firm, and Senior Advisor to Gothams, a firm designed to augment emergency management response capabilities, since April 2022 and January 2022, respectively and Of Counsel at Torridon Law, a high-profile boutique law-firm since June 2024. Previously, from July 2020 to January 2022, he served as Executive Vice President, North American Corporate Affairs at ByteDance, the parent company of TikTok, a leading social network, and from January 2002 to July 2020, as President of the American Continental Group, a leading bi-partisan government affairs and strategic consulting firm which provided consulting services to diverse organizations including those across the financial services and technology sectors. Mr. Urban previously served as the Chief of Staff for a U.S. Senator, a lawyer in private practice and as an officer in the U.S. Army’s 101st Airborne Division where he was awarded the Bronze Star. Mr. Urban is a member of the National Association of Corporate Directors and serves as a board member at SubCom, a communications systems, Eos Energy Enterprises Inc., an energy storage company (NASDAQ: EOSE) and services company and the Johnny Mac Soldiers Fund. Mr. Urban holds a B.S. from the United States Military Academy at West Point, a J.D. from the Beasley School of Law, Temple University, an M.P.A. from the Fels Institute of Government, University of Pennsylvania, a Certificate in Leading Sustainable Corporations from the Saide Business School, University of Oxford, and a Certificate in Geopolitical Analysis from Stratfor/Florida Atlantic University.</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160"/>
        <w:spacing w:after="0" w:line="287" w:lineRule="auto"/>
        <w:rPr>
          <w:sz w:val="20"/>
          <w:szCs w:val="20"/>
          <w:color w:val="auto"/>
        </w:rPr>
      </w:pPr>
      <w:r>
        <w:rPr>
          <w:rFonts w:ascii="Arial" w:cs="Arial" w:eastAsia="Arial" w:hAnsi="Arial"/>
          <w:sz w:val="18"/>
          <w:szCs w:val="18"/>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3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Director</w:t>
            </w:r>
          </w:p>
        </w:tc>
        <w:tc>
          <w:tcPr>
            <w:tcW w:w="84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08A"/>
              </w:rPr>
              <w:t>Board Committees</w:t>
            </w:r>
          </w:p>
        </w:tc>
        <w:tc>
          <w:tcPr>
            <w:tcW w:w="380" w:type="dxa"/>
            <w:vAlign w:val="bottom"/>
          </w:tcPr>
          <w:p>
            <w:pPr>
              <w:spacing w:after="0"/>
              <w:rPr>
                <w:sz w:val="21"/>
                <w:szCs w:val="21"/>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Director Since</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480" w:type="dxa"/>
            <w:vAlign w:val="bottom"/>
          </w:tcPr>
          <w:p>
            <w:pPr>
              <w:spacing w:after="0" w:line="154" w:lineRule="exact"/>
              <w:rPr>
                <w:sz w:val="20"/>
                <w:szCs w:val="20"/>
                <w:color w:val="auto"/>
              </w:rPr>
            </w:pPr>
            <w:r>
              <w:rPr>
                <w:rFonts w:ascii="Arial" w:cs="Arial" w:eastAsia="Arial" w:hAnsi="Arial"/>
                <w:sz w:val="17"/>
                <w:szCs w:val="17"/>
                <w:color w:val="auto"/>
              </w:rPr>
              <w:t>​</w:t>
            </w:r>
          </w:p>
        </w:tc>
        <w:tc>
          <w:tcPr>
            <w:tcW w:w="200" w:type="dxa"/>
            <w:vAlign w:val="bottom"/>
          </w:tcPr>
          <w:p>
            <w:pPr>
              <w:spacing w:after="0" w:line="154" w:lineRule="exact"/>
              <w:rPr>
                <w:sz w:val="20"/>
                <w:szCs w:val="20"/>
                <w:color w:val="auto"/>
              </w:rPr>
            </w:pPr>
            <w:r>
              <w:rPr>
                <w:rFonts w:ascii="Arial" w:cs="Arial" w:eastAsia="Arial" w:hAnsi="Arial"/>
                <w:sz w:val="17"/>
                <w:szCs w:val="17"/>
                <w:color w:val="auto"/>
              </w:rPr>
              <w:t>​ ​</w:t>
            </w:r>
          </w:p>
        </w:tc>
        <w:tc>
          <w:tcPr>
            <w:tcW w:w="1380" w:type="dxa"/>
            <w:vAlign w:val="bottom"/>
            <w:vMerge w:val="continue"/>
          </w:tcPr>
          <w:p>
            <w:pPr>
              <w:spacing w:after="0"/>
              <w:rPr>
                <w:sz w:val="13"/>
                <w:szCs w:val="13"/>
                <w:color w:val="auto"/>
              </w:rPr>
            </w:pPr>
          </w:p>
        </w:tc>
        <w:tc>
          <w:tcPr>
            <w:tcW w:w="840" w:type="dxa"/>
            <w:vAlign w:val="bottom"/>
          </w:tcPr>
          <w:p>
            <w:pPr>
              <w:ind w:left="660"/>
              <w:spacing w:after="0" w:line="154" w:lineRule="exact"/>
              <w:rPr>
                <w:sz w:val="20"/>
                <w:szCs w:val="20"/>
                <w:color w:val="auto"/>
              </w:rPr>
            </w:pPr>
            <w:r>
              <w:rPr>
                <w:rFonts w:ascii="Arial" w:cs="Arial" w:eastAsia="Arial" w:hAnsi="Arial"/>
                <w:sz w:val="17"/>
                <w:szCs w:val="17"/>
                <w:color w:val="auto"/>
              </w:rPr>
              <w:t>​ ​</w:t>
            </w:r>
          </w:p>
        </w:tc>
        <w:tc>
          <w:tcPr>
            <w:tcW w:w="1840" w:type="dxa"/>
            <w:vAlign w:val="bottom"/>
          </w:tcPr>
          <w:p>
            <w:pPr>
              <w:ind w:left="20"/>
              <w:spacing w:after="0" w:line="154" w:lineRule="exact"/>
              <w:rPr>
                <w:sz w:val="20"/>
                <w:szCs w:val="20"/>
                <w:color w:val="auto"/>
              </w:rPr>
            </w:pPr>
            <w:r>
              <w:rPr>
                <w:rFonts w:ascii="Arial" w:cs="Arial" w:eastAsia="Arial" w:hAnsi="Arial"/>
                <w:sz w:val="17"/>
                <w:szCs w:val="17"/>
                <w:color w:val="002453"/>
              </w:rPr>
              <w:t xml:space="preserve">• </w:t>
            </w:r>
            <w:r>
              <w:rPr>
                <w:rFonts w:ascii="Arial" w:cs="Arial" w:eastAsia="Arial" w:hAnsi="Arial"/>
                <w:sz w:val="17"/>
                <w:szCs w:val="17"/>
                <w:color w:val="000000"/>
              </w:rPr>
              <w:t>N&amp;CG</w:t>
            </w:r>
          </w:p>
        </w:tc>
        <w:tc>
          <w:tcPr>
            <w:tcW w:w="380" w:type="dxa"/>
            <w:vAlign w:val="bottom"/>
          </w:tcPr>
          <w:p>
            <w:pPr>
              <w:ind w:left="200"/>
              <w:spacing w:after="0" w:line="154" w:lineRule="exact"/>
              <w:rPr>
                <w:sz w:val="20"/>
                <w:szCs w:val="20"/>
                <w:color w:val="auto"/>
              </w:rPr>
            </w:pPr>
            <w:r>
              <w:rPr>
                <w:rFonts w:ascii="Arial" w:cs="Arial" w:eastAsia="Arial" w:hAnsi="Arial"/>
                <w:sz w:val="17"/>
                <w:szCs w:val="17"/>
                <w:color w:val="auto"/>
              </w:rPr>
              <w:t>​ ​</w:t>
            </w:r>
          </w:p>
        </w:tc>
        <w:tc>
          <w:tcPr>
            <w:tcW w:w="1660" w:type="dxa"/>
            <w:vAlign w:val="bottom"/>
            <w:vMerge w:val="continue"/>
          </w:tcPr>
          <w:p>
            <w:pPr>
              <w:spacing w:after="0"/>
              <w:rPr>
                <w:sz w:val="13"/>
                <w:szCs w:val="13"/>
                <w:color w:val="auto"/>
              </w:rPr>
            </w:pPr>
          </w:p>
        </w:tc>
        <w:tc>
          <w:tcPr>
            <w:tcW w:w="440" w:type="dxa"/>
            <w:vAlign w:val="bottom"/>
            <w:gridSpan w:val="2"/>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24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Michael T. Viola</w:t>
            </w:r>
          </w:p>
        </w:tc>
        <w:tc>
          <w:tcPr>
            <w:tcW w:w="200" w:type="dxa"/>
            <w:vAlign w:val="bottom"/>
            <w:tcBorders>
              <w:bottom w:val="single" w:sz="8" w:color="00C08A"/>
            </w:tcBorders>
          </w:tcPr>
          <w:p>
            <w:pPr>
              <w:spacing w:after="0"/>
              <w:rPr>
                <w:sz w:val="24"/>
                <w:szCs w:val="24"/>
                <w:color w:val="auto"/>
              </w:rPr>
            </w:pPr>
          </w:p>
        </w:tc>
        <w:tc>
          <w:tcPr>
            <w:tcW w:w="13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38</w:t>
            </w:r>
          </w:p>
        </w:tc>
        <w:tc>
          <w:tcPr>
            <w:tcW w:w="840" w:type="dxa"/>
            <w:vAlign w:val="bottom"/>
            <w:tcBorders>
              <w:bottom w:val="single" w:sz="8" w:color="00C08A"/>
            </w:tcBorders>
          </w:tcPr>
          <w:p>
            <w:pPr>
              <w:spacing w:after="0"/>
              <w:rPr>
                <w:sz w:val="24"/>
                <w:szCs w:val="24"/>
                <w:color w:val="auto"/>
              </w:rPr>
            </w:pPr>
          </w:p>
        </w:tc>
        <w:tc>
          <w:tcPr>
            <w:tcW w:w="184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002453"/>
              </w:rPr>
              <w:t xml:space="preserve">• </w:t>
            </w:r>
            <w:r>
              <w:rPr>
                <w:rFonts w:ascii="Arial" w:cs="Arial" w:eastAsia="Arial" w:hAnsi="Arial"/>
                <w:sz w:val="18"/>
                <w:szCs w:val="18"/>
                <w:color w:val="000000"/>
              </w:rPr>
              <w:t>Risk</w:t>
            </w:r>
          </w:p>
        </w:tc>
        <w:tc>
          <w:tcPr>
            <w:tcW w:w="380" w:type="dxa"/>
            <w:vAlign w:val="bottom"/>
            <w:tcBorders>
              <w:bottom w:val="single" w:sz="8" w:color="00C08A"/>
            </w:tcBorders>
          </w:tcPr>
          <w:p>
            <w:pPr>
              <w:spacing w:after="0"/>
              <w:rPr>
                <w:sz w:val="24"/>
                <w:szCs w:val="24"/>
                <w:color w:val="auto"/>
              </w:rPr>
            </w:pPr>
          </w:p>
        </w:tc>
        <w:tc>
          <w:tcPr>
            <w:tcW w:w="166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4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Arial" w:cs="Arial" w:eastAsia="Arial" w:hAnsi="Arial"/>
                <w:sz w:val="18"/>
                <w:szCs w:val="18"/>
                <w:color w:val="00C08A"/>
              </w:rPr>
              <w:t>BACKGROUND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became a member of our board of directors in April 2016 and was appointed Chairman in April 2023.</w:t>
      </w:r>
    </w:p>
    <w:p>
      <w:pPr>
        <w:spacing w:after="0" w:line="27"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Mr. Viola previously served the Company in a variety of roles since 2011, most recently as a senior trader focused on foreign exchange products and global commodities. Since 2016, Mr. Viola has served as the President of the Viola family’s private investment office, located in New York City. In addition, Mr. Viola previously served as a member of the board of directors of Independent Bank Group, Inc., a bank holding company, (Nasdaq: IBTX), prior to its merger with SouthState Corporation in 2025, and serves on the boards of several other private companies and non-profit organizations. Mr. Viola holds a B.S. in Finance from Pepperdine University.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08A"/>
        </w:rPr>
        <w:t>QUALIFICATIONS</w:t>
      </w:r>
    </w:p>
    <w:p>
      <w:pPr>
        <w:spacing w:after="0" w:line="117"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1343660</wp:posOffset>
            </wp:positionV>
            <wp:extent cx="75438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executive officers.</w:t>
      </w:r>
    </w:p>
    <w:p>
      <w:pPr>
        <w:spacing w:after="0" w:line="117"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On August 1, 2024, Cindy Lee succeeded Sean Galvin as Chief Financial Officer effective. Mr. Galvin remained in a senior role with the Company until April 11, 2025. For additional information, please see the Company’s Form 8-K filed with the SEC on April 29, 2024.</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00" w:type="dxa"/>
            <w:vAlign w:val="bottom"/>
          </w:tcPr>
          <w:p>
            <w:pPr>
              <w:spacing w:after="0"/>
              <w:rPr>
                <w:sz w:val="20"/>
                <w:szCs w:val="20"/>
                <w:color w:val="auto"/>
              </w:rPr>
            </w:pPr>
            <w:r>
              <w:rPr>
                <w:rFonts w:ascii="Arial" w:cs="Arial" w:eastAsia="Arial" w:hAnsi="Arial"/>
                <w:sz w:val="36"/>
                <w:szCs w:val="36"/>
                <w:color w:val="00C08A"/>
              </w:rPr>
              <w:t>Stephen</w:t>
            </w:r>
          </w:p>
        </w:tc>
        <w:tc>
          <w:tcPr>
            <w:tcW w:w="780" w:type="dxa"/>
            <w:vAlign w:val="bottom"/>
            <w:vMerge w:val="restart"/>
          </w:tcPr>
          <w:p>
            <w:pPr>
              <w:ind w:left="580"/>
              <w:spacing w:after="0"/>
              <w:rPr>
                <w:sz w:val="20"/>
                <w:szCs w:val="20"/>
                <w:color w:val="auto"/>
              </w:rPr>
            </w:pPr>
            <w:r>
              <w:rPr>
                <w:rFonts w:ascii="Arial" w:cs="Arial" w:eastAsia="Arial" w:hAnsi="Arial"/>
                <w:sz w:val="18"/>
                <w:szCs w:val="18"/>
                <w:b w:val="1"/>
                <w:bCs w:val="1"/>
                <w:color w:val="00C08A"/>
              </w:rPr>
              <w:t>​ ​</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1460" w:type="dxa"/>
            <w:vAlign w:val="bottom"/>
            <w:vMerge w:val="restart"/>
          </w:tcPr>
          <w:p>
            <w:pPr>
              <w:ind w:left="2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780" w:type="dxa"/>
            <w:vAlign w:val="bottom"/>
            <w:vMerge w:val="continue"/>
          </w:tcPr>
          <w:p>
            <w:pPr>
              <w:spacing w:after="0"/>
              <w:rPr>
                <w:sz w:val="12"/>
                <w:szCs w:val="12"/>
                <w:color w:val="auto"/>
              </w:rPr>
            </w:pPr>
          </w:p>
        </w:tc>
        <w:tc>
          <w:tcPr>
            <w:tcW w:w="18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President, Markets</w:t>
            </w:r>
          </w:p>
        </w:tc>
        <w:tc>
          <w:tcPr>
            <w:tcW w:w="14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90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Cavoli</w:t>
            </w:r>
          </w:p>
        </w:tc>
        <w:tc>
          <w:tcPr>
            <w:tcW w:w="780" w:type="dxa"/>
            <w:vAlign w:val="bottom"/>
            <w:tcBorders>
              <w:bottom w:val="single" w:sz="8" w:color="00C08A"/>
            </w:tcBorders>
          </w:tcPr>
          <w:p>
            <w:pPr>
              <w:spacing w:after="0"/>
              <w:rPr>
                <w:sz w:val="24"/>
                <w:szCs w:val="24"/>
                <w:color w:val="auto"/>
              </w:rPr>
            </w:pPr>
          </w:p>
        </w:tc>
        <w:tc>
          <w:tcPr>
            <w:tcW w:w="18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56</w:t>
            </w:r>
          </w:p>
        </w:tc>
        <w:tc>
          <w:tcPr>
            <w:tcW w:w="14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9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00C08A"/>
              </w:rPr>
              <w:t>BACKGROUND</w:t>
            </w: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260"/>
        <w:spacing w:after="0" w:line="256" w:lineRule="auto"/>
        <w:rPr>
          <w:sz w:val="20"/>
          <w:szCs w:val="20"/>
          <w:color w:val="auto"/>
        </w:rPr>
      </w:pPr>
      <w:r>
        <w:rPr>
          <w:rFonts w:ascii="Arial" w:cs="Arial" w:eastAsia="Arial" w:hAnsi="Arial"/>
          <w:sz w:val="18"/>
          <w:szCs w:val="18"/>
          <w:color w:val="auto"/>
        </w:rPr>
        <w:t>Mr. Cavoli has been our Executive Vice President, Markets since December 2017, and previously served as our Senior Vice President, Strategy and Market Development since September 2015. Prior to joining Virtu, Mr. Cavoli was a Managing Director at Morgan Stanley, an investment bank and financial services company in the electronic trading group, where he served in various roles from April 2004 to September 2015. Mr. Cavoli previously held positions at Instinet, an institutional, agency-only broker,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08A"/>
              </w:rPr>
              <w:t>Brett</w:t>
            </w:r>
          </w:p>
        </w:tc>
        <w:tc>
          <w:tcPr>
            <w:tcW w:w="600" w:type="dxa"/>
            <w:vAlign w:val="bottom"/>
            <w:vMerge w:val="restart"/>
          </w:tcPr>
          <w:p>
            <w:pPr>
              <w:ind w:left="400"/>
              <w:spacing w:after="0"/>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60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8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Fairclough</w:t>
            </w:r>
          </w:p>
        </w:tc>
        <w:tc>
          <w:tcPr>
            <w:tcW w:w="60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42</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08A"/>
              </w:rPr>
              <w:t>BACKGROUND</w:t>
            </w: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Chief Executive Officer of Virtu Financial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08A"/>
              </w:rPr>
              <w:t>Joseph A.</w:t>
            </w:r>
          </w:p>
        </w:tc>
        <w:tc>
          <w:tcPr>
            <w:tcW w:w="640" w:type="dxa"/>
            <w:vAlign w:val="bottom"/>
            <w:vMerge w:val="restart"/>
          </w:tcPr>
          <w:p>
            <w:pPr>
              <w:ind w:left="440"/>
              <w:spacing w:after="0"/>
              <w:rPr>
                <w:sz w:val="20"/>
                <w:szCs w:val="20"/>
                <w:color w:val="auto"/>
              </w:rPr>
            </w:pPr>
            <w:r>
              <w:rPr>
                <w:rFonts w:ascii="Arial" w:cs="Arial" w:eastAsia="Arial" w:hAnsi="Arial"/>
                <w:sz w:val="18"/>
                <w:szCs w:val="18"/>
                <w:b w:val="1"/>
                <w:bCs w:val="1"/>
                <w:color w:val="00C08A"/>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08A"/>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08A"/>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08A"/>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08A"/>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7"/>
                <w:szCs w:val="17"/>
                <w:b w:val="1"/>
                <w:bCs w:val="1"/>
                <w:color w:val="00C08A"/>
              </w:rPr>
              <w:t>​</w:t>
            </w:r>
          </w:p>
        </w:tc>
        <w:tc>
          <w:tcPr>
            <w:tcW w:w="64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08A"/>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Molluso</w:t>
            </w:r>
          </w:p>
        </w:tc>
        <w:tc>
          <w:tcPr>
            <w:tcW w:w="640" w:type="dxa"/>
            <w:vAlign w:val="bottom"/>
            <w:tcBorders>
              <w:bottom w:val="single" w:sz="8" w:color="00C08A"/>
            </w:tcBorders>
          </w:tcPr>
          <w:p>
            <w:pPr>
              <w:spacing w:after="0"/>
              <w:rPr>
                <w:sz w:val="24"/>
                <w:szCs w:val="24"/>
                <w:color w:val="auto"/>
              </w:rPr>
            </w:pPr>
          </w:p>
        </w:tc>
        <w:tc>
          <w:tcPr>
            <w:tcW w:w="202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56</w:t>
            </w:r>
          </w:p>
        </w:tc>
        <w:tc>
          <w:tcPr>
            <w:tcW w:w="1260" w:type="dxa"/>
            <w:vAlign w:val="bottom"/>
            <w:tcBorders>
              <w:bottom w:val="single" w:sz="8" w:color="00C08A"/>
            </w:tcBorders>
          </w:tcPr>
          <w:p>
            <w:pPr>
              <w:spacing w:after="0"/>
              <w:rPr>
                <w:sz w:val="24"/>
                <w:szCs w:val="24"/>
                <w:color w:val="auto"/>
              </w:rPr>
            </w:pPr>
          </w:p>
        </w:tc>
        <w:tc>
          <w:tcPr>
            <w:tcW w:w="1160" w:type="dxa"/>
            <w:vAlign w:val="bottom"/>
            <w:tcBorders>
              <w:bottom w:val="single" w:sz="8" w:color="00C08A"/>
            </w:tcBorders>
          </w:tcPr>
          <w:p>
            <w:pPr>
              <w:spacing w:after="0"/>
              <w:rPr>
                <w:sz w:val="24"/>
                <w:szCs w:val="24"/>
                <w:color w:val="auto"/>
              </w:rPr>
            </w:pPr>
          </w:p>
        </w:tc>
        <w:tc>
          <w:tcPr>
            <w:tcW w:w="160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72" w:lineRule="auto"/>
        <w:rPr>
          <w:sz w:val="20"/>
          <w:szCs w:val="20"/>
          <w:color w:val="auto"/>
        </w:rPr>
      </w:pPr>
      <w:r>
        <w:rPr>
          <w:rFonts w:ascii="Arial" w:cs="Arial" w:eastAsia="Arial" w:hAnsi="Arial"/>
          <w:sz w:val="17"/>
          <w:szCs w:val="17"/>
          <w:color w:val="auto"/>
        </w:rPr>
        <w:t>Mr. Molluso was appointed our Co-President and Co-Chief Operating Officer in May 2020. Mr. Molluso joined Virtu in November 2013 as Chief Financial Officer. After a brief departure in September 2019 to serve as Chief Financial Officer of Capitolis, a financial technology company, Mr. Molluso rejoined Virtu in 2020. Prior to joining Virtu,</w:t>
      </w:r>
    </w:p>
    <w:p>
      <w:pPr>
        <w:spacing w:after="0" w:line="1" w:lineRule="exact"/>
        <w:rPr>
          <w:sz w:val="20"/>
          <w:szCs w:val="20"/>
          <w:color w:val="auto"/>
        </w:rPr>
      </w:pPr>
    </w:p>
    <w:p>
      <w:pPr>
        <w:jc w:val="both"/>
        <w:ind w:left="760" w:right="360"/>
        <w:spacing w:after="0" w:line="265" w:lineRule="auto"/>
        <w:rPr>
          <w:sz w:val="20"/>
          <w:szCs w:val="20"/>
          <w:color w:val="auto"/>
        </w:rPr>
      </w:pPr>
      <w:r>
        <w:rPr>
          <w:rFonts w:ascii="Arial" w:cs="Arial" w:eastAsia="Arial" w:hAnsi="Arial"/>
          <w:sz w:val="17"/>
          <w:szCs w:val="17"/>
          <w:color w:val="auto"/>
        </w:rPr>
        <w:t>Mr. Molluso was a Managing Director in Investment Banking at J.P. Morgan from March 2006 to November 2013, where he provided strategic advice to financial institutions with a focus on market structure related companies. He previously served as a member of the Board of Directors of The Depository Trust &amp; Clearing Corporation.</w:t>
      </w:r>
    </w:p>
    <w:p>
      <w:pPr>
        <w:ind w:left="760" w:right="100"/>
        <w:spacing w:after="0" w:line="255" w:lineRule="auto"/>
        <w:rPr>
          <w:sz w:val="20"/>
          <w:szCs w:val="20"/>
          <w:color w:val="auto"/>
        </w:rPr>
      </w:pPr>
      <w:r>
        <w:rPr>
          <w:rFonts w:ascii="Arial" w:cs="Arial" w:eastAsia="Arial" w:hAnsi="Arial"/>
          <w:sz w:val="18"/>
          <w:szCs w:val="18"/>
          <w:color w:val="auto"/>
        </w:rPr>
        <w:t>Mr. Molluso started his career as an investment banker specializing in financial services companies in 1997 at Donaldson, Lufkin &amp; Jenrette, an investment bank, and its successor, Credit Suisse, a global investment bank, where he helped establish the global financial technology group. Mr. Molluso received his M.B.A. from New York University in 1997 and his B.B.A. from Pace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280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w w:val="98"/>
              </w:rPr>
              <w:t>PROPOSAL 1: ELECTION OF DIRECTORS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Executive Vice</w:t>
            </w: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08A"/>
              </w:rPr>
              <w:t>President and Chief</w:t>
            </w:r>
          </w:p>
        </w:tc>
        <w:tc>
          <w:tcPr>
            <w:tcW w:w="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2040" w:type="dxa"/>
            <w:vAlign w:val="bottom"/>
          </w:tcPr>
          <w:p>
            <w:pPr>
              <w:spacing w:after="0" w:line="181" w:lineRule="exact"/>
              <w:rPr>
                <w:sz w:val="20"/>
                <w:szCs w:val="20"/>
                <w:color w:val="auto"/>
              </w:rPr>
            </w:pPr>
            <w:r>
              <w:rPr>
                <w:rFonts w:ascii="Arial" w:cs="Arial" w:eastAsia="Arial" w:hAnsi="Arial"/>
                <w:sz w:val="18"/>
                <w:szCs w:val="18"/>
                <w:b w:val="1"/>
                <w:bCs w:val="1"/>
                <w:color w:val="00C08A"/>
              </w:rPr>
              <w:t>​</w:t>
            </w:r>
          </w:p>
        </w:tc>
        <w:tc>
          <w:tcPr>
            <w:tcW w:w="640" w:type="dxa"/>
            <w:vAlign w:val="bottom"/>
          </w:tcPr>
          <w:p>
            <w:pPr>
              <w:ind w:left="440"/>
              <w:spacing w:after="0" w:line="181" w:lineRule="exact"/>
              <w:rPr>
                <w:sz w:val="20"/>
                <w:szCs w:val="20"/>
                <w:color w:val="auto"/>
              </w:rPr>
            </w:pPr>
            <w:r>
              <w:rPr>
                <w:rFonts w:ascii="Arial" w:cs="Arial" w:eastAsia="Arial" w:hAnsi="Arial"/>
                <w:sz w:val="18"/>
                <w:szCs w:val="18"/>
                <w:b w:val="1"/>
                <w:bCs w:val="1"/>
                <w:color w:val="00C08A"/>
              </w:rPr>
              <w:t>​ ​</w:t>
            </w:r>
          </w:p>
        </w:tc>
        <w:tc>
          <w:tcPr>
            <w:tcW w:w="1860" w:type="dxa"/>
            <w:vAlign w:val="bottom"/>
          </w:tcPr>
          <w:p>
            <w:pPr>
              <w:ind w:left="20"/>
              <w:spacing w:after="0" w:line="181" w:lineRule="exact"/>
              <w:rPr>
                <w:sz w:val="20"/>
                <w:szCs w:val="20"/>
                <w:color w:val="auto"/>
              </w:rPr>
            </w:pPr>
            <w:r>
              <w:rPr>
                <w:rFonts w:ascii="Arial" w:cs="Arial" w:eastAsia="Arial" w:hAnsi="Arial"/>
                <w:sz w:val="18"/>
                <w:szCs w:val="18"/>
                <w:b w:val="1"/>
                <w:bCs w:val="1"/>
                <w:color w:val="00C08A"/>
              </w:rPr>
              <w:t>Financial Officer</w:t>
            </w:r>
          </w:p>
        </w:tc>
        <w:tc>
          <w:tcPr>
            <w:tcW w:w="760" w:type="dxa"/>
            <w:vAlign w:val="bottom"/>
          </w:tcPr>
          <w:p>
            <w:pPr>
              <w:ind w:left="180"/>
              <w:spacing w:after="0" w:line="181" w:lineRule="exact"/>
              <w:rPr>
                <w:sz w:val="20"/>
                <w:szCs w:val="20"/>
                <w:color w:val="auto"/>
              </w:rPr>
            </w:pPr>
            <w:r>
              <w:rPr>
                <w:rFonts w:ascii="Arial" w:cs="Arial" w:eastAsia="Arial" w:hAnsi="Arial"/>
                <w:sz w:val="18"/>
                <w:szCs w:val="18"/>
                <w:b w:val="1"/>
                <w:bCs w:val="1"/>
                <w:color w:val="00C08A"/>
              </w:rPr>
              <w:t>​ ​ ​</w:t>
            </w:r>
          </w:p>
        </w:tc>
        <w:tc>
          <w:tcPr>
            <w:tcW w:w="1820" w:type="dxa"/>
            <w:vAlign w:val="bottom"/>
          </w:tcPr>
          <w:p>
            <w:pPr>
              <w:ind w:left="1640"/>
              <w:spacing w:after="0" w:line="181" w:lineRule="exact"/>
              <w:rPr>
                <w:sz w:val="20"/>
                <w:szCs w:val="20"/>
                <w:color w:val="auto"/>
              </w:rPr>
            </w:pPr>
            <w:r>
              <w:rPr>
                <w:rFonts w:ascii="Arial" w:cs="Arial" w:eastAsia="Arial" w:hAnsi="Arial"/>
                <w:sz w:val="18"/>
                <w:szCs w:val="18"/>
                <w:b w:val="1"/>
                <w:bCs w:val="1"/>
                <w:color w:val="00C08A"/>
              </w:rPr>
              <w:t>​ ​</w:t>
            </w:r>
          </w:p>
        </w:tc>
        <w:tc>
          <w:tcPr>
            <w:tcW w:w="2040" w:type="dxa"/>
            <w:vAlign w:val="bottom"/>
          </w:tcPr>
          <w:p>
            <w:pPr>
              <w:ind w:left="40"/>
              <w:spacing w:after="0" w:line="181" w:lineRule="exact"/>
              <w:rPr>
                <w:sz w:val="20"/>
                <w:szCs w:val="20"/>
                <w:color w:val="auto"/>
              </w:rPr>
            </w:pPr>
            <w:r>
              <w:rPr>
                <w:rFonts w:ascii="Arial" w:cs="Arial" w:eastAsia="Arial" w:hAnsi="Arial"/>
                <w:sz w:val="18"/>
                <w:szCs w:val="18"/>
                <w:b w:val="1"/>
                <w:bCs w:val="1"/>
                <w:color w:val="00C08A"/>
              </w:rPr>
              <w:t>Officer Since</w:t>
            </w:r>
          </w:p>
        </w:tc>
        <w:tc>
          <w:tcPr>
            <w:tcW w:w="6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00C08A"/>
              </w:rPr>
              <w:t>​</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4"/>
                <w:szCs w:val="24"/>
                <w:color w:val="auto"/>
              </w:rPr>
            </w:pPr>
          </w:p>
        </w:tc>
        <w:tc>
          <w:tcPr>
            <w:tcW w:w="2040" w:type="dxa"/>
            <w:vAlign w:val="bottom"/>
            <w:tcBorders>
              <w:bottom w:val="single" w:sz="8" w:color="00C08A"/>
            </w:tcBorders>
          </w:tcPr>
          <w:p>
            <w:pPr>
              <w:spacing w:after="0" w:line="283" w:lineRule="exact"/>
              <w:rPr>
                <w:sz w:val="20"/>
                <w:szCs w:val="20"/>
                <w:color w:val="auto"/>
              </w:rPr>
            </w:pPr>
            <w:r>
              <w:rPr>
                <w:rFonts w:ascii="Arial" w:cs="Arial" w:eastAsia="Arial" w:hAnsi="Arial"/>
                <w:sz w:val="32"/>
                <w:szCs w:val="32"/>
                <w:color w:val="00C08A"/>
              </w:rPr>
              <w:t>Cindy Lee</w:t>
            </w:r>
          </w:p>
        </w:tc>
        <w:tc>
          <w:tcPr>
            <w:tcW w:w="640" w:type="dxa"/>
            <w:vAlign w:val="bottom"/>
            <w:tcBorders>
              <w:bottom w:val="single" w:sz="8" w:color="00C08A"/>
            </w:tcBorders>
          </w:tcPr>
          <w:p>
            <w:pPr>
              <w:spacing w:after="0"/>
              <w:rPr>
                <w:sz w:val="24"/>
                <w:szCs w:val="24"/>
                <w:color w:val="auto"/>
              </w:rPr>
            </w:pPr>
          </w:p>
        </w:tc>
        <w:tc>
          <w:tcPr>
            <w:tcW w:w="18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Age: 40</w:t>
            </w:r>
          </w:p>
        </w:tc>
        <w:tc>
          <w:tcPr>
            <w:tcW w:w="760" w:type="dxa"/>
            <w:vAlign w:val="bottom"/>
            <w:tcBorders>
              <w:bottom w:val="single" w:sz="8" w:color="00C08A"/>
            </w:tcBorders>
          </w:tcPr>
          <w:p>
            <w:pPr>
              <w:spacing w:after="0"/>
              <w:rPr>
                <w:sz w:val="24"/>
                <w:szCs w:val="24"/>
                <w:color w:val="auto"/>
              </w:rPr>
            </w:pPr>
          </w:p>
        </w:tc>
        <w:tc>
          <w:tcPr>
            <w:tcW w:w="1820" w:type="dxa"/>
            <w:vAlign w:val="bottom"/>
            <w:tcBorders>
              <w:bottom w:val="single" w:sz="8" w:color="00C08A"/>
            </w:tcBorders>
          </w:tcPr>
          <w:p>
            <w:pPr>
              <w:spacing w:after="0"/>
              <w:rPr>
                <w:sz w:val="24"/>
                <w:szCs w:val="24"/>
                <w:color w:val="auto"/>
              </w:rPr>
            </w:pPr>
          </w:p>
        </w:tc>
        <w:tc>
          <w:tcPr>
            <w:tcW w:w="2040" w:type="dxa"/>
            <w:vAlign w:val="bottom"/>
            <w:tcBorders>
              <w:bottom w:val="single" w:sz="8" w:color="00C08A"/>
            </w:tcBorders>
          </w:tcPr>
          <w:p>
            <w:pPr>
              <w:ind w:left="4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00C08A"/>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00C08A"/>
              </w:rPr>
              <w:t>BACKGROUND</w:t>
            </w: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Ms. Lee was appointed our Executive Vice President and Chief Financial Officer in August 2024. Ms. Lee joined Virtu in 2011 and has served as the Global Controller and Deputy Chief Financial Officer at Virtu. She holds a Master of Science in Accounting and a Bachelor of Science in Accounting from the University of Connecticut School of Business. Prior to joining Virtu, Ms. Lee started her career at Deloitte &amp; Touche as an Audit Accountant. Ms. Lee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6092190</wp:posOffset>
            </wp:positionV>
            <wp:extent cx="75438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Corporate Governance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color w:val="auto"/>
        </w:rPr>
        <w:t>Our board of directors consists of 10 directors. In accordance with our amended and restated certificate of incorporation and bylaws, the number of directors on our board of directors will be determined from time to time by the board of directors but shall neither be fewer than three persons nor more than 20 persons.</w:t>
      </w:r>
    </w:p>
    <w:p>
      <w:pPr>
        <w:spacing w:after="0" w:line="63"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w:t>
      </w:r>
      <w:r>
        <w:rPr>
          <w:rFonts w:ascii="Arial" w:cs="Arial" w:eastAsia="Arial" w:hAnsi="Arial"/>
          <w:sz w:val="18"/>
          <w:szCs w:val="18"/>
          <w:b w:val="1"/>
          <w:bCs w:val="1"/>
          <w:color w:val="auto"/>
        </w:rPr>
        <w:t>Founder Member</w:t>
      </w:r>
      <w:r>
        <w:rPr>
          <w:rFonts w:ascii="Arial" w:cs="Arial" w:eastAsia="Arial" w:hAnsi="Arial"/>
          <w:sz w:val="18"/>
          <w:szCs w:val="18"/>
          <w:color w:val="auto"/>
        </w:rPr>
        <w:t>”), an affiliate of Mr. Vincent Viola, our founder and Chairman Emeritus, or any of its affiliates or permitted transferees, no longer beneficially own shares representing 25% of our issued and outstanding common stock (the “</w:t>
      </w:r>
      <w:r>
        <w:rPr>
          <w:rFonts w:ascii="Arial" w:cs="Arial" w:eastAsia="Arial" w:hAnsi="Arial"/>
          <w:sz w:val="18"/>
          <w:szCs w:val="18"/>
          <w:b w:val="1"/>
          <w:bCs w:val="1"/>
          <w:color w:val="auto"/>
        </w:rPr>
        <w:t>Triggering Event</w:t>
      </w:r>
      <w:r>
        <w:rPr>
          <w:rFonts w:ascii="Arial" w:cs="Arial" w:eastAsia="Arial" w:hAnsi="Arial"/>
          <w:sz w:val="18"/>
          <w:szCs w:val="18"/>
          <w:color w:val="auto"/>
        </w:rPr>
        <w:t>”), vacancies on the board of directors may also be filled by the affirmative vote of a majority of our outstanding shares of common stock.</w:t>
      </w:r>
    </w:p>
    <w:p>
      <w:pPr>
        <w:spacing w:after="0" w:line="7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71" w:lineRule="exact"/>
        <w:rPr>
          <w:sz w:val="20"/>
          <w:szCs w:val="20"/>
          <w:color w:val="auto"/>
        </w:rPr>
      </w:pPr>
    </w:p>
    <w:p>
      <w:pPr>
        <w:ind w:left="760" w:right="60"/>
        <w:spacing w:after="0" w:line="268" w:lineRule="auto"/>
        <w:rPr>
          <w:sz w:val="20"/>
          <w:szCs w:val="20"/>
          <w:color w:val="auto"/>
        </w:rPr>
      </w:pPr>
      <w:r>
        <w:rPr>
          <w:rFonts w:ascii="Arial" w:cs="Arial" w:eastAsia="Arial" w:hAnsi="Arial"/>
          <w:sz w:val="18"/>
          <w:szCs w:val="18"/>
          <w:color w:val="auto"/>
        </w:rPr>
        <w:t>Our amended and restated certificate of incorporation provides that the board of directors is divided into three classes of directors, with staggered three-year terms, with the classes to be as nearly equal in number as possible. As a result, approximately one third of the board of directors will be elected each year.</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in certain cases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 Notwithstanding the foregoing, our board of directors has determined that a majority of current directors are “independent directors” and that all members of the board’s Compensation Committee are independent directors as further detailed below under “Director Independence”.</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9"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Our board of directors has determined that Mmes. Gambale and Minieri, and Messrs. Cruger, Grano, Nixon, Quick and Urban are each “independent directors”, as such term is defined by the applicable rules and regulations of Nasdaq.</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420"/>
        <w:spacing w:after="0" w:line="268" w:lineRule="auto"/>
        <w:rPr>
          <w:sz w:val="20"/>
          <w:szCs w:val="20"/>
          <w:color w:val="auto"/>
        </w:rPr>
      </w:pPr>
      <w:r>
        <w:rPr>
          <w:rFonts w:ascii="Arial" w:cs="Arial" w:eastAsia="Arial" w:hAnsi="Arial"/>
          <w:sz w:val="18"/>
          <w:szCs w:val="18"/>
          <w:color w:val="auto"/>
        </w:rPr>
        <w:t>Other than our Chairman,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200" w:lineRule="exact"/>
        <w:rPr>
          <w:sz w:val="20"/>
          <w:szCs w:val="20"/>
          <w:color w:val="auto"/>
        </w:rPr>
      </w:pPr>
    </w:p>
    <w:p>
      <w:pPr>
        <w:spacing w:after="0" w:line="29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We currently separate the roles of chairman of the board of directors and chief executive officer. Mr. Michael T. Viola serves as Chairman of our board of directors. This structure enables the board of directors to effectively exercise its role in oversight of Virtu and its corporate governance while allowing our Chief Executive Officer to focus on the management of the day-to-day conduct of our business. The board of directors may review and change its leadership structure in the future.</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140"/>
        <w:spacing w:after="0" w:line="287" w:lineRule="auto"/>
        <w:rPr>
          <w:sz w:val="20"/>
          <w:szCs w:val="20"/>
          <w:color w:val="auto"/>
        </w:rPr>
      </w:pPr>
      <w:r>
        <w:rPr>
          <w:rFonts w:ascii="Arial" w:cs="Arial" w:eastAsia="Arial" w:hAnsi="Arial"/>
          <w:sz w:val="18"/>
          <w:szCs w:val="18"/>
          <w:color w:val="auto"/>
        </w:rPr>
        <w:t>It is the duty of our board of directors to serve as a prudent fiduciary for stockholders and to oversee the management of our Company.</w:t>
      </w:r>
    </w:p>
    <w:p>
      <w:pPr>
        <w:spacing w:after="0" w:line="45" w:lineRule="exact"/>
        <w:rPr>
          <w:sz w:val="20"/>
          <w:szCs w:val="20"/>
          <w:color w:val="auto"/>
        </w:rPr>
      </w:pPr>
    </w:p>
    <w:p>
      <w:pPr>
        <w:ind w:left="760" w:right="80"/>
        <w:spacing w:after="0" w:line="271" w:lineRule="auto"/>
        <w:rPr>
          <w:sz w:val="20"/>
          <w:szCs w:val="20"/>
          <w:color w:val="auto"/>
        </w:rPr>
      </w:pPr>
      <w:r>
        <w:rPr>
          <w:rFonts w:ascii="Arial" w:cs="Arial" w:eastAsia="Arial" w:hAnsi="Arial"/>
          <w:sz w:val="17"/>
          <w:szCs w:val="17"/>
          <w:color w:val="auto"/>
        </w:rPr>
        <w:t>Our Audit Committee, under powers delegated to it by our board of directors, is responsible for discussing with management the major financial, legal, compliance and other significant risks of the Company.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66"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Our Risk Committee, under powers delegated to it by our board of directors, is responsible for overseeing areas of risk that are not the primary responsibility of another committee of our board of directors or retained for oversight of the full board of directors, including (i) cybersecurity, information security and information technology risk, (ii) trading, capital, and liquidity risk, and (iii) enterprise risk.</w:t>
      </w:r>
    </w:p>
    <w:p>
      <w:pPr>
        <w:spacing w:after="0" w:line="68"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Our Compensation Committee is responsible for overseeing and managing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71" w:lineRule="exact"/>
        <w:rPr>
          <w:sz w:val="20"/>
          <w:szCs w:val="20"/>
          <w:color w:val="auto"/>
        </w:rPr>
      </w:pPr>
    </w:p>
    <w:p>
      <w:pPr>
        <w:ind w:left="760" w:right="600"/>
        <w:spacing w:after="0" w:line="287" w:lineRule="auto"/>
        <w:rPr>
          <w:sz w:val="20"/>
          <w:szCs w:val="20"/>
          <w:color w:val="auto"/>
        </w:rPr>
      </w:pPr>
      <w:r>
        <w:rPr>
          <w:rFonts w:ascii="Arial" w:cs="Arial" w:eastAsia="Arial" w:hAnsi="Arial"/>
          <w:sz w:val="18"/>
          <w:szCs w:val="18"/>
          <w:color w:val="auto"/>
        </w:rPr>
        <w:t>The Nominating and Corporate Governance Committee is responsible for overseeing the management of risks relating to our corporate governance structure and director selection process.</w:t>
      </w:r>
    </w:p>
    <w:p>
      <w:pPr>
        <w:spacing w:after="0" w:line="4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Our board of directors as a whole also engages in the oversight of risk in various ways. It sets goals and standards for our employees, officers, and directors. During the course of each year, our board of directors reviews the structure and operation of our various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potential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77"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478790</wp:posOffset>
            </wp:positionV>
            <wp:extent cx="75438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2024:</w:t>
      </w:r>
    </w:p>
    <w:p>
      <w:pPr>
        <w:spacing w:after="0" w:line="117" w:lineRule="exact"/>
        <w:rPr>
          <w:sz w:val="20"/>
          <w:szCs w:val="20"/>
          <w:color w:val="auto"/>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board of directors held five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Audit Committee held nine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Risk Committee held five meetings;</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Nominating and Corporate Governance Committee held four meetings; and</w:t>
      </w:r>
    </w:p>
    <w:p>
      <w:pPr>
        <w:spacing w:after="0" w:line="117" w:lineRule="exact"/>
        <w:rPr>
          <w:rFonts w:ascii="Arial" w:cs="Arial" w:eastAsia="Arial" w:hAnsi="Arial"/>
          <w:sz w:val="18"/>
          <w:szCs w:val="18"/>
          <w:color w:val="002453"/>
        </w:rPr>
      </w:pPr>
    </w:p>
    <w:p>
      <w:pPr>
        <w:ind w:left="1200" w:hanging="222"/>
        <w:spacing w:after="0"/>
        <w:tabs>
          <w:tab w:leader="none" w:pos="1200" w:val="left"/>
        </w:tabs>
        <w:numPr>
          <w:ilvl w:val="0"/>
          <w:numId w:val="5"/>
        </w:numPr>
        <w:rPr>
          <w:rFonts w:ascii="Arial" w:cs="Arial" w:eastAsia="Arial" w:hAnsi="Arial"/>
          <w:sz w:val="18"/>
          <w:szCs w:val="18"/>
          <w:color w:val="002453"/>
        </w:rPr>
      </w:pPr>
      <w:r>
        <w:rPr>
          <w:rFonts w:ascii="Arial" w:cs="Arial" w:eastAsia="Arial" w:hAnsi="Arial"/>
          <w:sz w:val="18"/>
          <w:szCs w:val="18"/>
          <w:color w:val="auto"/>
        </w:rPr>
        <w:t>the Compensation Committee held three meetings.</w:t>
      </w:r>
    </w:p>
    <w:p>
      <w:pPr>
        <w:spacing w:after="0" w:line="117" w:lineRule="exact"/>
        <w:rPr>
          <w:sz w:val="20"/>
          <w:szCs w:val="20"/>
          <w:color w:val="auto"/>
        </w:rPr>
      </w:pPr>
    </w:p>
    <w:p>
      <w:pPr>
        <w:ind w:left="760" w:right="260"/>
        <w:spacing w:after="0" w:line="269" w:lineRule="auto"/>
        <w:rPr>
          <w:sz w:val="20"/>
          <w:szCs w:val="20"/>
          <w:color w:val="auto"/>
        </w:rPr>
      </w:pPr>
      <w:r>
        <w:rPr>
          <w:rFonts w:ascii="Arial" w:cs="Arial" w:eastAsia="Arial" w:hAnsi="Arial"/>
          <w:sz w:val="17"/>
          <w:szCs w:val="17"/>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In the year ended December 31, 2024, no member of our board of directors attended fewer than 75% of the aggregate of: (i) the total number of meetings of the board of directors (held during the period for which he or she has been a director), and</w:t>
      </w:r>
    </w:p>
    <w:p>
      <w:pPr>
        <w:spacing w:after="0" w:line="3" w:lineRule="exact"/>
        <w:rPr>
          <w:sz w:val="20"/>
          <w:szCs w:val="20"/>
          <w:color w:val="auto"/>
        </w:rPr>
      </w:pPr>
    </w:p>
    <w:p>
      <w:pPr>
        <w:ind w:left="760" w:right="160" w:firstLine="2"/>
        <w:spacing w:after="0" w:line="253" w:lineRule="auto"/>
        <w:tabs>
          <w:tab w:leader="none" w:pos="1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meetings held by all committees of the board of directors (during the periods that he or she served on such committees). Three of our directors attended our 2024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Our board of directors has four standing committees: the Audit Committee, the Risk Committee, the Compensation Committee, and the Nominating and Corporate Governance Committee. Under the rules of Nasdaq, the membership of the Audit Committee is required to consist entirely of independent directors. As a controlled company (see “Controlled Company Status” on page 12 of this proxy statement), we are not required to have fully independent Compensation and Nominating and Corporate Governance Committees, although our Compensation Committee is fully independent. The following is a brief description of our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AUDIT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6033770</wp:posOffset>
            </wp:positionV>
            <wp:extent cx="754380"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Audit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We have a separately designated standing Audit Committee established in accordance with section 3(a)(58)(A) of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ir.virtu.com/corporate-governance/default.aspx.</w:t>
      </w:r>
    </w:p>
    <w:p>
      <w:pPr>
        <w:spacing w:after="0" w:line="84" w:lineRule="exact"/>
        <w:rPr>
          <w:sz w:val="20"/>
          <w:szCs w:val="20"/>
          <w:color w:val="auto"/>
        </w:rPr>
      </w:pPr>
    </w:p>
    <w:p>
      <w:pPr>
        <w:ind w:left="220" w:right="80"/>
        <w:spacing w:after="0" w:line="254" w:lineRule="auto"/>
        <w:rPr>
          <w:sz w:val="20"/>
          <w:szCs w:val="20"/>
          <w:color w:val="auto"/>
        </w:rPr>
      </w:pPr>
      <w:r>
        <w:rPr>
          <w:rFonts w:ascii="Arial" w:cs="Arial" w:eastAsia="Arial" w:hAnsi="Arial"/>
          <w:sz w:val="18"/>
          <w:szCs w:val="18"/>
          <w:color w:val="auto"/>
        </w:rPr>
        <w:t>Ms. Minieri, and Messrs. Cruger, Grano and Nixon are the members of our Audit Committee. The board of directors has determined that Mr. Cruger qualifies as an “audit committee financial expert” as such term is defined in Item 407(d)(5)(ii) of Regulation S-K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that Mr. Cruger thereby meets the applicable financial sophistication requirement of the Nasdaq listed company rules. The board of directors has also determined that each of Ms. Minieri, and Messrs. Cruger, Grano and Nixon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74" w:lineRule="exact"/>
        <w:rPr>
          <w:sz w:val="20"/>
          <w:szCs w:val="20"/>
          <w:color w:val="auto"/>
        </w:rPr>
      </w:pPr>
    </w:p>
    <w:p>
      <w:pPr>
        <w:ind w:left="220" w:right="200"/>
        <w:spacing w:after="0" w:line="287" w:lineRule="auto"/>
        <w:rPr>
          <w:sz w:val="20"/>
          <w:szCs w:val="20"/>
          <w:color w:val="auto"/>
        </w:rPr>
      </w:pPr>
      <w:r>
        <w:rPr>
          <w:rFonts w:ascii="Arial" w:cs="Arial" w:eastAsia="Arial" w:hAnsi="Arial"/>
          <w:sz w:val="18"/>
          <w:szCs w:val="18"/>
          <w:color w:val="auto"/>
        </w:rPr>
        <w:t>There were four regular meetings and five special meetings of the Audit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08A"/>
        </w:rPr>
        <w:t>RISK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08A"/>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2024: 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Risk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72" w:lineRule="exact"/>
        <w:rPr>
          <w:sz w:val="20"/>
          <w:szCs w:val="20"/>
          <w:color w:val="auto"/>
        </w:rPr>
      </w:pPr>
    </w:p>
    <w:p>
      <w:pPr>
        <w:ind w:left="220" w:right="460"/>
        <w:spacing w:after="0" w:line="260" w:lineRule="auto"/>
        <w:rPr>
          <w:sz w:val="20"/>
          <w:szCs w:val="20"/>
          <w:color w:val="auto"/>
        </w:rPr>
      </w:pPr>
      <w:r>
        <w:rPr>
          <w:rFonts w:ascii="Arial" w:cs="Arial" w:eastAsia="Arial" w:hAnsi="Arial"/>
          <w:sz w:val="18"/>
          <w:szCs w:val="18"/>
          <w:color w:val="auto"/>
        </w:rPr>
        <w:t>Our Risk Committee was established in 2017 and assists our board of directors in its oversight of the Company’s risk management activities, with particular focus on</w:t>
      </w:r>
    </w:p>
    <w:p>
      <w:pPr>
        <w:spacing w:after="0" w:line="2" w:lineRule="exact"/>
        <w:rPr>
          <w:sz w:val="20"/>
          <w:szCs w:val="20"/>
          <w:color w:val="auto"/>
        </w:rPr>
      </w:pPr>
    </w:p>
    <w:p>
      <w:pPr>
        <w:ind w:left="220" w:right="80" w:firstLine="2"/>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cybersecurity, information security and information technology risk, (ii) trading, capital and liquidity risk, and (iii) enterprise risk. Our Risk Committee also oversees and receives reports from the Company’s management team on the Company’s risk assessment and risk management activities and may conduct or oversee stress testing or scenario testing. Our board of directors has adopted a written charter for the Risk Committee, which is available on our corporate website at ir.virtu.com/corporate-governance/default.aspx.</w:t>
      </w:r>
    </w:p>
    <w:p>
      <w:pPr>
        <w:spacing w:after="0" w:line="62" w:lineRule="exact"/>
        <w:rPr>
          <w:sz w:val="20"/>
          <w:szCs w:val="20"/>
          <w:color w:val="auto"/>
        </w:rPr>
      </w:pPr>
    </w:p>
    <w:p>
      <w:pPr>
        <w:ind w:left="220" w:right="80"/>
        <w:spacing w:after="0" w:line="259" w:lineRule="auto"/>
        <w:rPr>
          <w:sz w:val="20"/>
          <w:szCs w:val="20"/>
          <w:color w:val="auto"/>
        </w:rPr>
      </w:pPr>
      <w:r>
        <w:rPr>
          <w:rFonts w:ascii="Arial" w:cs="Arial" w:eastAsia="Arial" w:hAnsi="Arial"/>
          <w:sz w:val="18"/>
          <w:szCs w:val="18"/>
          <w:color w:val="auto"/>
        </w:rPr>
        <w:t>Ms. Gambale, and Messrs. Cruger,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 Mr. Michael Viola is not independent.</w:t>
      </w:r>
    </w:p>
    <w:p>
      <w:pPr>
        <w:spacing w:after="0" w:line="71" w:lineRule="exact"/>
        <w:rPr>
          <w:sz w:val="20"/>
          <w:szCs w:val="20"/>
          <w:color w:val="auto"/>
        </w:rPr>
      </w:pPr>
    </w:p>
    <w:p>
      <w:pPr>
        <w:ind w:left="220" w:right="320"/>
        <w:spacing w:after="0" w:line="287" w:lineRule="auto"/>
        <w:rPr>
          <w:sz w:val="20"/>
          <w:szCs w:val="20"/>
          <w:color w:val="auto"/>
        </w:rPr>
      </w:pPr>
      <w:r>
        <w:rPr>
          <w:rFonts w:ascii="Arial" w:cs="Arial" w:eastAsia="Arial" w:hAnsi="Arial"/>
          <w:sz w:val="18"/>
          <w:szCs w:val="18"/>
          <w:color w:val="auto"/>
        </w:rPr>
        <w:t>There were four regular meetings and one special meeting of the Risk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57785</wp:posOffset>
            </wp:positionV>
            <wp:extent cx="5829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38" w:lineRule="auto"/>
        <w:rPr>
          <w:sz w:val="20"/>
          <w:szCs w:val="20"/>
          <w:color w:val="auto"/>
        </w:rPr>
      </w:pPr>
      <w:r>
        <w:rPr>
          <w:rFonts w:ascii="Arial" w:cs="Arial" w:eastAsia="Arial" w:hAnsi="Arial"/>
          <w:sz w:val="21"/>
          <w:szCs w:val="21"/>
          <w:color w:val="00C08A"/>
        </w:rPr>
        <w:t>COMPENSATION COMMITTEE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2024: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6170930</wp:posOffset>
            </wp:positionV>
            <wp:extent cx="75438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Compensation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2024 director and executive compensation arrangements based on the Compensation Committee’s recommendations, the recommendations of the Compensation Committee’s compensation consultant (described below) and the collective judgment of the directors. Our board of directors has adopted a written charter for the Compensation Committee, which is available on our corporate website at ir.virtu.com/corporate-governance/default.aspx.</w:t>
      </w:r>
    </w:p>
    <w:p>
      <w:pPr>
        <w:spacing w:after="0" w:line="83" w:lineRule="exact"/>
        <w:rPr>
          <w:sz w:val="20"/>
          <w:szCs w:val="20"/>
          <w:color w:val="auto"/>
        </w:rPr>
      </w:pPr>
    </w:p>
    <w:p>
      <w:pPr>
        <w:ind w:left="220" w:right="180"/>
        <w:spacing w:after="0" w:line="272" w:lineRule="auto"/>
        <w:rPr>
          <w:sz w:val="20"/>
          <w:szCs w:val="20"/>
          <w:color w:val="auto"/>
        </w:rPr>
      </w:pPr>
      <w:r>
        <w:rPr>
          <w:rFonts w:ascii="Arial" w:cs="Arial" w:eastAsia="Arial" w:hAnsi="Arial"/>
          <w:sz w:val="17"/>
          <w:szCs w:val="17"/>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p>
    <w:p>
      <w:pPr>
        <w:spacing w:after="0" w:line="64" w:lineRule="exact"/>
        <w:rPr>
          <w:sz w:val="20"/>
          <w:szCs w:val="20"/>
          <w:color w:val="auto"/>
        </w:rPr>
      </w:pPr>
    </w:p>
    <w:p>
      <w:pPr>
        <w:jc w:val="both"/>
        <w:ind w:left="220" w:right="280"/>
        <w:spacing w:after="0" w:line="273" w:lineRule="auto"/>
        <w:rPr>
          <w:sz w:val="20"/>
          <w:szCs w:val="20"/>
          <w:color w:val="auto"/>
        </w:rPr>
      </w:pPr>
      <w:r>
        <w:rPr>
          <w:rFonts w:ascii="Arial" w:cs="Arial" w:eastAsia="Arial" w:hAnsi="Arial"/>
          <w:sz w:val="18"/>
          <w:szCs w:val="18"/>
          <w:color w:val="auto"/>
        </w:rPr>
        <w:t>Our Compensation Committee also administers the issuance of awards under the Virtu Financial, Inc. Amended and Restated 2015 Management Incentive Plan (as amended from time to time, the “</w:t>
      </w:r>
      <w:r>
        <w:rPr>
          <w:rFonts w:ascii="Arial" w:cs="Arial" w:eastAsia="Arial" w:hAnsi="Arial"/>
          <w:sz w:val="18"/>
          <w:szCs w:val="18"/>
          <w:b w:val="1"/>
          <w:bCs w:val="1"/>
          <w:color w:val="auto"/>
        </w:rPr>
        <w:t>2015 Plan</w:t>
      </w:r>
      <w:r>
        <w:rPr>
          <w:rFonts w:ascii="Arial" w:cs="Arial" w:eastAsia="Arial" w:hAnsi="Arial"/>
          <w:sz w:val="18"/>
          <w:szCs w:val="18"/>
          <w:color w:val="auto"/>
        </w:rPr>
        <w:t>”).</w:t>
      </w:r>
    </w:p>
    <w:p>
      <w:pPr>
        <w:spacing w:after="0" w:line="50" w:lineRule="exact"/>
        <w:rPr>
          <w:sz w:val="20"/>
          <w:szCs w:val="20"/>
          <w:color w:val="auto"/>
        </w:rPr>
      </w:pPr>
    </w:p>
    <w:p>
      <w:pPr>
        <w:ind w:left="220" w:right="200"/>
        <w:spacing w:after="0" w:line="255" w:lineRule="auto"/>
        <w:rPr>
          <w:sz w:val="20"/>
          <w:szCs w:val="20"/>
          <w:color w:val="auto"/>
        </w:rPr>
      </w:pPr>
      <w:r>
        <w:rPr>
          <w:rFonts w:ascii="Arial" w:cs="Arial" w:eastAsia="Arial" w:hAnsi="Arial"/>
          <w:sz w:val="18"/>
          <w:szCs w:val="18"/>
          <w:color w:val="auto"/>
        </w:rPr>
        <w:t>Messrs. Grano, Quick and Urban are the members of our Compensation Committee. Because we are a “controlled company” under the rules of Nasdaq (see “Controlled Company Status” on page 12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 However, our Compensation Committee is currently comprised entirely of independent directors.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three regular meetings of the Compensation Committee held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103505</wp:posOffset>
            </wp:positionV>
            <wp:extent cx="58293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900" w:type="dxa"/>
            <w:vAlign w:val="bottom"/>
            <w:tcBorders>
              <w:top w:val="single" w:sz="8" w:color="00C08A"/>
            </w:tcBorders>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00C08A"/>
            </w:tcBorders>
          </w:tcPr>
          <w:p>
            <w:pPr>
              <w:ind w:left="40"/>
              <w:spacing w:after="0" w:line="189" w:lineRule="exact"/>
              <w:rPr>
                <w:sz w:val="20"/>
                <w:szCs w:val="20"/>
                <w:color w:val="auto"/>
              </w:rPr>
            </w:pPr>
            <w:r>
              <w:rPr>
                <w:rFonts w:ascii="Arial" w:cs="Arial" w:eastAsia="Arial" w:hAnsi="Arial"/>
                <w:sz w:val="18"/>
                <w:szCs w:val="18"/>
                <w:color w:val="auto"/>
              </w:rPr>
              <w:t>​ ​</w:t>
            </w:r>
          </w:p>
        </w:tc>
        <w:tc>
          <w:tcPr>
            <w:tcW w:w="7040" w:type="dxa"/>
            <w:vAlign w:val="bottom"/>
            <w:tcBorders>
              <w:top w:val="single" w:sz="8" w:color="00C08A"/>
            </w:tcBorders>
            <w:vMerge w:val="restart"/>
          </w:tcPr>
          <w:p>
            <w:pPr>
              <w:ind w:left="20"/>
              <w:spacing w:after="0"/>
              <w:rPr>
                <w:sz w:val="20"/>
                <w:szCs w:val="20"/>
                <w:color w:val="auto"/>
              </w:rPr>
            </w:pPr>
            <w:r>
              <w:rPr>
                <w:rFonts w:ascii="Arial" w:cs="Arial" w:eastAsia="Arial" w:hAnsi="Arial"/>
                <w:sz w:val="18"/>
                <w:szCs w:val="18"/>
                <w:b w:val="1"/>
                <w:bCs w:val="1"/>
                <w:color w:val="auto"/>
              </w:rPr>
              <w:t>The Nominating and Corporate Governance Committee’s responsibilities include:</w:t>
            </w:r>
          </w:p>
        </w:tc>
        <w:tc>
          <w:tcPr>
            <w:tcW w:w="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1900" w:type="dxa"/>
            <w:vAlign w:val="bottom"/>
          </w:tcPr>
          <w:p>
            <w:pPr>
              <w:spacing w:after="0" w:line="136" w:lineRule="exact"/>
              <w:rPr>
                <w:sz w:val="20"/>
                <w:szCs w:val="20"/>
                <w:color w:val="auto"/>
              </w:rPr>
            </w:pPr>
            <w:r>
              <w:rPr>
                <w:rFonts w:ascii="Arial" w:cs="Arial" w:eastAsia="Arial" w:hAnsi="Arial"/>
                <w:sz w:val="15"/>
                <w:szCs w:val="15"/>
                <w:color w:val="00C08A"/>
              </w:rPr>
              <w:t>NOMINATING AND</w:t>
            </w:r>
          </w:p>
        </w:tc>
        <w:tc>
          <w:tcPr>
            <w:tcW w:w="240" w:type="dxa"/>
            <w:vAlign w:val="bottom"/>
          </w:tcPr>
          <w:p>
            <w:pPr>
              <w:spacing w:after="0"/>
              <w:rPr>
                <w:sz w:val="11"/>
                <w:szCs w:val="11"/>
                <w:color w:val="auto"/>
              </w:rPr>
            </w:pPr>
          </w:p>
        </w:tc>
        <w:tc>
          <w:tcPr>
            <w:tcW w:w="7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line="216" w:lineRule="exact"/>
              <w:rPr>
                <w:sz w:val="20"/>
                <w:szCs w:val="20"/>
                <w:color w:val="auto"/>
              </w:rPr>
            </w:pPr>
            <w:r>
              <w:rPr>
                <w:rFonts w:ascii="Arial" w:cs="Arial" w:eastAsia="Arial" w:hAnsi="Arial"/>
                <w:sz w:val="22"/>
                <w:szCs w:val="22"/>
                <w:color w:val="00C08A"/>
              </w:rPr>
              <w:t>CORPORATE</w:t>
            </w:r>
          </w:p>
        </w:tc>
        <w:tc>
          <w:tcPr>
            <w:tcW w:w="240" w:type="dxa"/>
            <w:vAlign w:val="bottom"/>
          </w:tcPr>
          <w:p>
            <w:pPr>
              <w:spacing w:after="0"/>
              <w:rPr>
                <w:sz w:val="18"/>
                <w:szCs w:val="18"/>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Our Nominating and Corporate Governance Committee selects or recommends that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900" w:type="dxa"/>
            <w:vAlign w:val="bottom"/>
            <w:vMerge w:val="restart"/>
          </w:tcPr>
          <w:p>
            <w:pPr>
              <w:spacing w:after="0" w:line="216" w:lineRule="exact"/>
              <w:rPr>
                <w:sz w:val="20"/>
                <w:szCs w:val="20"/>
                <w:color w:val="auto"/>
              </w:rPr>
            </w:pPr>
            <w:r>
              <w:rPr>
                <w:rFonts w:ascii="Arial" w:cs="Arial" w:eastAsia="Arial" w:hAnsi="Arial"/>
                <w:sz w:val="22"/>
                <w:szCs w:val="22"/>
                <w:color w:val="00C08A"/>
              </w:rPr>
              <w:t>GOVERNANCE</w:t>
            </w:r>
          </w:p>
        </w:tc>
        <w:tc>
          <w:tcPr>
            <w:tcW w:w="240" w:type="dxa"/>
            <w:vAlign w:val="bottom"/>
          </w:tcPr>
          <w:p>
            <w:pPr>
              <w:spacing w:after="0"/>
              <w:rPr>
                <w:sz w:val="11"/>
                <w:szCs w:val="11"/>
                <w:color w:val="auto"/>
              </w:rPr>
            </w:pPr>
          </w:p>
        </w:tc>
        <w:tc>
          <w:tcPr>
            <w:tcW w:w="7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board of directors select candidates for election to our board of directors, develops and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900" w:type="dxa"/>
            <w:vAlign w:val="bottom"/>
            <w:vMerge w:val="restart"/>
          </w:tcPr>
          <w:p>
            <w:pPr>
              <w:spacing w:after="0"/>
              <w:rPr>
                <w:sz w:val="20"/>
                <w:szCs w:val="20"/>
                <w:color w:val="auto"/>
              </w:rPr>
            </w:pPr>
            <w:r>
              <w:rPr>
                <w:rFonts w:ascii="Arial" w:cs="Arial" w:eastAsia="Arial" w:hAnsi="Arial"/>
                <w:sz w:val="22"/>
                <w:szCs w:val="22"/>
                <w:color w:val="00C08A"/>
              </w:rPr>
              <w:t>COMMITTEE</w:t>
            </w:r>
          </w:p>
        </w:tc>
        <w:tc>
          <w:tcPr>
            <w:tcW w:w="240" w:type="dxa"/>
            <w:vAlign w:val="bottom"/>
          </w:tcPr>
          <w:p>
            <w:pPr>
              <w:spacing w:after="0"/>
              <w:rPr>
                <w:sz w:val="11"/>
                <w:szCs w:val="11"/>
                <w:color w:val="auto"/>
              </w:rPr>
            </w:pPr>
          </w:p>
        </w:tc>
        <w:tc>
          <w:tcPr>
            <w:tcW w:w="7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recommends to the board of directors corporate governance guidelines that are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Members</w:t>
            </w: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applicable to us and oversees board of directors and management evaluations.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addition, our Nominating and Corporate Governance Committee recommends to our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8"/>
                <w:szCs w:val="18"/>
                <w:color w:val="auto"/>
              </w:rPr>
              <w:t>Joanne M. Minieri</w:t>
            </w:r>
          </w:p>
        </w:tc>
        <w:tc>
          <w:tcPr>
            <w:tcW w:w="24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board of directors for approval director nominees, consistent with our director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8"/>
                <w:szCs w:val="18"/>
                <w:color w:val="auto"/>
              </w:rPr>
              <w:t>John D. Nixon</w:t>
            </w:r>
          </w:p>
        </w:tc>
        <w:tc>
          <w:tcPr>
            <w:tcW w:w="24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qualifications criteria and any obligations under certain contractual arrangements. Our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8"/>
                <w:szCs w:val="18"/>
                <w:color w:val="auto"/>
              </w:rPr>
              <w:t>Christopher C. Quick</w:t>
            </w:r>
          </w:p>
        </w:tc>
        <w:tc>
          <w:tcPr>
            <w:tcW w:w="24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board of directors has adopted a written charter for the Nominating and Corporate</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8"/>
                <w:szCs w:val="18"/>
                <w:color w:val="auto"/>
              </w:rPr>
              <w:t>Michael T. Viola</w:t>
            </w:r>
          </w:p>
        </w:tc>
        <w:tc>
          <w:tcPr>
            <w:tcW w:w="240" w:type="dxa"/>
            <w:vAlign w:val="bottom"/>
          </w:tcPr>
          <w:p>
            <w:pPr>
              <w:spacing w:after="0"/>
              <w:rPr>
                <w:sz w:val="12"/>
                <w:szCs w:val="12"/>
                <w:color w:val="auto"/>
              </w:rPr>
            </w:pPr>
          </w:p>
        </w:tc>
        <w:tc>
          <w:tcPr>
            <w:tcW w:w="7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Governance Committee, which is available on our corporate website at ir.virtu.com/​</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0"/>
                <w:szCs w:val="20"/>
                <w:color w:val="auto"/>
              </w:rPr>
            </w:pPr>
            <w:r>
              <w:rPr>
                <w:rFonts w:ascii="Arial" w:cs="Arial" w:eastAsia="Arial" w:hAnsi="Arial"/>
                <w:sz w:val="18"/>
                <w:szCs w:val="18"/>
                <w:b w:val="1"/>
                <w:bCs w:val="1"/>
                <w:color w:val="auto"/>
              </w:rPr>
              <w:t>Number of Meetings</w:t>
            </w:r>
          </w:p>
        </w:tc>
        <w:tc>
          <w:tcPr>
            <w:tcW w:w="24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corporate-governance/default.aspx.</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b w:val="1"/>
                <w:bCs w:val="1"/>
                <w:color w:val="auto"/>
              </w:rPr>
              <w:t>Held in 2024: 4</w:t>
            </w:r>
          </w:p>
        </w:tc>
        <w:tc>
          <w:tcPr>
            <w:tcW w:w="240" w:type="dxa"/>
            <w:vAlign w:val="bottom"/>
          </w:tcPr>
          <w:p>
            <w:pPr>
              <w:spacing w:after="0"/>
              <w:rPr>
                <w:sz w:val="24"/>
                <w:szCs w:val="24"/>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Ms. Minieri, and Messrs. Nixon, Quick and Michael Viola are the members of our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Nominating and Corporate Governance Committee. Because we are a “controlled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company” under the rules of Nasdaq (see “Controlled Company Status” on page 14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this proxy statement), our Nominating and Corporate Governance Committee is not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required to be fully independent, although if such rules change in the future or we no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w w:val="99"/>
              </w:rPr>
              <w:t>longer meet the definition of a controlled company under the current rules, we will adjust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w w:val="99"/>
              </w:rPr>
              <w:t>the composition of the Nominating and Corporate Governance Committee accordingly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order to comply with such rules. As described elsewhere in this proxy statement,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Mr. Michael Viola is not independent.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There were four regular meetings of the Nominating and Corporate Governance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Committee held during 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900" w:type="dxa"/>
            <w:vAlign w:val="bottom"/>
            <w:tcBorders>
              <w:bottom w:val="single" w:sz="8" w:color="00C08A"/>
            </w:tcBorders>
          </w:tcPr>
          <w:p>
            <w:pPr>
              <w:spacing w:after="0"/>
              <w:rPr>
                <w:sz w:val="11"/>
                <w:szCs w:val="11"/>
                <w:color w:val="auto"/>
              </w:rPr>
            </w:pPr>
          </w:p>
        </w:tc>
        <w:tc>
          <w:tcPr>
            <w:tcW w:w="240" w:type="dxa"/>
            <w:vAlign w:val="bottom"/>
            <w:tcBorders>
              <w:bottom w:val="single" w:sz="8" w:color="00C08A"/>
            </w:tcBorders>
          </w:tcPr>
          <w:p>
            <w:pPr>
              <w:spacing w:after="0"/>
              <w:rPr>
                <w:sz w:val="11"/>
                <w:szCs w:val="11"/>
                <w:color w:val="auto"/>
              </w:rPr>
            </w:pPr>
          </w:p>
        </w:tc>
        <w:tc>
          <w:tcPr>
            <w:tcW w:w="7040" w:type="dxa"/>
            <w:vAlign w:val="bottom"/>
            <w:tcBorders>
              <w:bottom w:val="single" w:sz="8" w:color="00C08A"/>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5829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140"/>
        <w:spacing w:after="0" w:line="264" w:lineRule="auto"/>
        <w:rPr>
          <w:sz w:val="20"/>
          <w:szCs w:val="20"/>
          <w:color w:val="auto"/>
        </w:rPr>
      </w:pPr>
      <w:r>
        <w:rPr>
          <w:rFonts w:ascii="Arial" w:cs="Arial" w:eastAsia="Arial" w:hAnsi="Arial"/>
          <w:sz w:val="18"/>
          <w:szCs w:val="18"/>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considers specific characteristics and expertise that it believes will enhance the diversity of knowledge, expertise, background and personal characteristics of our board of directors, which assessment is aided by a Board skills and experience matrix which is maintained by the Committee and disclosed above on page 3.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p>
    <w:p>
      <w:pPr>
        <w:spacing w:after="0" w:line="79" w:lineRule="exact"/>
        <w:rPr>
          <w:sz w:val="20"/>
          <w:szCs w:val="20"/>
          <w:color w:val="auto"/>
        </w:rPr>
      </w:pPr>
    </w:p>
    <w:p>
      <w:pPr>
        <w:ind w:left="760" w:right="80"/>
        <w:spacing w:after="0" w:line="264" w:lineRule="auto"/>
        <w:rPr>
          <w:sz w:val="20"/>
          <w:szCs w:val="20"/>
          <w:color w:val="auto"/>
        </w:rPr>
      </w:pPr>
      <w:r>
        <w:rPr>
          <w:rFonts w:ascii="Arial" w:cs="Arial" w:eastAsia="Arial" w:hAnsi="Arial"/>
          <w:sz w:val="18"/>
          <w:szCs w:val="18"/>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82" w:lineRule="exact"/>
        <w:rPr>
          <w:sz w:val="20"/>
          <w:szCs w:val="20"/>
          <w:color w:val="auto"/>
        </w:rPr>
      </w:pPr>
    </w:p>
    <w:p>
      <w:pPr>
        <w:ind w:left="760" w:right="620"/>
        <w:spacing w:after="0" w:line="303" w:lineRule="auto"/>
        <w:rPr>
          <w:sz w:val="20"/>
          <w:szCs w:val="20"/>
          <w:color w:val="auto"/>
        </w:rPr>
      </w:pPr>
      <w:r>
        <w:rPr>
          <w:rFonts w:ascii="Arial" w:cs="Arial" w:eastAsia="Arial" w:hAnsi="Arial"/>
          <w:sz w:val="18"/>
          <w:szCs w:val="18"/>
          <w:color w:val="auto"/>
        </w:rPr>
        <w:t>In its discretion, the Nominating and Corporate Governance Committee will also consider recommendations of qualified nominees by stockholders by evaluating the same factors as described above.</w:t>
      </w:r>
    </w:p>
    <w:p>
      <w:pPr>
        <w:spacing w:after="0" w:line="25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CORPORATE GOVERNANCE</w:t>
      </w:r>
    </w:p>
    <w:p>
      <w:pPr>
        <w:spacing w:after="0" w:line="237" w:lineRule="exact"/>
        <w:rPr>
          <w:sz w:val="20"/>
          <w:szCs w:val="20"/>
          <w:color w:val="auto"/>
        </w:rPr>
      </w:pPr>
    </w:p>
    <w:p>
      <w:pPr>
        <w:ind w:left="760" w:right="120"/>
        <w:spacing w:after="0" w:line="259" w:lineRule="auto"/>
        <w:rPr>
          <w:sz w:val="20"/>
          <w:szCs w:val="20"/>
          <w:color w:val="auto"/>
        </w:rPr>
      </w:pPr>
      <w:r>
        <w:rPr>
          <w:rFonts w:ascii="Arial" w:cs="Arial" w:eastAsia="Arial" w:hAnsi="Arial"/>
          <w:sz w:val="18"/>
          <w:szCs w:val="18"/>
          <w:color w:val="auto"/>
        </w:rPr>
        <w:t>In addition to the board of directors’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75 of this proxy statement.</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1633 Broadway, New York, New York 10019.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002453"/>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20"/>
        <w:spacing w:after="0" w:line="262" w:lineRule="auto"/>
        <w:rPr>
          <w:sz w:val="20"/>
          <w:szCs w:val="20"/>
          <w:color w:val="auto"/>
        </w:rPr>
      </w:pPr>
      <w:r>
        <w:rPr>
          <w:rFonts w:ascii="Arial" w:cs="Arial" w:eastAsia="Arial" w:hAnsi="Arial"/>
          <w:sz w:val="18"/>
          <w:szCs w:val="18"/>
          <w:color w:val="auto"/>
        </w:rPr>
        <w:t>During the year ended December 31, 2024, no member of the Compensation Committee was one of our officers or employees. None of our executive officers serves on the Compensation Committee or board of directors of any other company of which any of the members of our Compensation Committee or any of our directors is an executive officer.</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380"/>
        <w:spacing w:after="0" w:line="268" w:lineRule="auto"/>
        <w:rPr>
          <w:sz w:val="20"/>
          <w:szCs w:val="20"/>
          <w:color w:val="auto"/>
        </w:rPr>
      </w:pPr>
      <w:r>
        <w:rPr>
          <w:rFonts w:ascii="Arial" w:cs="Arial" w:eastAsia="Arial" w:hAnsi="Arial"/>
          <w:sz w:val="18"/>
          <w:szCs w:val="18"/>
          <w:color w:val="auto"/>
        </w:rPr>
        <w:t>We have adopted a code of conduct and ethics applicable to our employees, officers and directors. A copy of that code is available on our corporate website at ir.virtu.com/corporate-governance/default.aspx. We expect that any amendments to the code, or any waivers of its requirements, will be disclosed on our website.</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We have adopted insider trading policies and procedures applicable to our directors, officers and employees, and their respective related persons, and have implemented processes (including a pre-clearance process) that we believe are reasonably designed to promote compliance with insider trading laws, rules and regulations, including applicable NASDAQ listing standards. Our policy prohibits engaging in transactions in securities of Virtu while in possession of material nonpublic information about Virtu also prohibits our employees from disclosing material, nonpublic information of Virtu to others who may trade on the basis of that information. Our policy requires that covered persons only transact in securities of Virtu during an open window period, subject to limited exceptions. The foregoing summary of our insider trading policies and procedures does not purport to be complete and is qualified by reference to our Insider Trading Policy, a copy of which can be found as an exhibit to our Annual Report on Form 10-K for the fiscal year ended December 31, 2024.</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Option Grant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60"/>
        <w:spacing w:after="0" w:line="259" w:lineRule="auto"/>
        <w:rPr>
          <w:sz w:val="20"/>
          <w:szCs w:val="20"/>
          <w:color w:val="auto"/>
        </w:rPr>
      </w:pPr>
      <w:r>
        <w:rPr>
          <w:rFonts w:ascii="Arial" w:cs="Arial" w:eastAsia="Arial" w:hAnsi="Arial"/>
          <w:sz w:val="17"/>
          <w:szCs w:val="17"/>
          <w:color w:val="auto"/>
        </w:rPr>
        <w:t>As a general matter, options and equivalent awards are not part of the Company’s ordinary course equity compensation strategy. Equity-based awards, namely RSUs and PSUs, are granted with a fair market value based on The Nasdaq Global Select Market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volume-weighted average closing price of shares of our Class A common stock on the three trading days preceding the grant date. The Compensation Committee approves equity-based grants to the NEOs. Other employee awards may be authorized by either the Compensation Committee or the CEO pursuant to delegated authority. The annual equity-based awards to the NEOs are typically reviewed and approved by the Compensation Committee in January. The grant date for the annual equity-based awards is typically close in time to the Compensation Committee meeting at which they are approved and during an open trading window under the Company’s Insider Trading Policy following the Company’s publication of its fourth quarter earnings. In certain cases, the Compensation Committee or the CEO approves the use of equity-based grants to new hires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203835</wp:posOffset>
            </wp:positionV>
            <wp:extent cx="754380" cy="231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current NEOs as an incentive to attract or retain executive officers or other senior management. In the event of equity-based grants for new hires, the date of grant is typically close in time to the new employee’s date of hire. Virtu has no intention, plan or practice to select annual grant dates for equity-based awards in coordination with the release of material, non-public information or to time the release of such information because of award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440"/>
        <w:spacing w:after="0"/>
        <w:rPr>
          <w:sz w:val="20"/>
          <w:szCs w:val="20"/>
          <w:color w:val="auto"/>
        </w:rPr>
      </w:pPr>
      <w:r>
        <w:rPr>
          <w:rFonts w:ascii="Arial" w:cs="Arial" w:eastAsia="Arial" w:hAnsi="Arial"/>
          <w:sz w:val="54"/>
          <w:szCs w:val="54"/>
          <w:color w:val="002453"/>
        </w:rPr>
        <w:t>Proposal 2: Advisory Vote to Approve Compensation of Named Executive Officers</w:t>
      </w:r>
    </w:p>
    <w:p>
      <w:pPr>
        <w:spacing w:after="0" w:line="65" w:lineRule="exact"/>
        <w:rPr>
          <w:sz w:val="20"/>
          <w:szCs w:val="20"/>
          <w:color w:val="auto"/>
        </w:rPr>
      </w:pPr>
    </w:p>
    <w:p>
      <w:pPr>
        <w:ind w:left="760" w:right="200"/>
        <w:spacing w:after="0" w:line="265" w:lineRule="auto"/>
        <w:rPr>
          <w:sz w:val="20"/>
          <w:szCs w:val="20"/>
          <w:color w:val="auto"/>
        </w:rPr>
      </w:pPr>
      <w:r>
        <w:rPr>
          <w:rFonts w:ascii="Arial" w:cs="Arial" w:eastAsia="Arial" w:hAnsi="Arial"/>
          <w:sz w:val="18"/>
          <w:szCs w:val="18"/>
          <w:color w:val="auto"/>
        </w:rPr>
        <w:t>In accordance with the requirements of Section 14A of the Exchange Act and Exchange Act Rule 14a-21(a), we are including in this proxy statement a separate resolution to approve, in a non-binding, stockholder advisory vote, the compensation paid to our named executive officers as disclosed in “Executive Compensation” below (the “</w:t>
      </w:r>
      <w:r>
        <w:rPr>
          <w:rFonts w:ascii="Arial" w:cs="Arial" w:eastAsia="Arial" w:hAnsi="Arial"/>
          <w:sz w:val="18"/>
          <w:szCs w:val="18"/>
          <w:b w:val="1"/>
          <w:bCs w:val="1"/>
          <w:color w:val="auto"/>
        </w:rPr>
        <w:t>say-on-pay vote</w:t>
      </w:r>
      <w:r>
        <w:rPr>
          <w:rFonts w:ascii="Arial" w:cs="Arial" w:eastAsia="Arial" w:hAnsi="Arial"/>
          <w:sz w:val="18"/>
          <w:szCs w:val="18"/>
          <w:color w:val="auto"/>
        </w:rPr>
        <w:t>”).</w:t>
      </w:r>
    </w:p>
    <w:p>
      <w:pPr>
        <w:spacing w:after="0" w:line="58"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While the results of the say-on-pay vote are non-binding and advisory in nature, our board of directors and Compensation Committee intend to consider the results of this vote in making future compensation decisions.</w:t>
      </w:r>
    </w:p>
    <w:p>
      <w:pPr>
        <w:spacing w:after="0" w:line="22"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Our board of directors currently intends to conduct advisory votes on executive compensation every year, subject to any input from our shareholders as a result of the advisory vote on the frequency of future say-on-pay votes in proposal 3. As a result, our next advisory say-on-pay vote will take place at our annual meeting of stockholders next year.</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language of the resolution is as follows:</w:t>
      </w:r>
    </w:p>
    <w:p>
      <w:pPr>
        <w:spacing w:after="0" w:line="117"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“RESOLVED, that the compensation paid to the Company’s named executive officers for the fiscal year ended December 31, 2024, as discussed pursuant to the compensation disclosure rules of the Securities and Exchange Commission, including the compensation discussion and analysis, the summary compensation table and the related compensation tables and narrative in this proxy statement, is hereby APPROVED, on an advisory basis.”</w:t>
      </w:r>
    </w:p>
    <w:p>
      <w:pPr>
        <w:spacing w:after="0" w:line="68"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In considering their vote, stockholders are encouraged to read the compensation discussion and analysis, the accompanying compensation tables, and the related narrative disclosure included in this proxy statement.</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on an advisory basis, the compensation of our named executive officers. Broker non-votes have no effect on the proposal, and abstentions have the same effect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287020</wp:posOffset>
            </wp:positionV>
            <wp:extent cx="5829300" cy="480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approval, on an advisory basis, of the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453"/>
                <w:w w:val="99"/>
              </w:rPr>
              <w:t>compensation of our named executive officers.</w:t>
            </w:r>
          </w:p>
        </w:tc>
        <w:tc>
          <w:tcPr>
            <w:tcW w:w="220" w:type="dxa"/>
            <w:vAlign w:val="bottom"/>
            <w:vMerge w:val="restart"/>
          </w:tcPr>
          <w:p>
            <w:pPr>
              <w:ind w:left="1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87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1972310</wp:posOffset>
            </wp:positionV>
            <wp:extent cx="75438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780"/>
        <w:spacing w:after="0" w:line="236" w:lineRule="auto"/>
        <w:rPr>
          <w:sz w:val="20"/>
          <w:szCs w:val="20"/>
          <w:color w:val="auto"/>
        </w:rPr>
      </w:pPr>
      <w:r>
        <w:rPr>
          <w:rFonts w:ascii="Arial" w:cs="Arial" w:eastAsia="Arial" w:hAnsi="Arial"/>
          <w:sz w:val="54"/>
          <w:szCs w:val="54"/>
          <w:color w:val="002453"/>
        </w:rPr>
        <w:t>Proposal 3: Advisory Vote on the Frequency of Future Advisory Votes on Compensation of Named Executive Officers</w:t>
      </w:r>
    </w:p>
    <w:p>
      <w:pPr>
        <w:spacing w:after="0" w:line="52" w:lineRule="exact"/>
        <w:rPr>
          <w:sz w:val="20"/>
          <w:szCs w:val="20"/>
          <w:color w:val="auto"/>
        </w:rPr>
      </w:pPr>
    </w:p>
    <w:p>
      <w:pPr>
        <w:ind w:left="760" w:right="220"/>
        <w:spacing w:after="0" w:line="256"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we are submitting for stockholder consideration a separate resolution to determine, in a non-binding advisory vote, whether say-on-pay votes should occur every one, two or three years. This “say-on-frequency” vote must be submitted to stockholders at least once every six years. We last held an advisory vote on the frequency of the executive compensation advisory vote during our 2019 Annual Meeting of Stockholders. During this meeting, the board recommended, and a majority of stockholders voted for, a frequency of one year. As a result, for the past six years, the board has determined to hold an annual advisory vote on executive compensation.</w:t>
      </w:r>
    </w:p>
    <w:p>
      <w:pPr>
        <w:spacing w:after="0" w:line="75" w:lineRule="exact"/>
        <w:rPr>
          <w:sz w:val="20"/>
          <w:szCs w:val="20"/>
          <w:color w:val="auto"/>
        </w:rPr>
      </w:pPr>
    </w:p>
    <w:p>
      <w:pPr>
        <w:ind w:left="760" w:right="140"/>
        <w:spacing w:after="0" w:line="318" w:lineRule="auto"/>
        <w:rPr>
          <w:sz w:val="20"/>
          <w:szCs w:val="20"/>
          <w:color w:val="auto"/>
        </w:rPr>
      </w:pPr>
      <w:r>
        <w:rPr>
          <w:rFonts w:ascii="Arial" w:cs="Arial" w:eastAsia="Arial" w:hAnsi="Arial"/>
          <w:sz w:val="17"/>
          <w:szCs w:val="17"/>
          <w:color w:val="auto"/>
        </w:rPr>
        <w:t>After careful consideration, our board of directors continues to believe that a frequency of every year for the advisory vote on executive compensation is the optimal interval for conducting and responding to a “say-on-pay” vote.</w:t>
      </w:r>
    </w:p>
    <w:p>
      <w:pPr>
        <w:spacing w:after="0" w:line="22" w:lineRule="exact"/>
        <w:rPr>
          <w:sz w:val="20"/>
          <w:szCs w:val="20"/>
          <w:color w:val="auto"/>
        </w:rPr>
      </w:pPr>
    </w:p>
    <w:p>
      <w:pPr>
        <w:ind w:left="760" w:right="140"/>
        <w:spacing w:after="0" w:line="318" w:lineRule="auto"/>
        <w:rPr>
          <w:sz w:val="20"/>
          <w:szCs w:val="20"/>
          <w:color w:val="auto"/>
        </w:rPr>
      </w:pPr>
      <w:r>
        <w:rPr>
          <w:rFonts w:ascii="Arial" w:cs="Arial" w:eastAsia="Arial" w:hAnsi="Arial"/>
          <w:sz w:val="17"/>
          <w:szCs w:val="17"/>
          <w:color w:val="auto"/>
        </w:rPr>
        <w:t>While the results of the vote are non-binding and advisory in nature, the board of directors intends to carefully consider the results of this vote when considering the frequency of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257175</wp:posOffset>
            </wp:positionV>
            <wp:extent cx="5829300" cy="514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280" w:type="dxa"/>
            <w:vAlign w:val="bottom"/>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on an advisory basis, the approval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280" w:type="dxa"/>
            <w:vAlign w:val="bottom"/>
          </w:tcPr>
          <w:p>
            <w:pPr>
              <w:jc w:val="center"/>
              <w:spacing w:after="0"/>
              <w:rPr>
                <w:sz w:val="20"/>
                <w:szCs w:val="20"/>
                <w:color w:val="auto"/>
              </w:rPr>
            </w:pPr>
            <w:r>
              <w:rPr>
                <w:rFonts w:ascii="Arial" w:cs="Arial" w:eastAsia="Arial" w:hAnsi="Arial"/>
                <w:sz w:val="18"/>
                <w:szCs w:val="18"/>
                <w:b w:val="1"/>
                <w:bCs w:val="1"/>
                <w:color w:val="002453"/>
                <w:w w:val="99"/>
              </w:rPr>
              <w:t>of the option of “1 YEAR” for holding a future advisory say-on-pay vote.</w:t>
            </w:r>
          </w:p>
        </w:tc>
        <w:tc>
          <w:tcPr>
            <w:tcW w:w="440" w:type="dxa"/>
            <w:vAlign w:val="bottom"/>
            <w:vMerge w:val="restart"/>
          </w:tcPr>
          <w:p>
            <w:pPr>
              <w:ind w:left="38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122"/>
        </w:trPr>
        <w:tc>
          <w:tcPr>
            <w:tcW w:w="400" w:type="dxa"/>
            <w:vAlign w:val="bottom"/>
            <w:vMerge w:val="continue"/>
          </w:tcPr>
          <w:p>
            <w:pPr>
              <w:spacing w:after="0"/>
              <w:rPr>
                <w:sz w:val="10"/>
                <w:szCs w:val="10"/>
                <w:color w:val="auto"/>
              </w:rPr>
            </w:pPr>
          </w:p>
        </w:tc>
        <w:tc>
          <w:tcPr>
            <w:tcW w:w="82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Executive Compensation</w:t>
      </w:r>
    </w:p>
    <w:p>
      <w:pPr>
        <w:spacing w:after="0" w:line="214" w:lineRule="exact"/>
        <w:rPr>
          <w:sz w:val="20"/>
          <w:szCs w:val="20"/>
          <w:color w:val="auto"/>
        </w:rPr>
      </w:pPr>
    </w:p>
    <w:p>
      <w:pPr>
        <w:ind w:left="2680"/>
        <w:spacing w:after="0"/>
        <w:rPr>
          <w:sz w:val="20"/>
          <w:szCs w:val="20"/>
          <w:color w:val="auto"/>
        </w:rPr>
      </w:pPr>
      <w:r>
        <w:rPr>
          <w:rFonts w:ascii="Arial" w:cs="Arial" w:eastAsia="Arial" w:hAnsi="Arial"/>
          <w:sz w:val="29"/>
          <w:szCs w:val="29"/>
          <w:color w:val="00C08A"/>
        </w:rPr>
        <w:t>COMPENSATION COMMITTEE REPORT</w:t>
      </w:r>
    </w:p>
    <w:p>
      <w:pPr>
        <w:spacing w:after="0" w:line="112"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following “Compensation Discussion and Analysis.” Based on this review and discussion, the Compensation Committee recommended to the board of directors that the section entitled “Compensation Discussion and Analysis” be included in this proxy statement for the Annual Meeting and incorporated by reference into the Corporation’s annual report on Form 10-K for the fiscal year ended December 31, 2024.</w:t>
      </w:r>
    </w:p>
    <w:p>
      <w:pPr>
        <w:spacing w:after="0" w:line="73"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Christopher C. Quick</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Urban</w:t>
      </w:r>
    </w:p>
    <w:p>
      <w:pPr>
        <w:spacing w:after="0" w:line="194" w:lineRule="exact"/>
        <w:rPr>
          <w:sz w:val="20"/>
          <w:szCs w:val="20"/>
          <w:color w:val="auto"/>
        </w:rPr>
      </w:pPr>
    </w:p>
    <w:p>
      <w:pPr>
        <w:ind w:left="2220"/>
        <w:spacing w:after="0"/>
        <w:rPr>
          <w:sz w:val="20"/>
          <w:szCs w:val="20"/>
          <w:color w:val="auto"/>
        </w:rPr>
      </w:pPr>
      <w:r>
        <w:rPr>
          <w:rFonts w:ascii="Arial" w:cs="Arial" w:eastAsia="Arial" w:hAnsi="Arial"/>
          <w:sz w:val="29"/>
          <w:szCs w:val="29"/>
          <w:color w:val="00C08A"/>
        </w:rPr>
        <w:t>COMPENSATION DISCUSSION AND ANALYSIS</w:t>
      </w:r>
    </w:p>
    <w:p>
      <w:pPr>
        <w:spacing w:after="0" w:line="112" w:lineRule="exact"/>
        <w:rPr>
          <w:sz w:val="20"/>
          <w:szCs w:val="20"/>
          <w:color w:val="auto"/>
        </w:rPr>
      </w:pPr>
    </w:p>
    <w:p>
      <w:pPr>
        <w:ind w:left="760" w:right="260"/>
        <w:spacing w:after="0" w:line="255" w:lineRule="auto"/>
        <w:rPr>
          <w:sz w:val="20"/>
          <w:szCs w:val="20"/>
          <w:color w:val="auto"/>
        </w:rPr>
      </w:pPr>
      <w:r>
        <w:rPr>
          <w:rFonts w:ascii="Arial" w:cs="Arial" w:eastAsia="Arial" w:hAnsi="Arial"/>
          <w:sz w:val="18"/>
          <w:szCs w:val="18"/>
          <w:color w:val="auto"/>
        </w:rPr>
        <w:t>This compensation discussion and analysis discusses our executive compensation programs for our named executive officers in respect of our fiscal year ended December 31, 2024, which we refer to herein as “fiscal year 2024,” and includes a discussion of our compensation objectives and philosophy and the material elements of compensation earned by, awarded, or paid, to our named executive officers in fiscal year 2024.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2024 and describe our intended compensation approach.</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officers for fiscal year 2024 were as follows:</w:t>
      </w:r>
    </w:p>
    <w:p>
      <w:pPr>
        <w:spacing w:after="0" w:line="124"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1980" w:type="dxa"/>
            <w:vAlign w:val="bottom"/>
            <w:tcBorders>
              <w:top w:val="single" w:sz="8" w:color="00C08A"/>
            </w:tcBorders>
          </w:tcPr>
          <w:p>
            <w:pPr>
              <w:ind w:left="20"/>
              <w:spacing w:after="0" w:line="18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00C08A"/>
            </w:tcBorders>
          </w:tcPr>
          <w:p>
            <w:pPr>
              <w:ind w:left="740"/>
              <w:spacing w:after="0" w:line="181" w:lineRule="exact"/>
              <w:rPr>
                <w:sz w:val="20"/>
                <w:szCs w:val="20"/>
                <w:color w:val="auto"/>
              </w:rPr>
            </w:pPr>
            <w:r>
              <w:rPr>
                <w:rFonts w:ascii="Arial" w:cs="Arial" w:eastAsia="Arial" w:hAnsi="Arial"/>
                <w:sz w:val="18"/>
                <w:szCs w:val="18"/>
                <w:color w:val="auto"/>
              </w:rPr>
              <w:t>​ ​</w:t>
            </w:r>
          </w:p>
        </w:tc>
        <w:tc>
          <w:tcPr>
            <w:tcW w:w="4980" w:type="dxa"/>
            <w:vAlign w:val="bottom"/>
            <w:tcBorders>
              <w:top w:val="single" w:sz="8" w:color="00C08A"/>
            </w:tcBorders>
            <w:vMerge w:val="restart"/>
          </w:tcPr>
          <w:p>
            <w:pPr>
              <w:ind w:left="20"/>
              <w:spacing w:after="0"/>
              <w:rPr>
                <w:sz w:val="20"/>
                <w:szCs w:val="20"/>
                <w:color w:val="auto"/>
              </w:rPr>
            </w:pPr>
            <w:r>
              <w:rPr>
                <w:rFonts w:ascii="Arial" w:cs="Arial" w:eastAsia="Arial" w:hAnsi="Arial"/>
                <w:sz w:val="18"/>
                <w:szCs w:val="18"/>
                <w:color w:val="auto"/>
              </w:rPr>
              <w:t>Chief Executive Officer</w:t>
            </w:r>
          </w:p>
        </w:tc>
        <w:tc>
          <w:tcPr>
            <w:tcW w:w="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980" w:type="dxa"/>
            <w:vAlign w:val="bottom"/>
            <w:tcBorders>
              <w:bottom w:val="single" w:sz="8" w:color="00C08A"/>
            </w:tcBorders>
          </w:tcPr>
          <w:p>
            <w:pPr>
              <w:ind w:left="20"/>
              <w:spacing w:after="0" w:line="122" w:lineRule="exact"/>
              <w:rPr>
                <w:sz w:val="20"/>
                <w:szCs w:val="20"/>
                <w:color w:val="auto"/>
              </w:rPr>
            </w:pPr>
            <w:r>
              <w:rPr>
                <w:rFonts w:ascii="Arial" w:cs="Arial" w:eastAsia="Arial" w:hAnsi="Arial"/>
                <w:sz w:val="13"/>
                <w:szCs w:val="13"/>
                <w:color w:val="auto"/>
              </w:rPr>
              <w:t>Douglas A. Cifu</w:t>
            </w:r>
          </w:p>
        </w:tc>
        <w:tc>
          <w:tcPr>
            <w:tcW w:w="920" w:type="dxa"/>
            <w:vAlign w:val="bottom"/>
            <w:tcBorders>
              <w:bottom w:val="single" w:sz="8" w:color="00C08A"/>
            </w:tcBorders>
          </w:tcPr>
          <w:p>
            <w:pPr>
              <w:spacing w:after="0"/>
              <w:rPr>
                <w:sz w:val="10"/>
                <w:szCs w:val="10"/>
                <w:color w:val="auto"/>
              </w:rPr>
            </w:pPr>
          </w:p>
        </w:tc>
        <w:tc>
          <w:tcPr>
            <w:tcW w:w="4980" w:type="dxa"/>
            <w:vAlign w:val="bottom"/>
            <w:tcBorders>
              <w:bottom w:val="single" w:sz="8" w:color="00C08A"/>
            </w:tcBorders>
            <w:vMerge w:val="continue"/>
          </w:tcPr>
          <w:p>
            <w:pPr>
              <w:spacing w:after="0"/>
              <w:rPr>
                <w:sz w:val="10"/>
                <w:szCs w:val="10"/>
                <w:color w:val="auto"/>
              </w:rPr>
            </w:pPr>
          </w:p>
        </w:tc>
        <w:tc>
          <w:tcPr>
            <w:tcW w:w="20" w:type="dxa"/>
            <w:vAlign w:val="bottom"/>
            <w:tcBorders>
              <w:bottom w:val="single" w:sz="8" w:color="00C08A"/>
            </w:tcBorders>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Joseph Molluso</w:t>
            </w:r>
          </w:p>
        </w:tc>
        <w:tc>
          <w:tcPr>
            <w:tcW w:w="920" w:type="dxa"/>
            <w:vAlign w:val="bottom"/>
            <w:tcBorders>
              <w:bottom w:val="single" w:sz="8" w:color="00C08A"/>
            </w:tcBorders>
          </w:tcPr>
          <w:p>
            <w:pPr>
              <w:spacing w:after="0"/>
              <w:rPr>
                <w:sz w:val="9"/>
                <w:szCs w:val="9"/>
                <w:color w:val="auto"/>
              </w:rPr>
            </w:pPr>
          </w:p>
        </w:tc>
        <w:tc>
          <w:tcPr>
            <w:tcW w:w="4980" w:type="dxa"/>
            <w:vAlign w:val="bottom"/>
            <w:tcBorders>
              <w:bottom w:val="single" w:sz="8" w:color="00C08A"/>
            </w:tcBorders>
            <w:vMerge w:val="continue"/>
          </w:tcPr>
          <w:p>
            <w:pPr>
              <w:spacing w:after="0"/>
              <w:rPr>
                <w:sz w:val="9"/>
                <w:szCs w:val="9"/>
                <w:color w:val="auto"/>
              </w:rPr>
            </w:pPr>
          </w:p>
        </w:tc>
        <w:tc>
          <w:tcPr>
            <w:tcW w:w="20" w:type="dxa"/>
            <w:vAlign w:val="bottom"/>
            <w:tcBorders>
              <w:bottom w:val="single" w:sz="8" w:color="00C08A"/>
            </w:tcBorders>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Brett Fairclough</w:t>
            </w:r>
          </w:p>
        </w:tc>
        <w:tc>
          <w:tcPr>
            <w:tcW w:w="920" w:type="dxa"/>
            <w:vAlign w:val="bottom"/>
            <w:tcBorders>
              <w:bottom w:val="single" w:sz="8" w:color="00C08A"/>
            </w:tcBorders>
          </w:tcPr>
          <w:p>
            <w:pPr>
              <w:spacing w:after="0"/>
              <w:rPr>
                <w:sz w:val="9"/>
                <w:szCs w:val="9"/>
                <w:color w:val="auto"/>
              </w:rPr>
            </w:pPr>
          </w:p>
        </w:tc>
        <w:tc>
          <w:tcPr>
            <w:tcW w:w="4980" w:type="dxa"/>
            <w:vAlign w:val="bottom"/>
            <w:tcBorders>
              <w:bottom w:val="single" w:sz="8" w:color="00C08A"/>
            </w:tcBorders>
            <w:vMerge w:val="continue"/>
          </w:tcPr>
          <w:p>
            <w:pPr>
              <w:spacing w:after="0"/>
              <w:rPr>
                <w:sz w:val="9"/>
                <w:szCs w:val="9"/>
                <w:color w:val="auto"/>
              </w:rPr>
            </w:pPr>
          </w:p>
        </w:tc>
        <w:tc>
          <w:tcPr>
            <w:tcW w:w="20" w:type="dxa"/>
            <w:vAlign w:val="bottom"/>
            <w:tcBorders>
              <w:bottom w:val="single" w:sz="8" w:color="00C08A"/>
            </w:tcBorders>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Executive Vice President, Markets</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00C08A"/>
            </w:tcBorders>
          </w:tcPr>
          <w:p>
            <w:pPr>
              <w:ind w:left="20"/>
              <w:spacing w:after="0" w:line="108" w:lineRule="exact"/>
              <w:rPr>
                <w:sz w:val="20"/>
                <w:szCs w:val="20"/>
                <w:color w:val="auto"/>
              </w:rPr>
            </w:pPr>
            <w:r>
              <w:rPr>
                <w:rFonts w:ascii="Arial" w:cs="Arial" w:eastAsia="Arial" w:hAnsi="Arial"/>
                <w:sz w:val="12"/>
                <w:szCs w:val="12"/>
                <w:color w:val="auto"/>
              </w:rPr>
              <w:t>Stephen Cavoli</w:t>
            </w:r>
          </w:p>
        </w:tc>
        <w:tc>
          <w:tcPr>
            <w:tcW w:w="920" w:type="dxa"/>
            <w:vAlign w:val="bottom"/>
            <w:tcBorders>
              <w:bottom w:val="single" w:sz="8" w:color="00C08A"/>
            </w:tcBorders>
          </w:tcPr>
          <w:p>
            <w:pPr>
              <w:spacing w:after="0"/>
              <w:rPr>
                <w:sz w:val="9"/>
                <w:szCs w:val="9"/>
                <w:color w:val="auto"/>
              </w:rPr>
            </w:pPr>
          </w:p>
        </w:tc>
        <w:tc>
          <w:tcPr>
            <w:tcW w:w="4980" w:type="dxa"/>
            <w:vAlign w:val="bottom"/>
            <w:tcBorders>
              <w:bottom w:val="single" w:sz="8" w:color="00C08A"/>
            </w:tcBorders>
            <w:vMerge w:val="continue"/>
          </w:tcPr>
          <w:p>
            <w:pPr>
              <w:spacing w:after="0"/>
              <w:rPr>
                <w:sz w:val="9"/>
                <w:szCs w:val="9"/>
                <w:color w:val="auto"/>
              </w:rPr>
            </w:pPr>
          </w:p>
        </w:tc>
        <w:tc>
          <w:tcPr>
            <w:tcW w:w="20" w:type="dxa"/>
            <w:vAlign w:val="bottom"/>
            <w:tcBorders>
              <w:bottom w:val="single" w:sz="8" w:color="00C08A"/>
            </w:tcBorders>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920" w:type="dxa"/>
            <w:vAlign w:val="bottom"/>
          </w:tcPr>
          <w:p>
            <w:pPr>
              <w:ind w:left="740"/>
              <w:spacing w:after="0" w:line="142" w:lineRule="exact"/>
              <w:rPr>
                <w:sz w:val="20"/>
                <w:szCs w:val="20"/>
                <w:color w:val="auto"/>
              </w:rPr>
            </w:pPr>
            <w:r>
              <w:rPr>
                <w:rFonts w:ascii="Arial" w:cs="Arial" w:eastAsia="Arial" w:hAnsi="Arial"/>
                <w:sz w:val="16"/>
                <w:szCs w:val="16"/>
                <w:color w:val="auto"/>
              </w:rPr>
              <w:t>​ ​</w:t>
            </w:r>
          </w:p>
        </w:tc>
        <w:tc>
          <w:tcPr>
            <w:tcW w:w="4980" w:type="dxa"/>
            <w:vAlign w:val="bottom"/>
          </w:tcPr>
          <w:p>
            <w:pPr>
              <w:ind w:left="410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980" w:type="dxa"/>
            <w:vAlign w:val="bottom"/>
            <w:tcBorders>
              <w:bottom w:val="single" w:sz="8" w:color="00C08A"/>
            </w:tcBorders>
          </w:tcPr>
          <w:p>
            <w:pPr>
              <w:ind w:left="20"/>
              <w:spacing w:after="0" w:line="116" w:lineRule="exact"/>
              <w:rPr>
                <w:sz w:val="20"/>
                <w:szCs w:val="20"/>
                <w:color w:val="auto"/>
              </w:rPr>
            </w:pPr>
            <w:r>
              <w:rPr>
                <w:rFonts w:ascii="Arial" w:cs="Arial" w:eastAsia="Arial" w:hAnsi="Arial"/>
                <w:sz w:val="13"/>
                <w:szCs w:val="13"/>
                <w:color w:val="auto"/>
              </w:rPr>
              <w:t>Cindy Lee</w:t>
            </w:r>
          </w:p>
        </w:tc>
        <w:tc>
          <w:tcPr>
            <w:tcW w:w="920" w:type="dxa"/>
            <w:vAlign w:val="bottom"/>
            <w:tcBorders>
              <w:bottom w:val="single" w:sz="8" w:color="00C08A"/>
            </w:tcBorders>
          </w:tcPr>
          <w:p>
            <w:pPr>
              <w:spacing w:after="0"/>
              <w:rPr>
                <w:sz w:val="11"/>
                <w:szCs w:val="11"/>
                <w:color w:val="auto"/>
              </w:rPr>
            </w:pPr>
          </w:p>
        </w:tc>
        <w:tc>
          <w:tcPr>
            <w:tcW w:w="4980" w:type="dxa"/>
            <w:vAlign w:val="bottom"/>
            <w:tcBorders>
              <w:bottom w:val="single" w:sz="8" w:color="00C08A"/>
            </w:tcBorders>
          </w:tcPr>
          <w:p>
            <w:pPr>
              <w:ind w:left="20"/>
              <w:spacing w:after="0" w:line="116" w:lineRule="exact"/>
              <w:rPr>
                <w:sz w:val="20"/>
                <w:szCs w:val="20"/>
                <w:color w:val="auto"/>
              </w:rPr>
            </w:pPr>
            <w:r>
              <w:rPr>
                <w:rFonts w:ascii="Arial" w:cs="Arial" w:eastAsia="Arial" w:hAnsi="Arial"/>
                <w:sz w:val="13"/>
                <w:szCs w:val="13"/>
                <w:color w:val="auto"/>
              </w:rPr>
              <w:t>Executive Vice President and Chief Financial Officer</w:t>
            </w:r>
          </w:p>
        </w:tc>
        <w:tc>
          <w:tcPr>
            <w:tcW w:w="20" w:type="dxa"/>
            <w:vAlign w:val="bottom"/>
            <w:tcBorders>
              <w:bottom w:val="single" w:sz="8" w:color="00C08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920" w:type="dxa"/>
            <w:vAlign w:val="bottom"/>
          </w:tcPr>
          <w:p>
            <w:pPr>
              <w:ind w:left="740"/>
              <w:spacing w:after="0" w:line="149" w:lineRule="exact"/>
              <w:rPr>
                <w:sz w:val="20"/>
                <w:szCs w:val="20"/>
                <w:color w:val="auto"/>
              </w:rPr>
            </w:pPr>
            <w:r>
              <w:rPr>
                <w:rFonts w:ascii="Arial" w:cs="Arial" w:eastAsia="Arial" w:hAnsi="Arial"/>
                <w:sz w:val="17"/>
                <w:szCs w:val="17"/>
                <w:color w:val="auto"/>
              </w:rPr>
              <w:t>​ ​</w:t>
            </w:r>
          </w:p>
        </w:tc>
        <w:tc>
          <w:tcPr>
            <w:tcW w:w="4980" w:type="dxa"/>
            <w:vAlign w:val="bottom"/>
          </w:tcPr>
          <w:p>
            <w:pPr>
              <w:ind w:left="474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2"/>
                <w:szCs w:val="12"/>
                <w:color w:val="auto"/>
              </w:rPr>
            </w:pPr>
          </w:p>
        </w:tc>
        <w:tc>
          <w:tcPr>
            <w:tcW w:w="4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5"/>
        </w:trPr>
        <w:tc>
          <w:tcPr>
            <w:tcW w:w="1980" w:type="dxa"/>
            <w:vAlign w:val="bottom"/>
            <w:tcBorders>
              <w:bottom w:val="single" w:sz="8" w:color="00C08A"/>
            </w:tcBorders>
          </w:tcPr>
          <w:p>
            <w:pPr>
              <w:ind w:left="20"/>
              <w:spacing w:after="0" w:line="135" w:lineRule="exact"/>
              <w:rPr>
                <w:sz w:val="20"/>
                <w:szCs w:val="20"/>
                <w:color w:val="auto"/>
              </w:rPr>
            </w:pPr>
            <w:r>
              <w:rPr>
                <w:rFonts w:ascii="Arial" w:cs="Arial" w:eastAsia="Arial" w:hAnsi="Arial"/>
                <w:sz w:val="15"/>
                <w:szCs w:val="15"/>
                <w:color w:val="auto"/>
              </w:rPr>
              <w:t>Sean P. Galvin</w:t>
            </w:r>
          </w:p>
        </w:tc>
        <w:tc>
          <w:tcPr>
            <w:tcW w:w="920" w:type="dxa"/>
            <w:vAlign w:val="bottom"/>
            <w:tcBorders>
              <w:bottom w:val="single" w:sz="8" w:color="00C08A"/>
            </w:tcBorders>
          </w:tcPr>
          <w:p>
            <w:pPr>
              <w:spacing w:after="0"/>
              <w:rPr>
                <w:sz w:val="11"/>
                <w:szCs w:val="11"/>
                <w:color w:val="auto"/>
              </w:rPr>
            </w:pPr>
          </w:p>
        </w:tc>
        <w:tc>
          <w:tcPr>
            <w:tcW w:w="4980" w:type="dxa"/>
            <w:vAlign w:val="bottom"/>
            <w:tcBorders>
              <w:bottom w:val="single" w:sz="8" w:color="00C08A"/>
            </w:tcBorders>
          </w:tcPr>
          <w:p>
            <w:pPr>
              <w:ind w:left="20"/>
              <w:spacing w:after="0" w:line="135" w:lineRule="exact"/>
              <w:rPr>
                <w:sz w:val="20"/>
                <w:szCs w:val="20"/>
                <w:color w:val="auto"/>
              </w:rPr>
            </w:pPr>
            <w:r>
              <w:rPr>
                <w:rFonts w:ascii="Arial" w:cs="Arial" w:eastAsia="Arial" w:hAnsi="Arial"/>
                <w:sz w:val="15"/>
                <w:szCs w:val="15"/>
                <w:color w:val="auto"/>
              </w:rPr>
              <w:t>Former Executive Vice President and Chief Financial Officer</w:t>
            </w:r>
          </w:p>
        </w:tc>
        <w:tc>
          <w:tcPr>
            <w:tcW w:w="20" w:type="dxa"/>
            <w:vAlign w:val="bottom"/>
            <w:tcBorders>
              <w:bottom w:val="single" w:sz="8" w:color="00C08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18"/>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Lee was promoted and appointed Executive Vice President and Chief Financial Officer effective August 1, 2024.</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Galvin transitioned into a non-executive senior role effective August 1, 2024 and served in this capacity until April 11, 2025.</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in our industry.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 based in order to promote achievement of our short- and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352425</wp:posOffset>
            </wp:positionV>
            <wp:extent cx="75438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considering external market conditions and internal equity issues. With these principles in mind, 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77" w:lineRule="exact"/>
        <w:rPr>
          <w:sz w:val="20"/>
          <w:szCs w:val="20"/>
          <w:color w:val="auto"/>
        </w:rPr>
      </w:pPr>
    </w:p>
    <w:p>
      <w:pPr>
        <w:ind w:left="760" w:right="840"/>
        <w:spacing w:after="0" w:line="287" w:lineRule="auto"/>
        <w:rPr>
          <w:sz w:val="20"/>
          <w:szCs w:val="20"/>
          <w:color w:val="auto"/>
        </w:rPr>
      </w:pPr>
      <w:r>
        <w:rPr>
          <w:rFonts w:ascii="Arial" w:cs="Arial" w:eastAsia="Arial" w:hAnsi="Arial"/>
          <w:sz w:val="18"/>
          <w:szCs w:val="18"/>
          <w:color w:val="auto"/>
        </w:rPr>
        <w:t>Key features of our compensation policies and practices that aim to drive performance and align our named executive officers with stockholder interests are highlighted below:</w:t>
      </w:r>
    </w:p>
    <w:p>
      <w:pPr>
        <w:spacing w:after="0" w:line="45" w:lineRule="exact"/>
        <w:rPr>
          <w:sz w:val="20"/>
          <w:szCs w:val="20"/>
          <w:color w:val="auto"/>
        </w:rPr>
      </w:pPr>
    </w:p>
    <w:p>
      <w:pPr>
        <w:jc w:val="both"/>
        <w:ind w:left="1200" w:right="580" w:hanging="222"/>
        <w:spacing w:after="0" w:line="268"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Pay for performance</w:t>
      </w:r>
      <w:r>
        <w:rPr>
          <w:rFonts w:ascii="Arial" w:cs="Arial" w:eastAsia="Arial" w:hAnsi="Arial"/>
          <w:sz w:val="18"/>
          <w:szCs w:val="18"/>
          <w:color w:val="auto"/>
        </w:rPr>
        <w:t>. A portion of the compensation program for named executive officers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our executives to remain focused on both our short- and long-term operational success and to reward outstanding individual performance.</w:t>
      </w:r>
    </w:p>
    <w:p>
      <w:pPr>
        <w:spacing w:after="0" w:line="62" w:lineRule="exact"/>
        <w:rPr>
          <w:rFonts w:ascii="Arial" w:cs="Arial" w:eastAsia="Arial" w:hAnsi="Arial"/>
          <w:sz w:val="18"/>
          <w:szCs w:val="18"/>
          <w:color w:val="002453"/>
        </w:rPr>
      </w:pPr>
    </w:p>
    <w:p>
      <w:pPr>
        <w:ind w:left="1200" w:right="400" w:hanging="222"/>
        <w:spacing w:after="0" w:line="268"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Align incentives with stockholders</w:t>
      </w:r>
      <w:r>
        <w:rPr>
          <w:rFonts w:ascii="Arial" w:cs="Arial" w:eastAsia="Arial" w:hAnsi="Arial"/>
          <w:sz w:val="18"/>
          <w:szCs w:val="18"/>
          <w:color w:val="auto"/>
        </w:rPr>
        <w:t>. Our executive compensation program is designed to focus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on our key strategic, financial and operational goals that will translate into long term value creation for our stockholders.</w:t>
      </w:r>
    </w:p>
    <w:p>
      <w:pPr>
        <w:spacing w:after="0" w:line="62" w:lineRule="exact"/>
        <w:rPr>
          <w:rFonts w:ascii="Arial" w:cs="Arial" w:eastAsia="Arial" w:hAnsi="Arial"/>
          <w:sz w:val="18"/>
          <w:szCs w:val="18"/>
          <w:color w:val="002453"/>
        </w:rPr>
      </w:pPr>
    </w:p>
    <w:p>
      <w:pPr>
        <w:ind w:left="1200" w:right="260" w:hanging="222"/>
        <w:spacing w:after="0" w:line="287"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Limited perquisites</w:t>
      </w:r>
      <w:r>
        <w:rPr>
          <w:rFonts w:ascii="Arial" w:cs="Arial" w:eastAsia="Arial" w:hAnsi="Arial"/>
          <w:sz w:val="18"/>
          <w:szCs w:val="18"/>
          <w:color w:val="auto"/>
        </w:rPr>
        <w:t>. We provide limited, reasonable perquisites that we believe are consistent with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philosophy.</w:t>
      </w:r>
    </w:p>
    <w:p>
      <w:pPr>
        <w:spacing w:after="0" w:line="44" w:lineRule="exact"/>
        <w:rPr>
          <w:rFonts w:ascii="Arial" w:cs="Arial" w:eastAsia="Arial" w:hAnsi="Arial"/>
          <w:sz w:val="18"/>
          <w:szCs w:val="18"/>
          <w:color w:val="002453"/>
        </w:rPr>
      </w:pPr>
    </w:p>
    <w:p>
      <w:pPr>
        <w:ind w:left="1200" w:right="440" w:hanging="222"/>
        <w:spacing w:after="0" w:line="287" w:lineRule="auto"/>
        <w:tabs>
          <w:tab w:leader="none" w:pos="1200" w:val="left"/>
        </w:tabs>
        <w:numPr>
          <w:ilvl w:val="0"/>
          <w:numId w:val="9"/>
        </w:numPr>
        <w:rPr>
          <w:rFonts w:ascii="Arial" w:cs="Arial" w:eastAsia="Arial" w:hAnsi="Arial"/>
          <w:sz w:val="18"/>
          <w:szCs w:val="18"/>
          <w:color w:val="002453"/>
        </w:rPr>
      </w:pPr>
      <w:r>
        <w:rPr>
          <w:rFonts w:ascii="Arial" w:cs="Arial" w:eastAsia="Arial" w:hAnsi="Arial"/>
          <w:sz w:val="18"/>
          <w:szCs w:val="18"/>
          <w:i w:val="1"/>
          <w:iCs w:val="1"/>
          <w:color w:val="auto"/>
        </w:rPr>
        <w:t>No IRC Section 280G or 409A tax gross ups</w:t>
      </w:r>
      <w:r>
        <w:rPr>
          <w:rFonts w:ascii="Arial" w:cs="Arial" w:eastAsia="Arial" w:hAnsi="Arial"/>
          <w:sz w:val="18"/>
          <w:szCs w:val="18"/>
          <w:color w:val="auto"/>
        </w:rPr>
        <w:t>. We do not provide tax gross ups under our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deferred compensation programs.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Compensation Committee participates in an annual evaluation of the performance of our Chief Executive Officer and subsequently determines and approves the Chief Executive Officer’s compensation level based on this evaluation. In determining the long-term incentive component of Chief Executive Officer compensation, the Compensation Committee will also consider, among such other factors, the Company’s performance, stockholder returns, the value of similar incentive awards to chief executive officers at comparable companies and the awards given to the Chief Executive Officer in past years. Our Chief Executive Officer reviews each named executive officer’s compensation package, other than his own, annually in light of the performance of each named executive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77" w:lineRule="exact"/>
        <w:rPr>
          <w:sz w:val="20"/>
          <w:szCs w:val="20"/>
          <w:color w:val="auto"/>
        </w:rPr>
      </w:pPr>
    </w:p>
    <w:p>
      <w:pPr>
        <w:ind w:left="760" w:right="140"/>
        <w:spacing w:after="0" w:line="268" w:lineRule="auto"/>
        <w:rPr>
          <w:sz w:val="20"/>
          <w:szCs w:val="20"/>
          <w:color w:val="auto"/>
        </w:rPr>
      </w:pPr>
      <w:r>
        <w:rPr>
          <w:rFonts w:ascii="Arial" w:cs="Arial" w:eastAsia="Arial" w:hAnsi="Arial"/>
          <w:sz w:val="18"/>
          <w:szCs w:val="18"/>
          <w:color w:val="auto"/>
        </w:rPr>
        <w:t>Specifically, the Compensation Committee determines and approves the compensation packages of the Chief Executive Officer and approves the compensation packages of each other named executive officer, giving significant deference to the views and recommendations of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196" w:lineRule="exact"/>
        <w:rPr>
          <w:sz w:val="20"/>
          <w:szCs w:val="20"/>
          <w:color w:val="auto"/>
        </w:rPr>
      </w:pPr>
    </w:p>
    <w:p>
      <w:pPr>
        <w:ind w:left="760" w:right="680"/>
        <w:spacing w:after="0" w:line="268" w:lineRule="auto"/>
        <w:rPr>
          <w:sz w:val="20"/>
          <w:szCs w:val="20"/>
          <w:color w:val="auto"/>
        </w:rPr>
      </w:pPr>
      <w:r>
        <w:rPr>
          <w:rFonts w:ascii="Arial" w:cs="Arial" w:eastAsia="Arial" w:hAnsi="Arial"/>
          <w:sz w:val="29"/>
          <w:szCs w:val="29"/>
          <w:b w:val="1"/>
          <w:bCs w:val="1"/>
          <w:color w:val="002453"/>
        </w:rPr>
        <w:t>Elements of Compensation for 2024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68" w:lineRule="exact"/>
        <w:rPr>
          <w:sz w:val="20"/>
          <w:szCs w:val="20"/>
          <w:color w:val="auto"/>
        </w:rPr>
      </w:pPr>
    </w:p>
    <w:p>
      <w:pPr>
        <w:ind w:left="760" w:right="240"/>
        <w:spacing w:after="0" w:line="275" w:lineRule="auto"/>
        <w:rPr>
          <w:sz w:val="20"/>
          <w:szCs w:val="20"/>
          <w:color w:val="auto"/>
        </w:rPr>
      </w:pPr>
      <w:r>
        <w:rPr>
          <w:rFonts w:ascii="Arial" w:cs="Arial" w:eastAsia="Arial" w:hAnsi="Arial"/>
          <w:sz w:val="17"/>
          <w:szCs w:val="17"/>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pacing w:after="0" w:line="80"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0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Compensation Element</w:t>
            </w:r>
          </w:p>
        </w:tc>
        <w:tc>
          <w:tcPr>
            <w:tcW w:w="300" w:type="dxa"/>
            <w:vAlign w:val="bottom"/>
            <w:tcBorders>
              <w:bottom w:val="single" w:sz="8" w:color="00C08A"/>
            </w:tcBorders>
          </w:tcPr>
          <w:p>
            <w:pPr>
              <w:ind w:left="140"/>
              <w:spacing w:after="0"/>
              <w:rPr>
                <w:sz w:val="20"/>
                <w:szCs w:val="20"/>
                <w:color w:val="auto"/>
              </w:rPr>
            </w:pPr>
            <w:r>
              <w:rPr>
                <w:rFonts w:ascii="Arial" w:cs="Arial" w:eastAsia="Arial" w:hAnsi="Arial"/>
                <w:sz w:val="14"/>
                <w:szCs w:val="14"/>
                <w:b w:val="1"/>
                <w:bCs w:val="1"/>
                <w:color w:val="002453"/>
              </w:rPr>
              <w:t>​ ​</w:t>
            </w:r>
          </w:p>
        </w:tc>
        <w:tc>
          <w:tcPr>
            <w:tcW w:w="3240" w:type="dxa"/>
            <w:vAlign w:val="bottom"/>
            <w:tcBorders>
              <w:bottom w:val="single" w:sz="8" w:color="00C08A"/>
            </w:tcBorders>
          </w:tcPr>
          <w:p>
            <w:pPr>
              <w:ind w:left="1060"/>
              <w:spacing w:after="0"/>
              <w:rPr>
                <w:sz w:val="20"/>
                <w:szCs w:val="20"/>
                <w:color w:val="auto"/>
              </w:rPr>
            </w:pPr>
            <w:r>
              <w:rPr>
                <w:rFonts w:ascii="Arial" w:cs="Arial" w:eastAsia="Arial" w:hAnsi="Arial"/>
                <w:sz w:val="14"/>
                <w:szCs w:val="14"/>
                <w:b w:val="1"/>
                <w:bCs w:val="1"/>
                <w:color w:val="002453"/>
              </w:rPr>
              <w:t>Brief Description</w:t>
            </w:r>
          </w:p>
        </w:tc>
        <w:tc>
          <w:tcPr>
            <w:tcW w:w="2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002453"/>
              </w:rPr>
              <w:t>​ ​</w:t>
            </w:r>
          </w:p>
        </w:tc>
        <w:tc>
          <w:tcPr>
            <w:tcW w:w="3300" w:type="dxa"/>
            <w:vAlign w:val="bottom"/>
            <w:tcBorders>
              <w:bottom w:val="single" w:sz="8" w:color="00C08A"/>
            </w:tcBorders>
          </w:tcPr>
          <w:p>
            <w:pPr>
              <w:ind w:left="1300"/>
              <w:spacing w:after="0"/>
              <w:rPr>
                <w:sz w:val="20"/>
                <w:szCs w:val="20"/>
                <w:color w:val="auto"/>
              </w:rPr>
            </w:pPr>
            <w:r>
              <w:rPr>
                <w:rFonts w:ascii="Arial" w:cs="Arial" w:eastAsia="Arial" w:hAnsi="Arial"/>
                <w:sz w:val="14"/>
                <w:szCs w:val="14"/>
                <w:b w:val="1"/>
                <w:bCs w:val="1"/>
                <w:color w:val="002453"/>
              </w:rPr>
              <w:t>Objectives</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Base Salary</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Fixed compensation.</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Provide a competitive, fixed level of cash</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compensation to attract and retain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talented and skilled executives.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Cash Bonus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Variable, performance-based cash</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Retain and motivate executives to</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9"/>
              </w:rPr>
              <w:t>compensation earned based on financial</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achieve or exceed financial goals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and individual performance.</w:t>
            </w: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Company objectives.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3540" w:type="dxa"/>
            <w:vAlign w:val="bottom"/>
            <w:tcBorders>
              <w:bottom w:val="single" w:sz="8" w:color="00C08A"/>
            </w:tcBorders>
            <w:gridSpan w:val="2"/>
          </w:tcPr>
          <w:p>
            <w:pPr>
              <w:spacing w:after="0"/>
              <w:rPr>
                <w:sz w:val="2"/>
                <w:szCs w:val="2"/>
                <w:color w:val="auto"/>
              </w:rPr>
            </w:pPr>
          </w:p>
        </w:tc>
        <w:tc>
          <w:tcPr>
            <w:tcW w:w="3560" w:type="dxa"/>
            <w:vAlign w:val="bottom"/>
            <w:tcBorders>
              <w:bottom w:val="single" w:sz="8" w:color="00C08A"/>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Equity Awards</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 ​ Equity and equity-based compensation</w:t>
            </w:r>
          </w:p>
        </w:tc>
        <w:tc>
          <w:tcPr>
            <w:tcW w:w="3560" w:type="dxa"/>
            <w:vAlign w:val="bottom"/>
            <w:gridSpan w:val="2"/>
          </w:tcPr>
          <w:p>
            <w:pPr>
              <w:ind w:left="60"/>
              <w:spacing w:after="0"/>
              <w:rPr>
                <w:sz w:val="20"/>
                <w:szCs w:val="20"/>
                <w:color w:val="auto"/>
              </w:rPr>
            </w:pPr>
            <w:r>
              <w:rPr>
                <w:rFonts w:ascii="Arial" w:cs="Arial" w:eastAsia="Arial" w:hAnsi="Arial"/>
                <w:sz w:val="18"/>
                <w:szCs w:val="18"/>
                <w:color w:val="auto"/>
              </w:rPr>
              <w:t>​ ​ The mix of equity and equity-based</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that is subject to vesting based on</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awards with time-based vesting assists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 continued employment, and (ii) for</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retention of key talent while also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certain named executive officers,</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rewarding executives for exceptional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achievement of pre-established financial</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performance.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and operational goals.</w:t>
            </w: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7100" w:type="dxa"/>
            <w:vAlign w:val="bottom"/>
            <w:tcBorders>
              <w:bottom w:val="single" w:sz="8" w:color="00C08A"/>
            </w:tcBorders>
            <w:gridSpan w:val="4"/>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Employee Benefits and</w:t>
            </w:r>
          </w:p>
        </w:tc>
        <w:tc>
          <w:tcPr>
            <w:tcW w:w="7100" w:type="dxa"/>
            <w:vAlign w:val="bottom"/>
            <w:gridSpan w:val="4"/>
          </w:tcPr>
          <w:p>
            <w:pPr>
              <w:ind w:left="80"/>
              <w:spacing w:after="0"/>
              <w:rPr>
                <w:sz w:val="20"/>
                <w:szCs w:val="20"/>
                <w:color w:val="auto"/>
              </w:rPr>
            </w:pPr>
            <w:r>
              <w:rPr>
                <w:rFonts w:ascii="Arial" w:cs="Arial" w:eastAsia="Arial" w:hAnsi="Arial"/>
                <w:sz w:val="18"/>
                <w:szCs w:val="18"/>
                <w:color w:val="auto"/>
              </w:rPr>
              <w:t>​ ​ Participation in all broad-based employee ​ ​ Aid in retention of key executives in a</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Perquisites</w:t>
            </w: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health and welfare programs and</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highly competitive market for talent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retirement plans.</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providing an overall competitive benefits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package.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08A"/>
            </w:tcBorders>
          </w:tcPr>
          <w:p>
            <w:pPr>
              <w:spacing w:after="0"/>
              <w:rPr>
                <w:sz w:val="2"/>
                <w:szCs w:val="2"/>
                <w:color w:val="auto"/>
              </w:rPr>
            </w:pPr>
          </w:p>
        </w:tc>
        <w:tc>
          <w:tcPr>
            <w:tcW w:w="300" w:type="dxa"/>
            <w:vAlign w:val="bottom"/>
            <w:tcBorders>
              <w:bottom w:val="single" w:sz="8" w:color="00C08A"/>
            </w:tcBorders>
          </w:tcPr>
          <w:p>
            <w:pPr>
              <w:spacing w:after="0"/>
              <w:rPr>
                <w:sz w:val="2"/>
                <w:szCs w:val="2"/>
                <w:color w:val="auto"/>
              </w:rPr>
            </w:pPr>
          </w:p>
        </w:tc>
        <w:tc>
          <w:tcPr>
            <w:tcW w:w="3240" w:type="dxa"/>
            <w:vAlign w:val="bottom"/>
            <w:tcBorders>
              <w:bottom w:val="single" w:sz="8" w:color="00C08A"/>
            </w:tcBorders>
          </w:tcPr>
          <w:p>
            <w:pPr>
              <w:spacing w:after="0"/>
              <w:rPr>
                <w:sz w:val="2"/>
                <w:szCs w:val="2"/>
                <w:color w:val="auto"/>
              </w:rPr>
            </w:pPr>
          </w:p>
        </w:tc>
        <w:tc>
          <w:tcPr>
            <w:tcW w:w="260" w:type="dxa"/>
            <w:vAlign w:val="bottom"/>
            <w:tcBorders>
              <w:bottom w:val="single" w:sz="8" w:color="00C08A"/>
            </w:tcBorders>
          </w:tcPr>
          <w:p>
            <w:pPr>
              <w:spacing w:after="0"/>
              <w:rPr>
                <w:sz w:val="2"/>
                <w:szCs w:val="2"/>
                <w:color w:val="auto"/>
              </w:rPr>
            </w:pPr>
          </w:p>
        </w:tc>
        <w:tc>
          <w:tcPr>
            <w:tcW w:w="3300" w:type="dxa"/>
            <w:vAlign w:val="bottom"/>
            <w:tcBorders>
              <w:bottom w:val="single" w:sz="8" w:color="00C08A"/>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60" w:right="120"/>
        <w:spacing w:after="0" w:line="246" w:lineRule="auto"/>
        <w:rPr>
          <w:sz w:val="20"/>
          <w:szCs w:val="20"/>
          <w:color w:val="auto"/>
        </w:rPr>
      </w:pPr>
      <w:r>
        <w:rPr>
          <w:rFonts w:ascii="Arial" w:cs="Arial" w:eastAsia="Arial" w:hAnsi="Arial"/>
          <w:sz w:val="18"/>
          <w:szCs w:val="18"/>
          <w:color w:val="auto"/>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short- or long-term compensation, between cash and non-cash compensation, among different forms of non-cash compensation, or among named executive officers, though historically variable bonus compensation to executive officers has been paid in range of 50% cash and 50% equity compensation. Rather, we look at a named executive officer’s goals and responsibilities to determine the appropriate level and mix of incentive compensation.</w:t>
      </w:r>
    </w:p>
    <w:p>
      <w:pPr>
        <w:spacing w:after="0" w:line="71" w:lineRule="exact"/>
        <w:rPr>
          <w:sz w:val="20"/>
          <w:szCs w:val="20"/>
          <w:color w:val="auto"/>
        </w:rPr>
      </w:pPr>
    </w:p>
    <w:p>
      <w:pPr>
        <w:ind w:left="760" w:right="100"/>
        <w:spacing w:after="0" w:line="261"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We provide our named executive officers with a base salary to compensate them for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rendered during the fiscal 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named executive officer’s past performance, the scope of the role and responsibilities of the named executive officer within the Company and the performance of the Company as a whole. We also review the named executive officer’s compensation relative to that of our other executive officers and to the market for executive officers of similar expertise and experience. The base salaries for Messrs. Cifu, Cavoli, Fairclough, Molluso and Galvin were not increased during fiscal year 2024. The base salary for Ms. Lee was increased to $400,000 in connection with her promotion and appointment to CFO.</w:t>
      </w:r>
    </w:p>
    <w:p>
      <w:pPr>
        <w:spacing w:after="0" w:line="58"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b w:val="1"/>
          <w:bCs w:val="1"/>
          <w:i w:val="1"/>
          <w:iCs w:val="1"/>
          <w:color w:val="auto"/>
        </w:rPr>
        <w:t>Variable Incentive Compensation</w:t>
      </w:r>
      <w:r>
        <w:rPr>
          <w:rFonts w:ascii="Arial" w:cs="Arial" w:eastAsia="Arial" w:hAnsi="Arial"/>
          <w:sz w:val="18"/>
          <w:szCs w:val="18"/>
          <w:color w:val="auto"/>
        </w:rPr>
        <w:t>. We award variable incentive compensation to reward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82" w:lineRule="exact"/>
        <w:rPr>
          <w:sz w:val="20"/>
          <w:szCs w:val="20"/>
          <w:color w:val="auto"/>
        </w:rPr>
      </w:pPr>
    </w:p>
    <w:p>
      <w:pPr>
        <w:ind w:left="760" w:right="380"/>
        <w:spacing w:after="0" w:line="262" w:lineRule="auto"/>
        <w:rPr>
          <w:sz w:val="20"/>
          <w:szCs w:val="20"/>
          <w:color w:val="auto"/>
        </w:rPr>
      </w:pPr>
      <w:r>
        <w:rPr>
          <w:rFonts w:ascii="Arial" w:cs="Arial" w:eastAsia="Arial" w:hAnsi="Arial"/>
          <w:sz w:val="17"/>
          <w:szCs w:val="17"/>
          <w:color w:val="auto"/>
        </w:rPr>
        <w:t>To determine the actual amount of variable incentive compensation for each named executive officer, the Compensation Committee reviews quantitative and qualitative criteria. With respect to both types of criteria, attainment of any specific level of performance or specific qualitative goal does not determine the amount of the bonus, except as discussed below regarding Messrs. Cifu’s, Molluso’s, Fairclough’s and Cavoli’s annual bonus. Other than as set forth below with respect to Messrs. Cifu’s, Molluso’s Fairclough’s and Cavoli’s annual bonus, no pre-determined single performance metric is disproportionately weighted in making the determination of a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193675</wp:posOffset>
            </wp:positionV>
            <wp:extent cx="75438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760"/>
        <w:spacing w:after="0" w:line="276" w:lineRule="auto"/>
        <w:rPr>
          <w:sz w:val="20"/>
          <w:szCs w:val="20"/>
          <w:color w:val="auto"/>
        </w:rPr>
      </w:pPr>
      <w:r>
        <w:rPr>
          <w:rFonts w:ascii="Arial" w:cs="Arial" w:eastAsia="Arial" w:hAnsi="Arial"/>
          <w:sz w:val="18"/>
          <w:szCs w:val="18"/>
          <w:color w:val="auto"/>
        </w:rPr>
        <w:t>executive officer’s variable incentive compensation 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69" w:lineRule="exact"/>
        <w:rPr>
          <w:sz w:val="20"/>
          <w:szCs w:val="20"/>
          <w:color w:val="auto"/>
        </w:rPr>
      </w:pPr>
    </w:p>
    <w:p>
      <w:pPr>
        <w:ind w:left="760" w:right="100"/>
        <w:spacing w:after="0" w:line="278" w:lineRule="auto"/>
        <w:rPr>
          <w:sz w:val="20"/>
          <w:szCs w:val="20"/>
          <w:color w:val="auto"/>
        </w:rPr>
      </w:pPr>
      <w:r>
        <w:rPr>
          <w:rFonts w:ascii="Arial" w:cs="Arial" w:eastAsia="Arial" w:hAnsi="Arial"/>
          <w:sz w:val="17"/>
          <w:szCs w:val="17"/>
          <w:color w:val="auto"/>
        </w:rPr>
        <w:t>The amount of the variable incentive compensation award can be paid in a mixture of cash and/or equity. For each of Messrs. Cifu, Molluso, Fairclough and Cavoli, 50% of his 2024 variable incentive compensation was paid in cash and 50% was paid in equity-based compensation, with 30% paid in the form of restricted stock units that vest ratably over a three-year period and 20% paid in fully vested common stock, subject to any voluntary deferrals (see “Employee Benefits and Perquisites” on page 28 of this proxy statement). For Mr. Galvin, 67% of his 2024 variable incentive compensation was paid in cash and 33% was paid in equity-based compensation, with 20% paid in the form of restricted stock units that vest ratably over a three-year period and 13% paid in fully vested common stock. For</w:t>
      </w:r>
    </w:p>
    <w:p>
      <w:pPr>
        <w:spacing w:after="0" w:line="4" w:lineRule="exact"/>
        <w:rPr>
          <w:sz w:val="20"/>
          <w:szCs w:val="20"/>
          <w:color w:val="auto"/>
        </w:rPr>
      </w:pPr>
    </w:p>
    <w:p>
      <w:pPr>
        <w:ind w:left="760" w:right="120"/>
        <w:spacing w:after="0" w:line="265" w:lineRule="auto"/>
        <w:rPr>
          <w:sz w:val="20"/>
          <w:szCs w:val="20"/>
          <w:color w:val="auto"/>
        </w:rPr>
      </w:pPr>
      <w:r>
        <w:rPr>
          <w:rFonts w:ascii="Arial" w:cs="Arial" w:eastAsia="Arial" w:hAnsi="Arial"/>
          <w:sz w:val="18"/>
          <w:szCs w:val="18"/>
          <w:color w:val="auto"/>
        </w:rPr>
        <w:t>Ms. Lee, 67% of her 2024 variable incentive compensation was paid in cash and 33% was paid in equity-based compensation, with 20% paid in the form of restricted stock units that vest ratably over a three-year period and 13% paid in fully vested common stock. We use awards of fully vested common stock and restricted stock units as a long-term incentive vehicle because it aligns the interests of executives with those of stockholders, supports a pay for performance culture, fosters employee stock ownership, and focuses the management team on increasing value for the stockholders and on the Company’s long-term performance.</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2024, in accordance with the terms of his employment agreement, Mr. Cifu was eligible to earn an</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bonus with a target bonus opportunity equal to $3,000,000 and a maximum bonus opportunity equal to</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$6,000,000. 50% of the annual bonus was based on the achievement of select quantitative goals as determined by</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the Compensation Committee and 50% of the annual bonus was based on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achievement of qualitative goals and metrics, including debt and capital structure management, select strategic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initiatives, technology integration goals and people, recruiting and talent-related measures. For fiscal year 2024, the</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threshold to earn the target performance-based portion of the annual bonus was achievement of budgeted daily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adjusted net trading income (“ANTI”), cumulative ANTI, adjusted EBITDA and cumulative EBITDA with a multi-year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lookback. These target amounts were established based on the market environment during the year as measured by</w:t>
      </w:r>
    </w:p>
    <w:p>
      <w:pPr>
        <w:spacing w:after="0" w:line="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market volumes, implied and realized volatility and certain other market and opportunity metrics. Based on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actual market environment applicable to the Company’s businesses, target daily ANTI was approximately $6.1 million</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target adjusted EBITDA was approximately $846 million. As a result of the Company’s actual performance of</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$6.4 million of daily ANTI and $912 million of adjusted EBITDA, Mr. Cifu earned 100% (i.e., $3,000,000) of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maximum performance-based portion of his annual bonus. Additionally, based on the achievement of the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aforementioned qualitative goals, the Compensation Committee determined that Mr. Cifu earned 100% (i.e.,</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$3,000,000) of the maximum qualitative portion of his annual bonus.</w:t>
      </w:r>
    </w:p>
    <w:p>
      <w:pPr>
        <w:spacing w:after="0" w:line="113" w:lineRule="exact"/>
        <w:rPr>
          <w:sz w:val="20"/>
          <w:szCs w:val="20"/>
          <w:color w:val="auto"/>
        </w:rPr>
      </w:pPr>
    </w:p>
    <w:p>
      <w:pPr>
        <w:ind w:left="760" w:right="80"/>
        <w:spacing w:after="0" w:line="263" w:lineRule="auto"/>
        <w:rPr>
          <w:sz w:val="20"/>
          <w:szCs w:val="20"/>
          <w:color w:val="auto"/>
        </w:rPr>
      </w:pPr>
      <w:r>
        <w:rPr>
          <w:rFonts w:ascii="Arial" w:cs="Arial" w:eastAsia="Arial" w:hAnsi="Arial"/>
          <w:sz w:val="18"/>
          <w:szCs w:val="18"/>
          <w:color w:val="auto"/>
        </w:rPr>
        <w:t>The amounts paid to Messrs. Molluso, Fairclough, and Cavoli were also determined in accordance with the terms of their respective employment agreements, which provide for a target bonus opportunity equal to $2,000,000 and a maximum bonus opportunity equal to $3,000,000. 50% of the annual bonus was based on the achievement of select quantitative goals based on the Company’s ANTI and adjusted EBITDA as compared to budgeted amounts in fiscal year 2024 and 50% of the annual bonus was based on the achievement of qualitative goals and metrics determined with the Chief Executive Officer. For fiscal year 2024, the threshold to earn the target performance-based portion of the annual bonus was achievement of budgeted ANTI, specified growth initiatives and adjusted EBITDA. These target amounts were established as ranges dependent on the market environment during the year as measured by total market volumes, implied and realized volatility and certain other market and opportunity metrics. Based on the actual market environment applicable to the Company’s businesses, target daily ANTI was approximately $6.1 million and target adjusted EBITDA was approximately $846 million. As a result of the Company’s actual performance of 6.4 million of daily ANTI and $912 million of adjusted EBITDA, each of Messrs. Molluso, Fairclough and Cavoli earned 100% (i.e., $1,500,000) of the maximum performance-based portion of his annual bonus, and the CEO together with the Compensation Committee, determined that each executive earned 100% (i.e., $1,500,000) of the maximum qualitative portion of his annual bonus.</w:t>
      </w:r>
    </w:p>
    <w:p>
      <w:pPr>
        <w:spacing w:after="0" w:line="81" w:lineRule="exact"/>
        <w:rPr>
          <w:sz w:val="20"/>
          <w:szCs w:val="20"/>
          <w:color w:val="auto"/>
        </w:rPr>
      </w:pPr>
    </w:p>
    <w:p>
      <w:pPr>
        <w:ind w:left="760" w:right="280"/>
        <w:spacing w:after="0" w:line="318" w:lineRule="auto"/>
        <w:rPr>
          <w:sz w:val="20"/>
          <w:szCs w:val="20"/>
          <w:color w:val="auto"/>
        </w:rPr>
      </w:pPr>
      <w:r>
        <w:rPr>
          <w:rFonts w:ascii="Arial" w:cs="Arial" w:eastAsia="Arial" w:hAnsi="Arial"/>
          <w:sz w:val="17"/>
          <w:szCs w:val="17"/>
          <w:color w:val="auto"/>
        </w:rPr>
        <w:t>Ms. Lee’s and Mr. Galvin’s variable incentive compensation was determined by the Chief Executive Officer and the Compensation Committee based on the Company’s financial performance as well as various other objectives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420"/>
        <w:spacing w:after="0" w:line="271" w:lineRule="auto"/>
        <w:rPr>
          <w:sz w:val="20"/>
          <w:szCs w:val="20"/>
          <w:color w:val="auto"/>
        </w:rPr>
      </w:pPr>
      <w:r>
        <w:rPr>
          <w:rFonts w:ascii="Arial" w:cs="Arial" w:eastAsia="Arial" w:hAnsi="Arial"/>
          <w:sz w:val="18"/>
          <w:szCs w:val="18"/>
          <w:color w:val="auto"/>
        </w:rPr>
        <w:t>metrics. Accordingly, for fiscal year 2024, the amount of variable incentive compensation form of payments to our named executive officers is described in the table below:</w:t>
      </w:r>
    </w:p>
    <w:p>
      <w:pPr>
        <w:spacing w:after="0" w:line="7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002453"/>
                <w:w w:val="99"/>
              </w:rPr>
              <w:t>Total 2024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002453"/>
              </w:rPr>
              <w:t>Restricted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002453"/>
              </w:rPr>
              <w:t>Variable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002453"/>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300" w:type="dxa"/>
            <w:vAlign w:val="bottom"/>
          </w:tcPr>
          <w:p>
            <w:pPr>
              <w:ind w:left="940"/>
              <w:spacing w:after="0"/>
              <w:rPr>
                <w:sz w:val="20"/>
                <w:szCs w:val="20"/>
                <w:color w:val="auto"/>
              </w:rPr>
            </w:pPr>
            <w:r>
              <w:rPr>
                <w:rFonts w:ascii="Arial" w:cs="Arial" w:eastAsia="Arial" w:hAnsi="Arial"/>
                <w:sz w:val="14"/>
                <w:szCs w:val="14"/>
                <w:b w:val="1"/>
                <w:bCs w:val="1"/>
                <w:color w:val="002453"/>
              </w:rPr>
              <w:t>​ ​</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002453"/>
              </w:rPr>
              <w:t>Cash</w:t>
            </w:r>
          </w:p>
        </w:tc>
        <w:tc>
          <w:tcPr>
            <w:tcW w:w="3840" w:type="dxa"/>
            <w:vAlign w:val="bottom"/>
            <w:gridSpan w:val="7"/>
          </w:tcPr>
          <w:p>
            <w:pPr>
              <w:jc w:val="right"/>
              <w:spacing w:after="0" w:line="202" w:lineRule="exact"/>
              <w:rPr>
                <w:sz w:val="20"/>
                <w:szCs w:val="20"/>
                <w:color w:val="auto"/>
              </w:rPr>
            </w:pP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Stock Units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Common Stock </w:t>
            </w:r>
            <w:r>
              <w:rPr>
                <w:rFonts w:ascii="Arial" w:cs="Arial" w:eastAsia="Arial" w:hAnsi="Arial"/>
                <w:sz w:val="23"/>
                <w:szCs w:val="23"/>
                <w:b w:val="1"/>
                <w:bCs w:val="1"/>
                <w:color w:val="002453"/>
                <w:vertAlign w:val="subscript"/>
              </w:rPr>
              <w:t>​ ​</w:t>
            </w:r>
            <w:r>
              <w:rPr>
                <w:rFonts w:ascii="Arial" w:cs="Arial" w:eastAsia="Arial" w:hAnsi="Arial"/>
                <w:sz w:val="13"/>
                <w:szCs w:val="13"/>
                <w:b w:val="1"/>
                <w:bCs w:val="1"/>
                <w:color w:val="002453"/>
              </w:rPr>
              <w:t xml:space="preserve"> Compensation</w:t>
            </w:r>
            <w:r>
              <w:rPr>
                <w:rFonts w:ascii="Arial" w:cs="Arial" w:eastAsia="Arial" w:hAnsi="Arial"/>
                <w:sz w:val="23"/>
                <w:szCs w:val="23"/>
                <w:b w:val="1"/>
                <w:bCs w:val="1"/>
                <w:color w:val="002453"/>
                <w:vertAlign w:val="subscript"/>
              </w:rPr>
              <w:t>​</w:t>
            </w:r>
          </w:p>
        </w:tc>
        <w:tc>
          <w:tcPr>
            <w:tcW w:w="0" w:type="dxa"/>
            <w:vAlign w:val="bottom"/>
          </w:tcPr>
          <w:p>
            <w:pPr>
              <w:spacing w:after="0"/>
              <w:rPr>
                <w:sz w:val="1"/>
                <w:szCs w:val="1"/>
                <w:color w:val="auto"/>
              </w:rPr>
            </w:pPr>
          </w:p>
        </w:tc>
      </w:tr>
      <w:tr>
        <w:trPr>
          <w:trHeight w:val="263"/>
        </w:trPr>
        <w:tc>
          <w:tcPr>
            <w:tcW w:w="218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Douglas A. Cifu</w:t>
            </w:r>
          </w:p>
        </w:tc>
        <w:tc>
          <w:tcPr>
            <w:tcW w:w="3420" w:type="dxa"/>
            <w:vAlign w:val="bottom"/>
            <w:tcBorders>
              <w:top w:val="single" w:sz="8" w:color="00C08A"/>
              <w:bottom w:val="single" w:sz="8" w:color="00C08A"/>
            </w:tcBorders>
            <w:gridSpan w:val="4"/>
            <w:shd w:val="clear" w:color="auto" w:fill="CCEEFF"/>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$3,000,000</w:t>
            </w:r>
            <w:r>
              <w:rPr>
                <w:rFonts w:ascii="Arial" w:cs="Arial" w:eastAsia="Arial" w:hAnsi="Arial"/>
                <w:sz w:val="30"/>
                <w:szCs w:val="30"/>
                <w:color w:val="auto"/>
                <w:vertAlign w:val="subscript"/>
              </w:rPr>
              <w:t>​​ ​​</w:t>
            </w:r>
            <w:r>
              <w:rPr>
                <w:rFonts w:ascii="Arial" w:cs="Arial" w:eastAsia="Arial" w:hAnsi="Arial"/>
                <w:sz w:val="16"/>
                <w:szCs w:val="16"/>
                <w:color w:val="auto"/>
              </w:rPr>
              <w:t>$1,800,000</w:t>
            </w:r>
            <w:r>
              <w:rPr>
                <w:rFonts w:ascii="Arial" w:cs="Arial" w:eastAsia="Arial" w:hAnsi="Arial"/>
                <w:sz w:val="30"/>
                <w:szCs w:val="30"/>
                <w:color w:val="auto"/>
                <w:vertAlign w:val="subscript"/>
              </w:rPr>
              <w:t>​​ ​</w:t>
            </w:r>
          </w:p>
        </w:tc>
        <w:tc>
          <w:tcPr>
            <w:tcW w:w="1020" w:type="dxa"/>
            <w:vAlign w:val="bottom"/>
            <w:tcBorders>
              <w:top w:val="single" w:sz="8" w:color="00C08A"/>
              <w:bottom w:val="single" w:sz="8" w:color="00C08A"/>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$1,200,000</w:t>
            </w:r>
          </w:p>
        </w:tc>
        <w:tc>
          <w:tcPr>
            <w:tcW w:w="420" w:type="dxa"/>
            <w:vAlign w:val="bottom"/>
            <w:tcBorders>
              <w:top w:val="single" w:sz="8" w:color="00C08A"/>
              <w:bottom w:val="single" w:sz="8" w:color="00C08A"/>
            </w:tcBorders>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w w:val="97"/>
              </w:rPr>
              <w:t>6,000,000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Joseph Molluso</w:t>
            </w:r>
          </w:p>
        </w:tc>
        <w:tc>
          <w:tcPr>
            <w:tcW w:w="2440" w:type="dxa"/>
            <w:vAlign w:val="bottom"/>
            <w:tcBorders>
              <w:bottom w:val="single" w:sz="8" w:color="00C08A"/>
            </w:tcBorders>
            <w:gridSpan w:val="3"/>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240" w:type="dxa"/>
            <w:vAlign w:val="bottom"/>
            <w:tcBorders>
              <w:bottom w:val="single" w:sz="8" w:color="00C08A"/>
            </w:tcBorders>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00C08A"/>
            </w:tcBorders>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Brett Fairclough</w:t>
            </w:r>
          </w:p>
        </w:tc>
        <w:tc>
          <w:tcPr>
            <w:tcW w:w="2440" w:type="dxa"/>
            <w:vAlign w:val="bottom"/>
            <w:tcBorders>
              <w:bottom w:val="single" w:sz="8" w:color="00C08A"/>
            </w:tcBorders>
            <w:gridSpan w:val="3"/>
            <w:shd w:val="clear" w:color="auto" w:fill="CCEEFF"/>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240" w:type="dxa"/>
            <w:vAlign w:val="bottom"/>
            <w:tcBorders>
              <w:bottom w:val="single" w:sz="8" w:color="00C08A"/>
            </w:tcBorders>
            <w:shd w:val="clear" w:color="auto" w:fill="CCEEFF"/>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00C08A"/>
            </w:tcBorders>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Stephen Cavoli</w:t>
            </w:r>
          </w:p>
        </w:tc>
        <w:tc>
          <w:tcPr>
            <w:tcW w:w="2440" w:type="dxa"/>
            <w:vAlign w:val="bottom"/>
            <w:tcBorders>
              <w:bottom w:val="single" w:sz="8" w:color="00C08A"/>
            </w:tcBorders>
            <w:gridSpan w:val="3"/>
          </w:tcPr>
          <w:p>
            <w:pPr>
              <w:ind w:left="94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$1,500,000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900,000</w:t>
            </w:r>
            <w:r>
              <w:rPr>
                <w:rFonts w:ascii="Arial" w:cs="Arial" w:eastAsia="Arial" w:hAnsi="Arial"/>
                <w:sz w:val="30"/>
                <w:szCs w:val="30"/>
                <w:color w:val="auto"/>
                <w:vertAlign w:val="subscript"/>
              </w:rPr>
              <w:t>​​ ​</w:t>
            </w:r>
          </w:p>
        </w:tc>
        <w:tc>
          <w:tcPr>
            <w:tcW w:w="240" w:type="dxa"/>
            <w:vAlign w:val="bottom"/>
            <w:tcBorders>
              <w:bottom w:val="single" w:sz="8" w:color="00C08A"/>
            </w:tcBorders>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00C08A"/>
            </w:tcBorders>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Cindy Lee</w:t>
            </w:r>
          </w:p>
        </w:tc>
        <w:tc>
          <w:tcPr>
            <w:tcW w:w="1300" w:type="dxa"/>
            <w:vAlign w:val="bottom"/>
            <w:tcBorders>
              <w:bottom w:val="single" w:sz="8" w:color="00C08A"/>
            </w:tcBorders>
            <w:shd w:val="clear" w:color="auto" w:fill="CCEEFF"/>
          </w:tcPr>
          <w:p>
            <w:pPr>
              <w:ind w:left="9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40" w:type="dxa"/>
            <w:vAlign w:val="bottom"/>
            <w:tcBorders>
              <w:bottom w:val="single" w:sz="8" w:color="00C08A"/>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466,690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140,000</w:t>
            </w:r>
            <w:r>
              <w:rPr>
                <w:rFonts w:ascii="Arial" w:cs="Arial" w:eastAsia="Arial" w:hAnsi="Arial"/>
                <w:sz w:val="30"/>
                <w:szCs w:val="30"/>
                <w:color w:val="auto"/>
                <w:vertAlign w:val="subscript"/>
              </w:rPr>
              <w:t>​​ ​</w:t>
            </w:r>
          </w:p>
        </w:tc>
        <w:tc>
          <w:tcPr>
            <w:tcW w:w="240" w:type="dxa"/>
            <w:vAlign w:val="bottom"/>
            <w:tcBorders>
              <w:bottom w:val="single" w:sz="8" w:color="00C08A"/>
            </w:tcBorders>
            <w:shd w:val="clear" w:color="auto" w:fill="CCEEFF"/>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420" w:type="dxa"/>
            <w:vAlign w:val="bottom"/>
            <w:tcBorders>
              <w:bottom w:val="single" w:sz="8" w:color="00C08A"/>
            </w:tcBorders>
            <w:shd w:val="clear" w:color="auto" w:fill="CCEEFF"/>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Sean P. Galvin</w:t>
            </w:r>
          </w:p>
        </w:tc>
        <w:tc>
          <w:tcPr>
            <w:tcW w:w="1300" w:type="dxa"/>
            <w:vAlign w:val="bottom"/>
            <w:tcBorders>
              <w:bottom w:val="single" w:sz="8" w:color="00C08A"/>
            </w:tcBorders>
          </w:tcPr>
          <w:p>
            <w:pPr>
              <w:ind w:left="94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40" w:type="dxa"/>
            <w:vAlign w:val="bottom"/>
            <w:tcBorders>
              <w:bottom w:val="single" w:sz="8" w:color="00C08A"/>
            </w:tcBorders>
            <w:gridSpan w:val="2"/>
          </w:tcPr>
          <w:p>
            <w:pPr>
              <w:ind w:left="80"/>
              <w:spacing w:after="0" w:line="264" w:lineRule="exact"/>
              <w:rPr>
                <w:sz w:val="20"/>
                <w:szCs w:val="20"/>
                <w:color w:val="auto"/>
              </w:rPr>
            </w:pPr>
            <w:r>
              <w:rPr>
                <w:rFonts w:ascii="Arial" w:cs="Arial" w:eastAsia="Arial" w:hAnsi="Arial"/>
                <w:sz w:val="16"/>
                <w:szCs w:val="16"/>
                <w:color w:val="auto"/>
              </w:rPr>
              <w:t>400,020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980" w:type="dxa"/>
            <w:vAlign w:val="bottom"/>
            <w:tcBorders>
              <w:bottom w:val="single" w:sz="8" w:color="00C08A"/>
            </w:tcBorders>
          </w:tcPr>
          <w:p>
            <w:pPr>
              <w:ind w:left="80"/>
              <w:spacing w:after="0" w:line="264" w:lineRule="exact"/>
              <w:rPr>
                <w:sz w:val="20"/>
                <w:szCs w:val="20"/>
                <w:color w:val="auto"/>
              </w:rPr>
            </w:pPr>
            <w:r>
              <w:rPr>
                <w:rFonts w:ascii="Arial" w:cs="Arial" w:eastAsia="Arial" w:hAnsi="Arial"/>
                <w:sz w:val="16"/>
                <w:szCs w:val="16"/>
                <w:color w:val="auto"/>
              </w:rPr>
              <w:t>120,000</w:t>
            </w:r>
            <w:r>
              <w:rPr>
                <w:rFonts w:ascii="Arial" w:cs="Arial" w:eastAsia="Arial" w:hAnsi="Arial"/>
                <w:sz w:val="30"/>
                <w:szCs w:val="30"/>
                <w:color w:val="auto"/>
                <w:vertAlign w:val="subscript"/>
              </w:rPr>
              <w:t>​​ ​</w:t>
            </w:r>
          </w:p>
        </w:tc>
        <w:tc>
          <w:tcPr>
            <w:tcW w:w="240" w:type="dxa"/>
            <w:vAlign w:val="bottom"/>
            <w:tcBorders>
              <w:bottom w:val="single" w:sz="8" w:color="00C08A"/>
            </w:tcBorders>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80,000</w:t>
            </w:r>
          </w:p>
        </w:tc>
        <w:tc>
          <w:tcPr>
            <w:tcW w:w="420" w:type="dxa"/>
            <w:vAlign w:val="bottom"/>
            <w:tcBorders>
              <w:bottom w:val="single" w:sz="8" w:color="00C08A"/>
            </w:tcBorders>
          </w:tcPr>
          <w:p>
            <w:pPr>
              <w:ind w:left="2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6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CEO Equity Awards</w:t>
      </w:r>
    </w:p>
    <w:p>
      <w:pPr>
        <w:spacing w:after="0" w:line="115"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In fiscal year 2024, in accordance with the terms of his employment agreement, Mr. Cifu received a grant of 150,000 restricted stock units that are earned based on the percentage of budgeted adjusted EBITDA achieved in fiscal year 2024: 100% of the shares are earned if 65% of budgeted adjusted EBITDA is achieved and the Compensation Committee has discretion to determine the percentage of shares earned if less than 65% of budgeted adjusted EBITDA is achieved. For fiscal year 2024, our budgeted adjusted EBITDA target was determined based on the market environment during the year. Based on the actual market environment applicable to the Company’s businesses, target adjusted EBITDA was $846 million, and we achieved approximately 108% of such range. Accordingly, all of the restricted stock units granted to Mr. Cifu in fiscal year 2024 were earned, with half of the shares vesting as of January 31, 2025 and the remainder to vest as of January 31, 2026.</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Other Executive Equity Awards</w:t>
      </w:r>
    </w:p>
    <w:p>
      <w:pPr>
        <w:spacing w:after="0" w:line="115" w:lineRule="exact"/>
        <w:rPr>
          <w:sz w:val="20"/>
          <w:szCs w:val="20"/>
          <w:color w:val="auto"/>
        </w:rPr>
      </w:pPr>
    </w:p>
    <w:p>
      <w:pPr>
        <w:ind w:left="760" w:right="920"/>
        <w:spacing w:after="0" w:line="267" w:lineRule="auto"/>
        <w:rPr>
          <w:sz w:val="20"/>
          <w:szCs w:val="20"/>
          <w:color w:val="auto"/>
        </w:rPr>
      </w:pPr>
      <w:r>
        <w:rPr>
          <w:rFonts w:ascii="Arial" w:cs="Arial" w:eastAsia="Arial" w:hAnsi="Arial"/>
          <w:sz w:val="17"/>
          <w:szCs w:val="17"/>
          <w:color w:val="auto"/>
        </w:rPr>
        <w:t>In fiscal year 2024, in accordance with the terms of each of their employment agreements, Messrs. Cavoli, Fairclough and Molluso each received a grant of 75,000 restricted stock units that are earned based on</w:t>
      </w:r>
    </w:p>
    <w:p>
      <w:pPr>
        <w:spacing w:after="0" w:line="2"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the percentage of budgeted adjusted EBITDA achieved in fiscal year 2024: 100% of the shares are earned if 65% of budgeted adjusted EBITDA is achieved and the Compensation Committee has discretion to determine</w:t>
      </w:r>
    </w:p>
    <w:p>
      <w:pPr>
        <w:spacing w:after="0" w:line="1" w:lineRule="exact"/>
        <w:rPr>
          <w:sz w:val="20"/>
          <w:szCs w:val="20"/>
          <w:color w:val="auto"/>
        </w:rPr>
      </w:pPr>
    </w:p>
    <w:p>
      <w:pPr>
        <w:ind w:left="760" w:right="140"/>
        <w:spacing w:after="0" w:line="241" w:lineRule="auto"/>
        <w:rPr>
          <w:sz w:val="20"/>
          <w:szCs w:val="20"/>
          <w:color w:val="auto"/>
        </w:rPr>
      </w:pPr>
      <w:r>
        <w:rPr>
          <w:rFonts w:ascii="Arial" w:cs="Arial" w:eastAsia="Arial" w:hAnsi="Arial"/>
          <w:sz w:val="18"/>
          <w:szCs w:val="18"/>
          <w:color w:val="auto"/>
        </w:rPr>
        <w:t>the percentage of shares earned if less than 65% of budgeted adjusted EBITDA is achieved. For fiscal year 2024, our budgeted adjusted EBITDA target was determined based on the market environment during the year. Based on the actual market environment applicable to the Company’s businesses, target adjusted EBITDA was $846 million, and we achieved approximately 108% of such range. Accordingly, all of the restricted stock units granted to Messrs. Cavoli, Fairclough and Molluso in fiscal year 2023 were earned, with half of the shares vesting as of January 31, 2025, and the remainder to vest as of January 31, 2026. Additionally, in fiscal year 2024 and in accordance with the terms of her employment agreement, Ms. Lee received a grant of 35,000 restricted stock units in connection with her appointment as Chief Financial Officer.</w:t>
      </w:r>
    </w:p>
    <w:p>
      <w:pPr>
        <w:spacing w:after="0" w:line="74" w:lineRule="exact"/>
        <w:rPr>
          <w:sz w:val="20"/>
          <w:szCs w:val="20"/>
          <w:color w:val="auto"/>
        </w:rPr>
      </w:pPr>
    </w:p>
    <w:p>
      <w:pPr>
        <w:ind w:left="760" w:right="120"/>
        <w:spacing w:after="0" w:line="271" w:lineRule="auto"/>
        <w:rPr>
          <w:sz w:val="20"/>
          <w:szCs w:val="20"/>
          <w:color w:val="auto"/>
        </w:rPr>
      </w:pPr>
      <w:r>
        <w:rPr>
          <w:rFonts w:ascii="Arial" w:cs="Arial" w:eastAsia="Arial" w:hAnsi="Arial"/>
          <w:sz w:val="18"/>
          <w:szCs w:val="18"/>
          <w:color w:val="auto"/>
        </w:rPr>
        <w:t>The Compensation Committee believes these awards incentivize our executives to achieve key financial goals of the Company and aligns their long-term interests with those of our stockholders.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420"/>
        <w:spacing w:after="0" w:line="261" w:lineRule="auto"/>
        <w:rPr>
          <w:sz w:val="20"/>
          <w:szCs w:val="20"/>
          <w:color w:val="auto"/>
        </w:rPr>
      </w:pPr>
      <w:r>
        <w:rPr>
          <w:rFonts w:ascii="Arial" w:cs="Arial" w:eastAsia="Arial" w:hAnsi="Arial"/>
          <w:sz w:val="18"/>
          <w:szCs w:val="18"/>
          <w:color w:val="auto"/>
        </w:rPr>
        <w:t>We provide a number of benefit plans to all eligible employees, including our named executive officers. These benefits include medical, dental, life insurance, business travel accident insurance, short- and long-term disability coverage and a 401(k) defined contribution plan.</w:t>
      </w:r>
    </w:p>
    <w:p>
      <w:pPr>
        <w:spacing w:after="0" w:line="54"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Company sponsors the Virtu Financial, Inc.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The DCP permits eligible executive officers and other employees to defer cash or equity-based compensation, subject to certain limitations and restrictions. The Company recognized approximately $1 million as compensation cost under the DCP as of December 31, 2024.</w:t>
      </w:r>
    </w:p>
    <w:p>
      <w:pPr>
        <w:spacing w:after="0" w:line="62" w:lineRule="exact"/>
        <w:rPr>
          <w:sz w:val="20"/>
          <w:szCs w:val="20"/>
          <w:color w:val="auto"/>
        </w:rPr>
      </w:pPr>
    </w:p>
    <w:p>
      <w:pPr>
        <w:ind w:left="760" w:right="760"/>
        <w:spacing w:after="0" w:line="261" w:lineRule="auto"/>
        <w:rPr>
          <w:sz w:val="20"/>
          <w:szCs w:val="20"/>
          <w:color w:val="auto"/>
        </w:rPr>
      </w:pPr>
      <w:r>
        <w:rPr>
          <w:rFonts w:ascii="Arial" w:cs="Arial" w:eastAsia="Arial" w:hAnsi="Arial"/>
          <w:sz w:val="18"/>
          <w:szCs w:val="18"/>
          <w:color w:val="auto"/>
        </w:rPr>
        <w:t>In fiscal year 2024, Mr. Molluso was our only named executive officer who chose to defer a portion of his compensation in the form of deferred stock units. Additional details regarding the DCP are set forth below on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183515</wp:posOffset>
            </wp:positionV>
            <wp:extent cx="75438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60"/>
        <w:spacing w:after="0" w:line="278" w:lineRule="auto"/>
        <w:rPr>
          <w:sz w:val="20"/>
          <w:szCs w:val="20"/>
          <w:color w:val="auto"/>
        </w:rPr>
      </w:pPr>
      <w:r>
        <w:rPr>
          <w:rFonts w:ascii="Arial" w:cs="Arial" w:eastAsia="Arial" w:hAnsi="Arial"/>
          <w:sz w:val="17"/>
          <w:szCs w:val="17"/>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We have previously entered into employment agreements with Messrs. Cifu, Molluso, Fairclough, and Cavoli that provide for certain severance payments and benefits in the event that such named executive officer’s employment is terminated under specified conditions. In addition, the vesting of a portion of each of these named executive officer’s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420"/>
        <w:spacing w:after="0" w:line="262" w:lineRule="auto"/>
        <w:rPr>
          <w:sz w:val="20"/>
          <w:szCs w:val="20"/>
          <w:color w:val="auto"/>
        </w:rPr>
      </w:pPr>
      <w:r>
        <w:rPr>
          <w:rFonts w:ascii="Arial" w:cs="Arial" w:eastAsia="Arial" w:hAnsi="Arial"/>
          <w:sz w:val="18"/>
          <w:szCs w:val="18"/>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w:t>
      </w:r>
      <w:r>
        <w:rPr>
          <w:rFonts w:ascii="Arial" w:cs="Arial" w:eastAsia="Arial" w:hAnsi="Arial"/>
          <w:sz w:val="18"/>
          <w:szCs w:val="18"/>
          <w:b w:val="1"/>
          <w:bCs w:val="1"/>
          <w:color w:val="auto"/>
        </w:rPr>
        <w:t>Section 162(m)</w:t>
      </w:r>
      <w:r>
        <w:rPr>
          <w:rFonts w:ascii="Arial" w:cs="Arial" w:eastAsia="Arial" w:hAnsi="Arial"/>
          <w:sz w:val="18"/>
          <w:szCs w:val="18"/>
          <w:color w:val="auto"/>
        </w:rPr>
        <w:t>”), subject to certain limited exceptions (which may not be applicable to us).</w:t>
      </w:r>
    </w:p>
    <w:p>
      <w:pPr>
        <w:spacing w:after="0" w:line="68"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Nevertheless, our board of directors believes that it should not be constrained by the requirements of 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74"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29"/>
          <w:szCs w:val="29"/>
          <w:color w:val="00C08A"/>
        </w:rPr>
        <w:t>SUMMARY COMPENSATION TABLE</w:t>
      </w:r>
    </w:p>
    <w:p>
      <w:pPr>
        <w:spacing w:after="0" w:line="112"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The following table sets forth the cash and non-cash compensation paid by the Company during the years ended December 31, 2022, December 31, 2023, and December 31, 2024, to its named executive officers.</w:t>
      </w:r>
    </w:p>
    <w:p>
      <w:pPr>
        <w:spacing w:after="0" w:line="6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002453"/>
              </w:rPr>
              <w:t>Stock</w:t>
            </w:r>
          </w:p>
        </w:tc>
        <w:tc>
          <w:tcPr>
            <w:tcW w:w="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002453"/>
              </w:rPr>
              <w:t>Non-Equity</w:t>
            </w:r>
          </w:p>
        </w:tc>
        <w:tc>
          <w:tcPr>
            <w:tcW w:w="28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002453"/>
              </w:rPr>
              <w:t>All Other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2453"/>
              </w:rPr>
              <w:t xml:space="preserve">​ ​ </w:t>
            </w:r>
            <w:r>
              <w:rPr>
                <w:rFonts w:ascii="Arial" w:cs="Arial" w:eastAsia="Arial" w:hAnsi="Arial"/>
                <w:sz w:val="28"/>
                <w:szCs w:val="28"/>
                <w:b w:val="1"/>
                <w:bCs w:val="1"/>
                <w:color w:val="002453"/>
                <w:vertAlign w:val="superscript"/>
              </w:rPr>
              <w:t>Year</w:t>
            </w:r>
            <w:r>
              <w:rPr>
                <w:rFonts w:ascii="Arial" w:cs="Arial" w:eastAsia="Arial" w:hAnsi="Arial"/>
                <w:sz w:val="14"/>
                <w:szCs w:val="14"/>
                <w:b w:val="1"/>
                <w:bCs w:val="1"/>
                <w:color w:val="002453"/>
              </w:rPr>
              <w:t xml:space="preserve"> ​ ​</w:t>
            </w:r>
          </w:p>
        </w:tc>
        <w:tc>
          <w:tcPr>
            <w:tcW w:w="6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Bonus(1)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002453"/>
              </w:rPr>
              <w:t>Incentive Plan</w:t>
            </w: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 and Principal Position</w:t>
            </w:r>
          </w:p>
        </w:tc>
        <w:tc>
          <w:tcPr>
            <w:tcW w:w="840" w:type="dxa"/>
            <w:vAlign w:val="bottom"/>
            <w:tcBorders>
              <w:bottom w:val="single" w:sz="8" w:color="00C08A"/>
            </w:tcBorders>
            <w:gridSpan w:val="3"/>
            <w:vMerge w:val="continue"/>
          </w:tcPr>
          <w:p>
            <w:pPr>
              <w:spacing w:after="0"/>
              <w:rPr>
                <w:sz w:val="16"/>
                <w:szCs w:val="16"/>
                <w:color w:val="auto"/>
              </w:rPr>
            </w:pPr>
          </w:p>
        </w:tc>
        <w:tc>
          <w:tcPr>
            <w:tcW w:w="60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b w:val="1"/>
                <w:bCs w:val="1"/>
                <w:color w:val="002453"/>
              </w:rPr>
              <w:t>Salary</w:t>
            </w:r>
          </w:p>
        </w:tc>
        <w:tc>
          <w:tcPr>
            <w:tcW w:w="940" w:type="dxa"/>
            <w:vAlign w:val="bottom"/>
            <w:tcBorders>
              <w:bottom w:val="single" w:sz="8" w:color="00C08A"/>
            </w:tcBorders>
            <w:gridSpan w:val="2"/>
            <w:vMerge w:val="continue"/>
          </w:tcPr>
          <w:p>
            <w:pPr>
              <w:spacing w:after="0"/>
              <w:rPr>
                <w:sz w:val="16"/>
                <w:szCs w:val="16"/>
                <w:color w:val="auto"/>
              </w:rPr>
            </w:pPr>
          </w:p>
        </w:tc>
        <w:tc>
          <w:tcPr>
            <w:tcW w:w="320" w:type="dxa"/>
            <w:vAlign w:val="bottom"/>
            <w:tcBorders>
              <w:bottom w:val="single" w:sz="8" w:color="00C08A"/>
            </w:tcBorders>
            <w:gridSpan w:val="2"/>
          </w:tcPr>
          <w:p>
            <w:pPr>
              <w:ind w:left="60"/>
              <w:spacing w:after="0"/>
              <w:rPr>
                <w:sz w:val="20"/>
                <w:szCs w:val="20"/>
                <w:color w:val="auto"/>
              </w:rPr>
            </w:pPr>
            <w:r>
              <w:rPr>
                <w:rFonts w:ascii="Arial" w:cs="Arial" w:eastAsia="Arial" w:hAnsi="Arial"/>
                <w:sz w:val="14"/>
                <w:szCs w:val="14"/>
                <w:b w:val="1"/>
                <w:bCs w:val="1"/>
                <w:color w:val="002453"/>
              </w:rPr>
              <w:t>​ ​</w:t>
            </w:r>
          </w:p>
        </w:tc>
        <w:tc>
          <w:tcPr>
            <w:tcW w:w="820" w:type="dxa"/>
            <w:vAlign w:val="bottom"/>
            <w:tcBorders>
              <w:bottom w:val="single" w:sz="8" w:color="00C08A"/>
            </w:tcBorders>
          </w:tcPr>
          <w:p>
            <w:pPr>
              <w:jc w:val="right"/>
              <w:ind w:right="14"/>
              <w:spacing w:after="0" w:line="189" w:lineRule="exact"/>
              <w:rPr>
                <w:sz w:val="20"/>
                <w:szCs w:val="20"/>
                <w:color w:val="auto"/>
              </w:rPr>
            </w:pPr>
            <w:r>
              <w:rPr>
                <w:rFonts w:ascii="Arial" w:cs="Arial" w:eastAsia="Arial" w:hAnsi="Arial"/>
                <w:sz w:val="12"/>
                <w:szCs w:val="12"/>
                <w:b w:val="1"/>
                <w:bCs w:val="1"/>
                <w:color w:val="002453"/>
              </w:rPr>
              <w:t xml:space="preserve">Awards  </w:t>
            </w:r>
            <w:r>
              <w:rPr>
                <w:rFonts w:ascii="Arial" w:cs="Arial" w:eastAsia="Arial" w:hAnsi="Arial"/>
                <w:sz w:val="21"/>
                <w:szCs w:val="21"/>
                <w:b w:val="1"/>
                <w:bCs w:val="1"/>
                <w:color w:val="002453"/>
                <w:vertAlign w:val="subscript"/>
              </w:rPr>
              <w:t>​</w:t>
            </w:r>
          </w:p>
        </w:tc>
        <w:tc>
          <w:tcPr>
            <w:tcW w:w="2620" w:type="dxa"/>
            <w:vAlign w:val="bottom"/>
            <w:tcBorders>
              <w:bottom w:val="single" w:sz="8" w:color="00C08A"/>
            </w:tcBorders>
            <w:gridSpan w:val="8"/>
          </w:tcPr>
          <w:p>
            <w:pPr>
              <w:spacing w:after="0" w:line="189" w:lineRule="exact"/>
              <w:rPr>
                <w:sz w:val="20"/>
                <w:szCs w:val="20"/>
                <w:color w:val="auto"/>
              </w:rPr>
            </w:pPr>
            <w:r>
              <w:rPr>
                <w:rFonts w:ascii="Arial" w:cs="Arial" w:eastAsia="Arial" w:hAnsi="Arial"/>
                <w:sz w:val="21"/>
                <w:szCs w:val="21"/>
                <w:b w:val="1"/>
                <w:bCs w:val="1"/>
                <w:color w:val="002453"/>
                <w:vertAlign w:val="subscript"/>
              </w:rPr>
              <w:t>​</w:t>
            </w:r>
            <w:r>
              <w:rPr>
                <w:rFonts w:ascii="Arial" w:cs="Arial" w:eastAsia="Arial" w:hAnsi="Arial"/>
                <w:sz w:val="12"/>
                <w:szCs w:val="12"/>
                <w:b w:val="1"/>
                <w:bCs w:val="1"/>
                <w:color w:val="002453"/>
              </w:rPr>
              <w:t xml:space="preserve"> Compensation </w:t>
            </w:r>
            <w:r>
              <w:rPr>
                <w:rFonts w:ascii="Arial" w:cs="Arial" w:eastAsia="Arial" w:hAnsi="Arial"/>
                <w:sz w:val="21"/>
                <w:szCs w:val="21"/>
                <w:b w:val="1"/>
                <w:bCs w:val="1"/>
                <w:color w:val="002453"/>
                <w:vertAlign w:val="subscript"/>
              </w:rPr>
              <w:t>​ ​</w:t>
            </w:r>
            <w:r>
              <w:rPr>
                <w:rFonts w:ascii="Arial" w:cs="Arial" w:eastAsia="Arial" w:hAnsi="Arial"/>
                <w:sz w:val="12"/>
                <w:szCs w:val="12"/>
                <w:b w:val="1"/>
                <w:bCs w:val="1"/>
                <w:color w:val="002453"/>
              </w:rPr>
              <w:t xml:space="preserve">Compensation </w:t>
            </w:r>
            <w:r>
              <w:rPr>
                <w:rFonts w:ascii="Arial" w:cs="Arial" w:eastAsia="Arial" w:hAnsi="Arial"/>
                <w:sz w:val="21"/>
                <w:szCs w:val="21"/>
                <w:b w:val="1"/>
                <w:bCs w:val="1"/>
                <w:color w:val="002453"/>
                <w:vertAlign w:val="subscript"/>
              </w:rPr>
              <w:t>​ ​</w:t>
            </w:r>
          </w:p>
        </w:tc>
        <w:tc>
          <w:tcPr>
            <w:tcW w:w="680" w:type="dxa"/>
            <w:vAlign w:val="bottom"/>
            <w:tcBorders>
              <w:bottom w:val="single" w:sz="8" w:color="00C08A"/>
            </w:tcBorders>
          </w:tcPr>
          <w:p>
            <w:pPr>
              <w:jc w:val="right"/>
              <w:ind w:right="168"/>
              <w:spacing w:after="0"/>
              <w:rPr>
                <w:sz w:val="20"/>
                <w:szCs w:val="20"/>
                <w:color w:val="auto"/>
              </w:rPr>
            </w:pPr>
            <w:r>
              <w:rPr>
                <w:rFonts w:ascii="Arial" w:cs="Arial" w:eastAsia="Arial" w:hAnsi="Arial"/>
                <w:sz w:val="14"/>
                <w:szCs w:val="14"/>
                <w:b w:val="1"/>
                <w:bCs w:val="1"/>
                <w:color w:val="002453"/>
              </w:rPr>
              <w:t>Total</w:t>
            </w:r>
          </w:p>
        </w:tc>
        <w:tc>
          <w:tcPr>
            <w:tcW w:w="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Douglas A. Cifu</w:t>
            </w:r>
          </w:p>
        </w:tc>
        <w:tc>
          <w:tcPr>
            <w:tcW w:w="80" w:type="dxa"/>
            <w:vAlign w:val="bottom"/>
          </w:tcPr>
          <w:p>
            <w:pPr>
              <w:ind w:left="40"/>
              <w:spacing w:after="0" w:line="11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47"/>
              <w:spacing w:after="0" w:line="11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shd w:val="clear" w:color="auto" w:fill="CCEEFF"/>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9,863,432</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2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CCEEFF"/>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​2024</w:t>
            </w:r>
          </w:p>
        </w:tc>
        <w:tc>
          <w:tcPr>
            <w:tcW w:w="92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$1,200,000</w:t>
            </w:r>
          </w:p>
        </w:tc>
        <w:tc>
          <w:tcPr>
            <w:tcW w:w="94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$1,500,000</w:t>
            </w: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$5,527,500(2)</w:t>
            </w:r>
          </w:p>
        </w:tc>
        <w:tc>
          <w:tcPr>
            <w:tcW w:w="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ind w:left="160"/>
              <w:spacing w:after="0" w:line="74" w:lineRule="exact"/>
              <w:rPr>
                <w:sz w:val="20"/>
                <w:szCs w:val="20"/>
                <w:color w:val="auto"/>
              </w:rPr>
            </w:pPr>
            <w:r>
              <w:rPr>
                <w:rFonts w:ascii="Arial" w:cs="Arial" w:eastAsia="Arial" w:hAnsi="Arial"/>
                <w:sz w:val="8"/>
                <w:szCs w:val="8"/>
                <w:color w:val="auto"/>
              </w:rPr>
              <w:t>$</w:t>
            </w:r>
          </w:p>
        </w:tc>
        <w:tc>
          <w:tcPr>
            <w:tcW w:w="1000" w:type="dxa"/>
            <w:vAlign w:val="bottom"/>
            <w:tcBorders>
              <w:bottom w:val="single" w:sz="8" w:color="CCEEFF"/>
            </w:tcBorders>
            <w:gridSpan w:val="2"/>
            <w:shd w:val="clear" w:color="auto" w:fill="CCEEFF"/>
          </w:tcPr>
          <w:p>
            <w:pPr>
              <w:jc w:val="right"/>
              <w:ind w:right="150"/>
              <w:spacing w:after="0" w:line="74" w:lineRule="exact"/>
              <w:rPr>
                <w:sz w:val="20"/>
                <w:szCs w:val="20"/>
                <w:color w:val="auto"/>
              </w:rPr>
            </w:pPr>
            <w:r>
              <w:rPr>
                <w:rFonts w:ascii="Arial" w:cs="Arial" w:eastAsia="Arial" w:hAnsi="Arial"/>
                <w:sz w:val="8"/>
                <w:szCs w:val="8"/>
                <w:color w:val="auto"/>
              </w:rPr>
              <w:t>1,500,00(3)</w:t>
            </w:r>
          </w:p>
        </w:tc>
        <w:tc>
          <w:tcPr>
            <w:tcW w:w="900" w:type="dxa"/>
            <w:vAlign w:val="bottom"/>
            <w:tcBorders>
              <w:bottom w:val="single" w:sz="8" w:color="CCEEFF"/>
            </w:tcBorders>
            <w:gridSpan w:val="2"/>
            <w:shd w:val="clear" w:color="auto" w:fill="CCEEFF"/>
          </w:tcPr>
          <w:p>
            <w:pPr>
              <w:ind w:left="120"/>
              <w:spacing w:after="0" w:line="74" w:lineRule="exact"/>
              <w:rPr>
                <w:sz w:val="20"/>
                <w:szCs w:val="20"/>
                <w:color w:val="auto"/>
              </w:rPr>
            </w:pPr>
            <w:r>
              <w:rPr>
                <w:rFonts w:ascii="Arial" w:cs="Arial" w:eastAsia="Arial" w:hAnsi="Arial"/>
                <w:sz w:val="8"/>
                <w:szCs w:val="8"/>
                <w:color w:val="auto"/>
              </w:rPr>
              <w:t>$135,932(4)</w:t>
            </w:r>
          </w:p>
        </w:tc>
        <w:tc>
          <w:tcPr>
            <w:tcW w:w="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ind w:left="100"/>
              <w:spacing w:after="0" w:line="74" w:lineRule="exact"/>
              <w:rPr>
                <w:sz w:val="20"/>
                <w:szCs w:val="20"/>
                <w:color w:val="auto"/>
              </w:rPr>
            </w:pPr>
            <w:r>
              <w:rPr>
                <w:rFonts w:ascii="Arial" w:cs="Arial" w:eastAsia="Arial" w:hAnsi="Arial"/>
                <w:sz w:val="8"/>
                <w:szCs w:val="8"/>
                <w:color w:val="auto"/>
              </w:rPr>
              <w:t>$</w:t>
            </w: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Chief Executive Officer</w:t>
            </w:r>
          </w:p>
        </w:tc>
        <w:tc>
          <w:tcPr>
            <w:tcW w:w="80" w:type="dxa"/>
            <w:vAlign w:val="bottom"/>
          </w:tcPr>
          <w:p>
            <w:pPr>
              <w:spacing w:after="0"/>
              <w:rPr>
                <w:sz w:val="10"/>
                <w:szCs w:val="10"/>
                <w:color w:val="auto"/>
              </w:rPr>
            </w:pPr>
          </w:p>
        </w:tc>
        <w:tc>
          <w:tcPr>
            <w:tcW w:w="440" w:type="dxa"/>
            <w:vAlign w:val="bottom"/>
          </w:tcPr>
          <w:p>
            <w:pPr>
              <w:jc w:val="right"/>
              <w:ind w:right="247"/>
              <w:spacing w:after="0" w:line="122"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22" w:lineRule="exact"/>
              <w:rPr>
                <w:sz w:val="20"/>
                <w:szCs w:val="20"/>
                <w:color w:val="auto"/>
              </w:rPr>
            </w:pPr>
            <w:r>
              <w:rPr>
                <w:rFonts w:ascii="Arial" w:cs="Arial" w:eastAsia="Arial" w:hAnsi="Arial"/>
                <w:sz w:val="14"/>
                <w:szCs w:val="14"/>
                <w:color w:val="auto"/>
              </w:rPr>
              <w:t>​​ ​​</w:t>
            </w:r>
          </w:p>
        </w:tc>
        <w:tc>
          <w:tcPr>
            <w:tcW w:w="600" w:type="dxa"/>
            <w:vAlign w:val="bottom"/>
          </w:tcPr>
          <w:p>
            <w:pPr>
              <w:spacing w:after="0"/>
              <w:rPr>
                <w:sz w:val="10"/>
                <w:szCs w:val="10"/>
                <w:color w:val="auto"/>
              </w:rPr>
            </w:pPr>
          </w:p>
        </w:tc>
        <w:tc>
          <w:tcPr>
            <w:tcW w:w="360" w:type="dxa"/>
            <w:vAlign w:val="bottom"/>
          </w:tcPr>
          <w:p>
            <w:pPr>
              <w:jc w:val="right"/>
              <w:ind w:right="65"/>
              <w:spacing w:after="0" w:line="122"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22"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22"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15,365(4)</w:t>
            </w: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8,251,865</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920" w:type="dxa"/>
            <w:vAlign w:val="bottom"/>
            <w:gridSpan w:val="2"/>
          </w:tcPr>
          <w:p>
            <w:pPr>
              <w:jc w:val="right"/>
              <w:spacing w:after="0" w:line="59" w:lineRule="exact"/>
              <w:rPr>
                <w:sz w:val="20"/>
                <w:szCs w:val="20"/>
                <w:color w:val="auto"/>
              </w:rPr>
            </w:pPr>
            <w:r>
              <w:rPr>
                <w:rFonts w:ascii="Arial" w:cs="Arial" w:eastAsia="Arial" w:hAnsi="Arial"/>
                <w:sz w:val="6"/>
                <w:szCs w:val="6"/>
                <w:color w:val="auto"/>
              </w:rPr>
              <w:t>$1,200,000</w:t>
            </w:r>
          </w:p>
        </w:tc>
        <w:tc>
          <w:tcPr>
            <w:tcW w:w="940" w:type="dxa"/>
            <w:vAlign w:val="bottom"/>
            <w:gridSpan w:val="2"/>
          </w:tcPr>
          <w:p>
            <w:pPr>
              <w:jc w:val="right"/>
              <w:spacing w:after="0" w:line="59" w:lineRule="exact"/>
              <w:rPr>
                <w:sz w:val="20"/>
                <w:szCs w:val="20"/>
                <w:color w:val="auto"/>
              </w:rPr>
            </w:pPr>
            <w:r>
              <w:rPr>
                <w:rFonts w:ascii="Arial" w:cs="Arial" w:eastAsia="Arial" w:hAnsi="Arial"/>
                <w:sz w:val="6"/>
                <w:szCs w:val="6"/>
                <w:color w:val="auto"/>
              </w:rPr>
              <w:t>$1,031,250</w:t>
            </w: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$4,974,000(2)</w:t>
            </w:r>
          </w:p>
        </w:tc>
        <w:tc>
          <w:tcPr>
            <w:tcW w:w="60" w:type="dxa"/>
            <w:vAlign w:val="bottom"/>
          </w:tcPr>
          <w:p>
            <w:pPr>
              <w:spacing w:after="0"/>
              <w:rPr>
                <w:sz w:val="5"/>
                <w:szCs w:val="5"/>
                <w:color w:val="auto"/>
              </w:rPr>
            </w:pPr>
          </w:p>
        </w:tc>
        <w:tc>
          <w:tcPr>
            <w:tcW w:w="1280" w:type="dxa"/>
            <w:vAlign w:val="bottom"/>
            <w:gridSpan w:val="3"/>
          </w:tcPr>
          <w:p>
            <w:pPr>
              <w:ind w:left="160"/>
              <w:spacing w:after="0" w:line="59" w:lineRule="exact"/>
              <w:rPr>
                <w:sz w:val="20"/>
                <w:szCs w:val="20"/>
                <w:color w:val="auto"/>
              </w:rPr>
            </w:pPr>
            <w:r>
              <w:rPr>
                <w:rFonts w:ascii="Arial" w:cs="Arial" w:eastAsia="Arial" w:hAnsi="Arial"/>
                <w:sz w:val="6"/>
                <w:szCs w:val="6"/>
                <w:color w:val="auto"/>
              </w:rPr>
              <w:t>$1,031,250(3)</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tcPr>
          <w:p>
            <w:pPr>
              <w:spacing w:after="0"/>
              <w:rPr>
                <w:sz w:val="12"/>
                <w:szCs w:val="12"/>
                <w:color w:val="auto"/>
              </w:rPr>
            </w:pP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2"/>
                <w:szCs w:val="12"/>
                <w:color w:val="auto"/>
              </w:rPr>
            </w:pP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9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$1,150,000</w:t>
            </w:r>
          </w:p>
        </w:tc>
        <w:tc>
          <w:tcPr>
            <w:tcW w:w="94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$1,250,000</w:t>
            </w: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$7,889,500(2)</w:t>
            </w:r>
          </w:p>
        </w:tc>
        <w:tc>
          <w:tcPr>
            <w:tcW w:w="60" w:type="dxa"/>
            <w:vAlign w:val="bottom"/>
            <w:tcBorders>
              <w:bottom w:val="single" w:sz="8" w:color="00C08A"/>
            </w:tcBorders>
          </w:tcPr>
          <w:p>
            <w:pPr>
              <w:spacing w:after="0"/>
              <w:rPr>
                <w:sz w:val="7"/>
                <w:szCs w:val="7"/>
                <w:color w:val="auto"/>
              </w:rPr>
            </w:pPr>
          </w:p>
        </w:tc>
        <w:tc>
          <w:tcPr>
            <w:tcW w:w="1280" w:type="dxa"/>
            <w:vAlign w:val="bottom"/>
            <w:tcBorders>
              <w:bottom w:val="single" w:sz="8" w:color="00C08A"/>
            </w:tcBorders>
            <w:gridSpan w:val="3"/>
          </w:tcPr>
          <w:p>
            <w:pPr>
              <w:ind w:left="160"/>
              <w:spacing w:after="0" w:line="81" w:lineRule="exact"/>
              <w:rPr>
                <w:sz w:val="20"/>
                <w:szCs w:val="20"/>
                <w:color w:val="auto"/>
              </w:rPr>
            </w:pPr>
            <w:r>
              <w:rPr>
                <w:rFonts w:ascii="Arial" w:cs="Arial" w:eastAsia="Arial" w:hAnsi="Arial"/>
                <w:sz w:val="9"/>
                <w:szCs w:val="9"/>
                <w:color w:val="auto"/>
              </w:rPr>
              <w:t>$1,250,000(3)</w:t>
            </w:r>
          </w:p>
        </w:tc>
        <w:tc>
          <w:tcPr>
            <w:tcW w:w="900" w:type="dxa"/>
            <w:vAlign w:val="bottom"/>
            <w:tcBorders>
              <w:bottom w:val="single" w:sz="8" w:color="00C08A"/>
            </w:tcBorders>
            <w:gridSpan w:val="2"/>
          </w:tcPr>
          <w:p>
            <w:pPr>
              <w:ind w:left="120"/>
              <w:spacing w:after="0" w:line="81" w:lineRule="exact"/>
              <w:rPr>
                <w:sz w:val="20"/>
                <w:szCs w:val="20"/>
                <w:color w:val="auto"/>
              </w:rPr>
            </w:pPr>
            <w:r>
              <w:rPr>
                <w:rFonts w:ascii="Arial" w:cs="Arial" w:eastAsia="Arial" w:hAnsi="Arial"/>
                <w:sz w:val="9"/>
                <w:szCs w:val="9"/>
                <w:color w:val="auto"/>
              </w:rPr>
              <w:t>$512,761(4)</w:t>
            </w:r>
          </w:p>
        </w:tc>
        <w:tc>
          <w:tcPr>
            <w:tcW w:w="160" w:type="dxa"/>
            <w:vAlign w:val="bottom"/>
            <w:tcBorders>
              <w:bottom w:val="single" w:sz="8" w:color="00C08A"/>
            </w:tcBorders>
          </w:tcPr>
          <w:p>
            <w:pPr>
              <w:spacing w:after="0"/>
              <w:rPr>
                <w:sz w:val="7"/>
                <w:szCs w:val="7"/>
                <w:color w:val="auto"/>
              </w:rPr>
            </w:pPr>
          </w:p>
        </w:tc>
        <w:tc>
          <w:tcPr>
            <w:tcW w:w="90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$12,052,261</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Joseph Molluso</w:t>
            </w:r>
          </w:p>
        </w:tc>
        <w:tc>
          <w:tcPr>
            <w:tcW w:w="520" w:type="dxa"/>
            <w:vAlign w:val="bottom"/>
            <w:gridSpan w:val="2"/>
          </w:tcPr>
          <w:p>
            <w:pPr>
              <w:jc w:val="right"/>
              <w:ind w:right="247"/>
              <w:spacing w:after="0" w:line="115" w:lineRule="exact"/>
              <w:rPr>
                <w:sz w:val="20"/>
                <w:szCs w:val="20"/>
                <w:color w:val="auto"/>
              </w:rPr>
            </w:pPr>
            <w:r>
              <w:rPr>
                <w:rFonts w:ascii="Arial" w:cs="Arial" w:eastAsia="Arial" w:hAnsi="Arial"/>
                <w:sz w:val="13"/>
                <w:szCs w:val="13"/>
                <w:color w:val="auto"/>
              </w:rPr>
              <w:t>​ ​​</w:t>
            </w:r>
          </w:p>
        </w:tc>
        <w:tc>
          <w:tcPr>
            <w:tcW w:w="320" w:type="dxa"/>
            <w:vAlign w:val="bottom"/>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4,863,750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61" w:lineRule="exact"/>
              <w:rPr>
                <w:sz w:val="20"/>
                <w:szCs w:val="20"/>
                <w:color w:val="auto"/>
              </w:rPr>
            </w:pPr>
            <w:r>
              <w:rPr>
                <w:rFonts w:ascii="Arial" w:cs="Arial" w:eastAsia="Arial" w:hAnsi="Arial"/>
                <w:sz w:val="6"/>
                <w:szCs w:val="6"/>
                <w:color w:val="auto"/>
              </w:rPr>
              <w:t>$2,763,750(2)</w:t>
            </w:r>
          </w:p>
        </w:tc>
        <w:tc>
          <w:tcPr>
            <w:tcW w:w="60" w:type="dxa"/>
            <w:vAlign w:val="bottom"/>
          </w:tcPr>
          <w:p>
            <w:pPr>
              <w:spacing w:after="0"/>
              <w:rPr>
                <w:sz w:val="5"/>
                <w:szCs w:val="5"/>
                <w:color w:val="auto"/>
              </w:rPr>
            </w:pPr>
          </w:p>
        </w:tc>
        <w:tc>
          <w:tcPr>
            <w:tcW w:w="280" w:type="dxa"/>
            <w:vAlign w:val="bottom"/>
          </w:tcPr>
          <w:p>
            <w:pPr>
              <w:ind w:left="160"/>
              <w:spacing w:after="0" w:line="61"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61" w:lineRule="exact"/>
              <w:rPr>
                <w:sz w:val="20"/>
                <w:szCs w:val="20"/>
                <w:color w:val="auto"/>
              </w:rPr>
            </w:pPr>
            <w:r>
              <w:rPr>
                <w:rFonts w:ascii="Arial" w:cs="Arial" w:eastAsia="Arial" w:hAnsi="Arial"/>
                <w:sz w:val="6"/>
                <w:szCs w:val="6"/>
                <w:color w:val="auto"/>
              </w:rPr>
              <w:t>750,000(3)</w:t>
            </w:r>
          </w:p>
        </w:tc>
        <w:tc>
          <w:tcPr>
            <w:tcW w:w="24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40"/>
              <w:spacing w:after="0"/>
              <w:rPr>
                <w:sz w:val="20"/>
                <w:szCs w:val="20"/>
                <w:color w:val="auto"/>
              </w:rPr>
            </w:pPr>
            <w:r>
              <w:rPr>
                <w:rFonts w:ascii="Arial" w:cs="Arial" w:eastAsia="Arial" w:hAnsi="Arial"/>
                <w:sz w:val="14"/>
                <w:szCs w:val="14"/>
                <w:i w:val="1"/>
                <w:iCs w:val="1"/>
                <w:color w:val="auto"/>
              </w:rPr>
              <w:t>Co-President and Co-Chief</w:t>
            </w:r>
          </w:p>
        </w:tc>
        <w:tc>
          <w:tcPr>
            <w:tcW w:w="80" w:type="dxa"/>
            <w:vAlign w:val="bottom"/>
          </w:tcPr>
          <w:p>
            <w:pPr>
              <w:spacing w:after="0"/>
              <w:rPr>
                <w:sz w:val="14"/>
                <w:szCs w:val="14"/>
                <w:color w:val="auto"/>
              </w:rPr>
            </w:pPr>
          </w:p>
        </w:tc>
        <w:tc>
          <w:tcPr>
            <w:tcW w:w="440" w:type="dxa"/>
            <w:vAlign w:val="bottom"/>
          </w:tcPr>
          <w:p>
            <w:pPr>
              <w:jc w:val="right"/>
              <w:ind w:right="247"/>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475,000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3,955,750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$2,405,750(2)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59" w:lineRule="exact"/>
              <w:rPr>
                <w:sz w:val="20"/>
                <w:szCs w:val="20"/>
                <w:color w:val="auto"/>
              </w:rPr>
            </w:pPr>
            <w:r>
              <w:rPr>
                <w:rFonts w:ascii="Arial" w:cs="Arial" w:eastAsia="Arial" w:hAnsi="Arial"/>
                <w:sz w:val="6"/>
                <w:szCs w:val="6"/>
                <w:color w:val="auto"/>
              </w:rPr>
              <w:t>475,000(3)</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562,500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3,926,500</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32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360" w:type="dxa"/>
            <w:vAlign w:val="bottom"/>
            <w:tcBorders>
              <w:bottom w:val="single" w:sz="8" w:color="00C08A"/>
            </w:tcBorders>
          </w:tcPr>
          <w:p>
            <w:pPr>
              <w:jc w:val="right"/>
              <w:ind w:right="5"/>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$2,293,500(2)</w:t>
            </w:r>
          </w:p>
        </w:tc>
        <w:tc>
          <w:tcPr>
            <w:tcW w:w="6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1000" w:type="dxa"/>
            <w:vAlign w:val="bottom"/>
            <w:tcBorders>
              <w:bottom w:val="single" w:sz="8" w:color="00C08A"/>
            </w:tcBorders>
            <w:gridSpan w:val="2"/>
          </w:tcPr>
          <w:p>
            <w:pPr>
              <w:jc w:val="right"/>
              <w:ind w:right="150"/>
              <w:spacing w:after="0" w:line="81" w:lineRule="exact"/>
              <w:rPr>
                <w:sz w:val="20"/>
                <w:szCs w:val="20"/>
                <w:color w:val="auto"/>
              </w:rPr>
            </w:pPr>
            <w:r>
              <w:rPr>
                <w:rFonts w:ascii="Arial" w:cs="Arial" w:eastAsia="Arial" w:hAnsi="Arial"/>
                <w:sz w:val="9"/>
                <w:szCs w:val="9"/>
                <w:color w:val="auto"/>
              </w:rPr>
              <w:t>562,500(3)</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08A"/>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Brett Fairclough</w:t>
            </w:r>
          </w:p>
        </w:tc>
        <w:tc>
          <w:tcPr>
            <w:tcW w:w="80" w:type="dxa"/>
            <w:vAlign w:val="bottom"/>
          </w:tcPr>
          <w:p>
            <w:pPr>
              <w:ind w:left="40"/>
              <w:spacing w:after="0" w:line="11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247"/>
              <w:spacing w:after="0" w:line="11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shd w:val="clear" w:color="auto" w:fill="CCEEFF"/>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shd w:val="clear" w:color="auto" w:fill="CCEEFF"/>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4,863,750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gridSpan w:val="2"/>
            <w:shd w:val="clear" w:color="auto" w:fill="CCEEFF"/>
          </w:tcPr>
          <w:p>
            <w:pPr>
              <w:jc w:val="right"/>
              <w:spacing w:after="0" w:line="61" w:lineRule="exact"/>
              <w:rPr>
                <w:sz w:val="20"/>
                <w:szCs w:val="20"/>
                <w:color w:val="auto"/>
              </w:rPr>
            </w:pPr>
            <w:r>
              <w:rPr>
                <w:rFonts w:ascii="Arial" w:cs="Arial" w:eastAsia="Arial" w:hAnsi="Arial"/>
                <w:sz w:val="6"/>
                <w:szCs w:val="6"/>
                <w:color w:val="auto"/>
              </w:rPr>
              <w:t>$2,763,750(2)</w:t>
            </w:r>
          </w:p>
        </w:tc>
        <w:tc>
          <w:tcPr>
            <w:tcW w:w="6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ind w:left="160"/>
              <w:spacing w:after="0" w:line="61" w:lineRule="exact"/>
              <w:rPr>
                <w:sz w:val="20"/>
                <w:szCs w:val="20"/>
                <w:color w:val="auto"/>
              </w:rPr>
            </w:pPr>
            <w:r>
              <w:rPr>
                <w:rFonts w:ascii="Arial" w:cs="Arial" w:eastAsia="Arial" w:hAnsi="Arial"/>
                <w:sz w:val="6"/>
                <w:szCs w:val="6"/>
                <w:color w:val="auto"/>
              </w:rPr>
              <w:t>$</w:t>
            </w:r>
          </w:p>
        </w:tc>
        <w:tc>
          <w:tcPr>
            <w:tcW w:w="1000" w:type="dxa"/>
            <w:vAlign w:val="bottom"/>
            <w:tcBorders>
              <w:bottom w:val="single" w:sz="8" w:color="CCEEFF"/>
            </w:tcBorders>
            <w:gridSpan w:val="2"/>
            <w:shd w:val="clear" w:color="auto" w:fill="CCEEFF"/>
          </w:tcPr>
          <w:p>
            <w:pPr>
              <w:jc w:val="right"/>
              <w:ind w:right="150"/>
              <w:spacing w:after="0" w:line="61" w:lineRule="exact"/>
              <w:rPr>
                <w:sz w:val="20"/>
                <w:szCs w:val="20"/>
                <w:color w:val="auto"/>
              </w:rPr>
            </w:pPr>
            <w:r>
              <w:rPr>
                <w:rFonts w:ascii="Arial" w:cs="Arial" w:eastAsia="Arial" w:hAnsi="Arial"/>
                <w:sz w:val="6"/>
                <w:szCs w:val="6"/>
                <w:color w:val="auto"/>
              </w:rPr>
              <w:t>750,000(3)</w:t>
            </w:r>
          </w:p>
        </w:tc>
        <w:tc>
          <w:tcPr>
            <w:tcW w:w="240" w:type="dxa"/>
            <w:vAlign w:val="bottom"/>
            <w:tcBorders>
              <w:bottom w:val="single" w:sz="8" w:color="CCEEFF"/>
            </w:tcBorders>
            <w:shd w:val="clear" w:color="auto" w:fill="CCEEFF"/>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Co-President and Co-Chief</w:t>
            </w:r>
          </w:p>
        </w:tc>
        <w:tc>
          <w:tcPr>
            <w:tcW w:w="80" w:type="dxa"/>
            <w:vAlign w:val="bottom"/>
          </w:tcPr>
          <w:p>
            <w:pPr>
              <w:spacing w:after="0"/>
              <w:rPr>
                <w:sz w:val="10"/>
                <w:szCs w:val="10"/>
                <w:color w:val="auto"/>
              </w:rPr>
            </w:pPr>
          </w:p>
        </w:tc>
        <w:tc>
          <w:tcPr>
            <w:tcW w:w="440" w:type="dxa"/>
            <w:vAlign w:val="bottom"/>
          </w:tcPr>
          <w:p>
            <w:pPr>
              <w:jc w:val="right"/>
              <w:ind w:right="247"/>
              <w:spacing w:after="0" w:line="122"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line="122"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475,000</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22"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22"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0"/>
                <w:szCs w:val="10"/>
                <w:color w:val="auto"/>
              </w:rPr>
            </w:pP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4,339,564</w:t>
            </w: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$2,405,750(2)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59" w:lineRule="exact"/>
              <w:rPr>
                <w:sz w:val="20"/>
                <w:szCs w:val="20"/>
                <w:color w:val="auto"/>
              </w:rPr>
            </w:pPr>
            <w:r>
              <w:rPr>
                <w:rFonts w:ascii="Arial" w:cs="Arial" w:eastAsia="Arial" w:hAnsi="Arial"/>
                <w:sz w:val="6"/>
                <w:szCs w:val="6"/>
                <w:color w:val="auto"/>
              </w:rPr>
              <w:t>475,000(3)</w:t>
            </w:r>
          </w:p>
        </w:tc>
        <w:tc>
          <w:tcPr>
            <w:tcW w:w="900" w:type="dxa"/>
            <w:vAlign w:val="bottom"/>
            <w:gridSpan w:val="2"/>
          </w:tcPr>
          <w:p>
            <w:pPr>
              <w:ind w:left="120"/>
              <w:spacing w:after="0" w:line="59" w:lineRule="exact"/>
              <w:rPr>
                <w:sz w:val="20"/>
                <w:szCs w:val="20"/>
                <w:color w:val="auto"/>
              </w:rPr>
            </w:pPr>
            <w:r>
              <w:rPr>
                <w:rFonts w:ascii="Arial" w:cs="Arial" w:eastAsia="Arial" w:hAnsi="Arial"/>
                <w:sz w:val="6"/>
                <w:szCs w:val="6"/>
                <w:color w:val="auto"/>
              </w:rPr>
              <w:t>$383,814(5)</w:t>
            </w: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562,500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3,692,833</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32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360" w:type="dxa"/>
            <w:vAlign w:val="bottom"/>
            <w:tcBorders>
              <w:bottom w:val="single" w:sz="8" w:color="00C08A"/>
            </w:tcBorders>
          </w:tcPr>
          <w:p>
            <w:pPr>
              <w:jc w:val="right"/>
              <w:ind w:right="5"/>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$2,059,500(2)</w:t>
            </w:r>
          </w:p>
        </w:tc>
        <w:tc>
          <w:tcPr>
            <w:tcW w:w="6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1000" w:type="dxa"/>
            <w:vAlign w:val="bottom"/>
            <w:tcBorders>
              <w:bottom w:val="single" w:sz="8" w:color="00C08A"/>
            </w:tcBorders>
            <w:gridSpan w:val="2"/>
          </w:tcPr>
          <w:p>
            <w:pPr>
              <w:jc w:val="right"/>
              <w:ind w:right="150"/>
              <w:spacing w:after="0" w:line="81" w:lineRule="exact"/>
              <w:rPr>
                <w:sz w:val="20"/>
                <w:szCs w:val="20"/>
                <w:color w:val="auto"/>
              </w:rPr>
            </w:pPr>
            <w:r>
              <w:rPr>
                <w:rFonts w:ascii="Arial" w:cs="Arial" w:eastAsia="Arial" w:hAnsi="Arial"/>
                <w:sz w:val="9"/>
                <w:szCs w:val="9"/>
                <w:color w:val="auto"/>
              </w:rPr>
              <w:t>562,500(3)</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08A"/>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Stephen Cavoli</w:t>
            </w:r>
          </w:p>
        </w:tc>
        <w:tc>
          <w:tcPr>
            <w:tcW w:w="520" w:type="dxa"/>
            <w:vAlign w:val="bottom"/>
            <w:gridSpan w:val="2"/>
          </w:tcPr>
          <w:p>
            <w:pPr>
              <w:jc w:val="right"/>
              <w:ind w:right="247"/>
              <w:spacing w:after="0" w:line="115" w:lineRule="exact"/>
              <w:rPr>
                <w:sz w:val="20"/>
                <w:szCs w:val="20"/>
                <w:color w:val="auto"/>
              </w:rPr>
            </w:pPr>
            <w:r>
              <w:rPr>
                <w:rFonts w:ascii="Arial" w:cs="Arial" w:eastAsia="Arial" w:hAnsi="Arial"/>
                <w:sz w:val="13"/>
                <w:szCs w:val="13"/>
                <w:color w:val="auto"/>
              </w:rPr>
              <w:t>​ ​​</w:t>
            </w:r>
          </w:p>
        </w:tc>
        <w:tc>
          <w:tcPr>
            <w:tcW w:w="320" w:type="dxa"/>
            <w:vAlign w:val="bottom"/>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tcPr>
          <w:p>
            <w:pPr>
              <w:spacing w:after="0"/>
              <w:rPr>
                <w:sz w:val="10"/>
                <w:szCs w:val="10"/>
                <w:color w:val="auto"/>
              </w:rPr>
            </w:pPr>
          </w:p>
        </w:tc>
        <w:tc>
          <w:tcPr>
            <w:tcW w:w="28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4,863,750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61" w:lineRule="exact"/>
              <w:rPr>
                <w:sz w:val="20"/>
                <w:szCs w:val="20"/>
                <w:color w:val="auto"/>
              </w:rPr>
            </w:pPr>
            <w:r>
              <w:rPr>
                <w:rFonts w:ascii="Arial" w:cs="Arial" w:eastAsia="Arial" w:hAnsi="Arial"/>
                <w:sz w:val="6"/>
                <w:szCs w:val="6"/>
                <w:color w:val="auto"/>
              </w:rPr>
              <w:t>$2,763,750(2)</w:t>
            </w:r>
          </w:p>
        </w:tc>
        <w:tc>
          <w:tcPr>
            <w:tcW w:w="60" w:type="dxa"/>
            <w:vAlign w:val="bottom"/>
          </w:tcPr>
          <w:p>
            <w:pPr>
              <w:spacing w:after="0"/>
              <w:rPr>
                <w:sz w:val="5"/>
                <w:szCs w:val="5"/>
                <w:color w:val="auto"/>
              </w:rPr>
            </w:pPr>
          </w:p>
        </w:tc>
        <w:tc>
          <w:tcPr>
            <w:tcW w:w="280" w:type="dxa"/>
            <w:vAlign w:val="bottom"/>
          </w:tcPr>
          <w:p>
            <w:pPr>
              <w:ind w:left="160"/>
              <w:spacing w:after="0" w:line="61"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61" w:lineRule="exact"/>
              <w:rPr>
                <w:sz w:val="20"/>
                <w:szCs w:val="20"/>
                <w:color w:val="auto"/>
              </w:rPr>
            </w:pPr>
            <w:r>
              <w:rPr>
                <w:rFonts w:ascii="Arial" w:cs="Arial" w:eastAsia="Arial" w:hAnsi="Arial"/>
                <w:sz w:val="6"/>
                <w:szCs w:val="6"/>
                <w:color w:val="auto"/>
              </w:rPr>
              <w:t>750,000(3)</w:t>
            </w:r>
          </w:p>
        </w:tc>
        <w:tc>
          <w:tcPr>
            <w:tcW w:w="24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Markets</w:t>
            </w:r>
          </w:p>
        </w:tc>
        <w:tc>
          <w:tcPr>
            <w:tcW w:w="80" w:type="dxa"/>
            <w:vAlign w:val="bottom"/>
          </w:tcPr>
          <w:p>
            <w:pPr>
              <w:spacing w:after="0"/>
              <w:rPr>
                <w:sz w:val="14"/>
                <w:szCs w:val="14"/>
                <w:color w:val="auto"/>
              </w:rPr>
            </w:pPr>
          </w:p>
        </w:tc>
        <w:tc>
          <w:tcPr>
            <w:tcW w:w="440" w:type="dxa"/>
            <w:vAlign w:val="bottom"/>
          </w:tcPr>
          <w:p>
            <w:pPr>
              <w:jc w:val="right"/>
              <w:ind w:right="247"/>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360" w:type="dxa"/>
            <w:vAlign w:val="bottom"/>
          </w:tcPr>
          <w:p>
            <w:pPr>
              <w:jc w:val="right"/>
              <w:ind w:right="65"/>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437,500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3,805,750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$2,330,750(2)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1000" w:type="dxa"/>
            <w:vAlign w:val="bottom"/>
            <w:gridSpan w:val="2"/>
          </w:tcPr>
          <w:p>
            <w:pPr>
              <w:jc w:val="right"/>
              <w:ind w:right="150"/>
              <w:spacing w:after="0" w:line="59" w:lineRule="exact"/>
              <w:rPr>
                <w:sz w:val="20"/>
                <w:szCs w:val="20"/>
                <w:color w:val="auto"/>
              </w:rPr>
            </w:pPr>
            <w:r>
              <w:rPr>
                <w:rFonts w:ascii="Arial" w:cs="Arial" w:eastAsia="Arial" w:hAnsi="Arial"/>
                <w:sz w:val="6"/>
                <w:szCs w:val="6"/>
                <w:color w:val="auto"/>
              </w:rPr>
              <w:t>437,500(3)</w:t>
            </w: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508,333</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562,000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3,692,833</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tcBorders>
              <w:bottom w:val="single" w:sz="8" w:color="00C08A"/>
            </w:tcBorders>
          </w:tcPr>
          <w:p>
            <w:pPr>
              <w:spacing w:after="0"/>
              <w:rPr>
                <w:sz w:val="7"/>
                <w:szCs w:val="7"/>
                <w:color w:val="auto"/>
              </w:rPr>
            </w:pPr>
          </w:p>
        </w:tc>
        <w:tc>
          <w:tcPr>
            <w:tcW w:w="80" w:type="dxa"/>
            <w:vAlign w:val="bottom"/>
            <w:tcBorders>
              <w:bottom w:val="single" w:sz="8" w:color="00C08A"/>
            </w:tcBorders>
          </w:tcPr>
          <w:p>
            <w:pPr>
              <w:spacing w:after="0"/>
              <w:rPr>
                <w:sz w:val="7"/>
                <w:szCs w:val="7"/>
                <w:color w:val="auto"/>
              </w:rPr>
            </w:pPr>
          </w:p>
        </w:tc>
        <w:tc>
          <w:tcPr>
            <w:tcW w:w="44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​2022</w:t>
            </w:r>
          </w:p>
        </w:tc>
        <w:tc>
          <w:tcPr>
            <w:tcW w:w="320" w:type="dxa"/>
            <w:vAlign w:val="bottom"/>
            <w:tcBorders>
              <w:bottom w:val="single" w:sz="8" w:color="00C08A"/>
            </w:tcBorders>
          </w:tcPr>
          <w:p>
            <w:pPr>
              <w:jc w:val="right"/>
              <w:spacing w:after="0" w:line="81" w:lineRule="exact"/>
              <w:rPr>
                <w:sz w:val="20"/>
                <w:szCs w:val="20"/>
                <w:color w:val="auto"/>
              </w:rPr>
            </w:pPr>
            <w:r>
              <w:rPr>
                <w:rFonts w:ascii="Arial" w:cs="Arial" w:eastAsia="Arial" w:hAnsi="Arial"/>
                <w:sz w:val="9"/>
                <w:szCs w:val="9"/>
                <w:color w:val="auto"/>
              </w:rPr>
              <w:t>$</w:t>
            </w:r>
          </w:p>
        </w:tc>
        <w:tc>
          <w:tcPr>
            <w:tcW w:w="600" w:type="dxa"/>
            <w:vAlign w:val="bottom"/>
            <w:tcBorders>
              <w:bottom w:val="single" w:sz="8" w:color="00C08A"/>
            </w:tcBorders>
            <w:vMerge w:val="continue"/>
          </w:tcPr>
          <w:p>
            <w:pPr>
              <w:spacing w:after="0"/>
              <w:rPr>
                <w:sz w:val="7"/>
                <w:szCs w:val="7"/>
                <w:color w:val="auto"/>
              </w:rPr>
            </w:pPr>
          </w:p>
        </w:tc>
        <w:tc>
          <w:tcPr>
            <w:tcW w:w="360" w:type="dxa"/>
            <w:vAlign w:val="bottom"/>
            <w:tcBorders>
              <w:bottom w:val="single" w:sz="8" w:color="00C08A"/>
            </w:tcBorders>
          </w:tcPr>
          <w:p>
            <w:pPr>
              <w:jc w:val="right"/>
              <w:ind w:right="5"/>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00C08A"/>
            </w:tcBorders>
            <w:vMerge w:val="continue"/>
          </w:tcPr>
          <w:p>
            <w:pPr>
              <w:spacing w:after="0"/>
              <w:rPr>
                <w:sz w:val="7"/>
                <w:szCs w:val="7"/>
                <w:color w:val="auto"/>
              </w:rPr>
            </w:pPr>
          </w:p>
        </w:tc>
        <w:tc>
          <w:tcPr>
            <w:tcW w:w="120" w:type="dxa"/>
            <w:vAlign w:val="bottom"/>
            <w:tcBorders>
              <w:bottom w:val="single" w:sz="8" w:color="00C08A"/>
            </w:tcBorders>
          </w:tcPr>
          <w:p>
            <w:pPr>
              <w:spacing w:after="0"/>
              <w:rPr>
                <w:sz w:val="7"/>
                <w:szCs w:val="7"/>
                <w:color w:val="auto"/>
              </w:rPr>
            </w:pPr>
          </w:p>
        </w:tc>
        <w:tc>
          <w:tcPr>
            <w:tcW w:w="1020" w:type="dxa"/>
            <w:vAlign w:val="bottom"/>
            <w:tcBorders>
              <w:bottom w:val="single" w:sz="8" w:color="00C08A"/>
            </w:tcBorders>
            <w:gridSpan w:val="2"/>
          </w:tcPr>
          <w:p>
            <w:pPr>
              <w:jc w:val="right"/>
              <w:spacing w:after="0" w:line="81" w:lineRule="exact"/>
              <w:rPr>
                <w:sz w:val="20"/>
                <w:szCs w:val="20"/>
                <w:color w:val="auto"/>
              </w:rPr>
            </w:pPr>
            <w:r>
              <w:rPr>
                <w:rFonts w:ascii="Arial" w:cs="Arial" w:eastAsia="Arial" w:hAnsi="Arial"/>
                <w:sz w:val="9"/>
                <w:szCs w:val="9"/>
                <w:color w:val="auto"/>
              </w:rPr>
              <w:t>$2,059,500(2)</w:t>
            </w:r>
          </w:p>
        </w:tc>
        <w:tc>
          <w:tcPr>
            <w:tcW w:w="60" w:type="dxa"/>
            <w:vAlign w:val="bottom"/>
            <w:tcBorders>
              <w:bottom w:val="single" w:sz="8" w:color="00C08A"/>
            </w:tcBorders>
          </w:tcPr>
          <w:p>
            <w:pPr>
              <w:spacing w:after="0"/>
              <w:rPr>
                <w:sz w:val="7"/>
                <w:szCs w:val="7"/>
                <w:color w:val="auto"/>
              </w:rPr>
            </w:pPr>
          </w:p>
        </w:tc>
        <w:tc>
          <w:tcPr>
            <w:tcW w:w="280" w:type="dxa"/>
            <w:vAlign w:val="bottom"/>
            <w:tcBorders>
              <w:bottom w:val="single" w:sz="8" w:color="00C08A"/>
            </w:tcBorders>
          </w:tcPr>
          <w:p>
            <w:pPr>
              <w:ind w:left="160"/>
              <w:spacing w:after="0" w:line="81" w:lineRule="exact"/>
              <w:rPr>
                <w:sz w:val="20"/>
                <w:szCs w:val="20"/>
                <w:color w:val="auto"/>
              </w:rPr>
            </w:pPr>
            <w:r>
              <w:rPr>
                <w:rFonts w:ascii="Arial" w:cs="Arial" w:eastAsia="Arial" w:hAnsi="Arial"/>
                <w:sz w:val="9"/>
                <w:szCs w:val="9"/>
                <w:color w:val="auto"/>
              </w:rPr>
              <w:t>$</w:t>
            </w:r>
          </w:p>
        </w:tc>
        <w:tc>
          <w:tcPr>
            <w:tcW w:w="1000" w:type="dxa"/>
            <w:vAlign w:val="bottom"/>
            <w:tcBorders>
              <w:bottom w:val="single" w:sz="8" w:color="00C08A"/>
            </w:tcBorders>
            <w:gridSpan w:val="2"/>
          </w:tcPr>
          <w:p>
            <w:pPr>
              <w:jc w:val="right"/>
              <w:ind w:right="150"/>
              <w:spacing w:after="0" w:line="81" w:lineRule="exact"/>
              <w:rPr>
                <w:sz w:val="20"/>
                <w:szCs w:val="20"/>
                <w:color w:val="auto"/>
              </w:rPr>
            </w:pPr>
            <w:r>
              <w:rPr>
                <w:rFonts w:ascii="Arial" w:cs="Arial" w:eastAsia="Arial" w:hAnsi="Arial"/>
                <w:sz w:val="9"/>
                <w:szCs w:val="9"/>
                <w:color w:val="auto"/>
              </w:rPr>
              <w:t>562,500(3)</w:t>
            </w:r>
          </w:p>
        </w:tc>
        <w:tc>
          <w:tcPr>
            <w:tcW w:w="240" w:type="dxa"/>
            <w:vAlign w:val="bottom"/>
            <w:tcBorders>
              <w:bottom w:val="single" w:sz="8" w:color="00C08A"/>
            </w:tcBorders>
          </w:tcPr>
          <w:p>
            <w:pPr>
              <w:ind w:left="12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08A"/>
            </w:tcBorders>
            <w:vMerge w:val="continue"/>
          </w:tcPr>
          <w:p>
            <w:pPr>
              <w:spacing w:after="0"/>
              <w:rPr>
                <w:sz w:val="7"/>
                <w:szCs w:val="7"/>
                <w:color w:val="auto"/>
              </w:rPr>
            </w:pPr>
          </w:p>
        </w:tc>
        <w:tc>
          <w:tcPr>
            <w:tcW w:w="1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ind w:left="10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08A"/>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Cindy Lee</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​​2024​​ ​​$</w:t>
            </w:r>
          </w:p>
        </w:tc>
        <w:tc>
          <w:tcPr>
            <w:tcW w:w="9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327,083​​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466,690​​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​$ 1,181,110​(2)​</w:t>
            </w: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  ​​ ​</w:t>
            </w:r>
          </w:p>
        </w:tc>
        <w:tc>
          <w:tcPr>
            <w:tcW w:w="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1,974,883</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360" w:type="dxa"/>
            <w:vAlign w:val="bottom"/>
            <w:tcBorders>
              <w:top w:val="single" w:sz="8" w:color="00C08A"/>
            </w:tcBorders>
            <w:vMerge w:val="restart"/>
          </w:tcPr>
          <w:p>
            <w:pPr>
              <w:spacing w:after="0"/>
              <w:rPr>
                <w:sz w:val="20"/>
                <w:szCs w:val="20"/>
                <w:color w:val="auto"/>
              </w:rPr>
            </w:pPr>
            <w:r>
              <w:rPr>
                <w:rFonts w:ascii="Arial" w:cs="Arial" w:eastAsia="Arial" w:hAnsi="Arial"/>
                <w:sz w:val="14"/>
                <w:szCs w:val="14"/>
                <w:b w:val="1"/>
                <w:bCs w:val="1"/>
                <w:color w:val="auto"/>
              </w:rPr>
              <w:t>Sean P. Galvin</w:t>
            </w:r>
          </w:p>
        </w:tc>
        <w:tc>
          <w:tcPr>
            <w:tcW w:w="520" w:type="dxa"/>
            <w:vAlign w:val="bottom"/>
            <w:tcBorders>
              <w:top w:val="single" w:sz="8" w:color="00C08A"/>
            </w:tcBorders>
            <w:gridSpan w:val="2"/>
          </w:tcPr>
          <w:p>
            <w:pPr>
              <w:jc w:val="right"/>
              <w:ind w:right="247"/>
              <w:spacing w:after="0" w:line="115" w:lineRule="exact"/>
              <w:rPr>
                <w:sz w:val="20"/>
                <w:szCs w:val="20"/>
                <w:color w:val="auto"/>
              </w:rPr>
            </w:pPr>
            <w:r>
              <w:rPr>
                <w:rFonts w:ascii="Arial" w:cs="Arial" w:eastAsia="Arial" w:hAnsi="Arial"/>
                <w:sz w:val="13"/>
                <w:szCs w:val="13"/>
                <w:color w:val="auto"/>
              </w:rPr>
              <w:t>​ ​​</w:t>
            </w:r>
          </w:p>
        </w:tc>
        <w:tc>
          <w:tcPr>
            <w:tcW w:w="320" w:type="dxa"/>
            <w:vAlign w:val="bottom"/>
            <w:tcBorders>
              <w:top w:val="single" w:sz="8" w:color="00C08A"/>
            </w:tcBorders>
          </w:tcPr>
          <w:p>
            <w:pPr>
              <w:jc w:val="right"/>
              <w:ind w:right="26"/>
              <w:spacing w:after="0" w:line="115" w:lineRule="exact"/>
              <w:rPr>
                <w:sz w:val="20"/>
                <w:szCs w:val="20"/>
                <w:color w:val="auto"/>
              </w:rPr>
            </w:pPr>
            <w:r>
              <w:rPr>
                <w:rFonts w:ascii="Arial" w:cs="Arial" w:eastAsia="Arial" w:hAnsi="Arial"/>
                <w:sz w:val="13"/>
                <w:szCs w:val="13"/>
                <w:color w:val="auto"/>
              </w:rPr>
              <w:t>​​ ​​</w:t>
            </w:r>
          </w:p>
        </w:tc>
        <w:tc>
          <w:tcPr>
            <w:tcW w:w="6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4"/>
                <w:szCs w:val="14"/>
                <w:color w:val="auto"/>
              </w:rPr>
              <w:t>300,000</w:t>
            </w:r>
          </w:p>
        </w:tc>
        <w:tc>
          <w:tcPr>
            <w:tcW w:w="360" w:type="dxa"/>
            <w:vAlign w:val="bottom"/>
            <w:tcBorders>
              <w:top w:val="single" w:sz="8" w:color="00C08A"/>
            </w:tcBorders>
          </w:tcPr>
          <w:p>
            <w:pPr>
              <w:jc w:val="right"/>
              <w:ind w:right="65"/>
              <w:spacing w:after="0" w:line="115" w:lineRule="exact"/>
              <w:rPr>
                <w:sz w:val="20"/>
                <w:szCs w:val="20"/>
                <w:color w:val="auto"/>
              </w:rPr>
            </w:pPr>
            <w:r>
              <w:rPr>
                <w:rFonts w:ascii="Arial" w:cs="Arial" w:eastAsia="Arial" w:hAnsi="Arial"/>
                <w:sz w:val="13"/>
                <w:szCs w:val="13"/>
                <w:color w:val="auto"/>
              </w:rPr>
              <w:t>​​ ​​</w:t>
            </w:r>
          </w:p>
        </w:tc>
        <w:tc>
          <w:tcPr>
            <w:tcW w:w="580" w:type="dxa"/>
            <w:vAlign w:val="bottom"/>
            <w:tcBorders>
              <w:top w:val="single" w:sz="8" w:color="00C08A"/>
            </w:tcBorders>
            <w:vMerge w:val="restart"/>
          </w:tcPr>
          <w:p>
            <w:pPr>
              <w:jc w:val="right"/>
              <w:spacing w:after="0"/>
              <w:rPr>
                <w:sz w:val="20"/>
                <w:szCs w:val="20"/>
                <w:color w:val="auto"/>
              </w:rPr>
            </w:pPr>
            <w:r>
              <w:rPr>
                <w:rFonts w:ascii="Arial" w:cs="Arial" w:eastAsia="Arial" w:hAnsi="Arial"/>
                <w:sz w:val="14"/>
                <w:szCs w:val="14"/>
                <w:color w:val="auto"/>
              </w:rPr>
              <w:t>400,020</w:t>
            </w:r>
          </w:p>
        </w:tc>
        <w:tc>
          <w:tcPr>
            <w:tcW w:w="120" w:type="dxa"/>
            <w:vAlign w:val="bottom"/>
            <w:tcBorders>
              <w:top w:val="single" w:sz="8" w:color="00C08A"/>
            </w:tcBorders>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00C08A"/>
            </w:tcBorders>
          </w:tcPr>
          <w:p>
            <w:pPr>
              <w:ind w:left="40"/>
              <w:spacing w:after="0" w:line="115" w:lineRule="exact"/>
              <w:rPr>
                <w:sz w:val="20"/>
                <w:szCs w:val="20"/>
                <w:color w:val="auto"/>
              </w:rPr>
            </w:pPr>
            <w:r>
              <w:rPr>
                <w:rFonts w:ascii="Arial" w:cs="Arial" w:eastAsia="Arial" w:hAnsi="Arial"/>
                <w:sz w:val="13"/>
                <w:szCs w:val="13"/>
                <w:color w:val="auto"/>
              </w:rPr>
              <w:t>​ ​</w:t>
            </w:r>
          </w:p>
        </w:tc>
        <w:tc>
          <w:tcPr>
            <w:tcW w:w="820" w:type="dxa"/>
            <w:vAlign w:val="bottom"/>
            <w:tcBorders>
              <w:top w:val="single" w:sz="8" w:color="00C08A"/>
            </w:tcBorders>
          </w:tcPr>
          <w:p>
            <w:pPr>
              <w:jc w:val="right"/>
              <w:ind w:right="14"/>
              <w:spacing w:after="0" w:line="115" w:lineRule="exact"/>
              <w:rPr>
                <w:sz w:val="20"/>
                <w:szCs w:val="20"/>
                <w:color w:val="auto"/>
              </w:rPr>
            </w:pPr>
            <w:r>
              <w:rPr>
                <w:rFonts w:ascii="Arial" w:cs="Arial" w:eastAsia="Arial" w:hAnsi="Arial"/>
                <w:sz w:val="13"/>
                <w:szCs w:val="13"/>
                <w:color w:val="auto"/>
              </w:rPr>
              <w:t>​ ​</w:t>
            </w:r>
          </w:p>
        </w:tc>
        <w:tc>
          <w:tcPr>
            <w:tcW w:w="60" w:type="dxa"/>
            <w:vAlign w:val="bottom"/>
            <w:tcBorders>
              <w:top w:val="single" w:sz="8" w:color="00C08A"/>
            </w:tcBorders>
          </w:tcPr>
          <w:p>
            <w:pPr>
              <w:spacing w:after="0" w:line="11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00C08A"/>
            </w:tcBorders>
          </w:tcPr>
          <w:p>
            <w:pPr>
              <w:ind w:left="140"/>
              <w:spacing w:after="0" w:line="115"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00C08A"/>
            </w:tcBorders>
            <w:vMerge w:val="restart"/>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00C08A"/>
            </w:tcBorders>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Borders>
              <w:top w:val="single" w:sz="8" w:color="00C08A"/>
            </w:tcBorders>
          </w:tcPr>
          <w:p>
            <w:pPr>
              <w:ind w:left="120"/>
              <w:spacing w:after="0" w:line="115"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00C08A"/>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00C08A"/>
            </w:tcBorders>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00C08A"/>
            </w:tcBorders>
          </w:tcPr>
          <w:p>
            <w:pPr>
              <w:ind w:left="20"/>
              <w:spacing w:after="0" w:line="115" w:lineRule="exact"/>
              <w:rPr>
                <w:sz w:val="20"/>
                <w:szCs w:val="20"/>
                <w:color w:val="auto"/>
              </w:rPr>
            </w:pPr>
            <w:r>
              <w:rPr>
                <w:rFonts w:ascii="Arial" w:cs="Arial" w:eastAsia="Arial" w:hAnsi="Arial"/>
                <w:sz w:val="13"/>
                <w:szCs w:val="13"/>
                <w:color w:val="auto"/>
              </w:rPr>
              <w:t>​ ​</w:t>
            </w:r>
          </w:p>
        </w:tc>
        <w:tc>
          <w:tcPr>
            <w:tcW w:w="680" w:type="dxa"/>
            <w:vAlign w:val="bottom"/>
            <w:tcBorders>
              <w:top w:val="single" w:sz="8" w:color="00C08A"/>
            </w:tcBorders>
            <w:vMerge w:val="restart"/>
          </w:tcPr>
          <w:p>
            <w:pPr>
              <w:jc w:val="right"/>
              <w:spacing w:after="0"/>
              <w:rPr>
                <w:sz w:val="20"/>
                <w:szCs w:val="20"/>
                <w:color w:val="auto"/>
              </w:rPr>
            </w:pPr>
            <w:r>
              <w:rPr>
                <w:rFonts w:ascii="Arial" w:cs="Arial" w:eastAsia="Arial" w:hAnsi="Arial"/>
                <w:sz w:val="14"/>
                <w:szCs w:val="14"/>
                <w:color w:val="auto"/>
              </w:rPr>
              <w:t>900,000</w:t>
            </w: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61" w:lineRule="exact"/>
              <w:rPr>
                <w:sz w:val="20"/>
                <w:szCs w:val="20"/>
                <w:color w:val="auto"/>
              </w:rPr>
            </w:pPr>
            <w:r>
              <w:rPr>
                <w:rFonts w:ascii="Arial" w:cs="Arial" w:eastAsia="Arial" w:hAnsi="Arial"/>
                <w:sz w:val="6"/>
                <w:szCs w:val="6"/>
                <w:color w:val="auto"/>
              </w:rPr>
              <w:t>​2024</w:t>
            </w:r>
          </w:p>
        </w:tc>
        <w:tc>
          <w:tcPr>
            <w:tcW w:w="320" w:type="dxa"/>
            <w:vAlign w:val="bottom"/>
          </w:tcPr>
          <w:p>
            <w:pPr>
              <w:jc w:val="right"/>
              <w:spacing w:after="0" w:line="61"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61"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820" w:type="dxa"/>
            <w:vAlign w:val="bottom"/>
          </w:tcPr>
          <w:p>
            <w:pPr>
              <w:jc w:val="right"/>
              <w:spacing w:after="0" w:line="61" w:lineRule="exact"/>
              <w:rPr>
                <w:sz w:val="20"/>
                <w:szCs w:val="20"/>
                <w:color w:val="auto"/>
              </w:rPr>
            </w:pPr>
            <w:r>
              <w:rPr>
                <w:rFonts w:ascii="Arial" w:cs="Arial" w:eastAsia="Arial" w:hAnsi="Arial"/>
                <w:sz w:val="6"/>
                <w:szCs w:val="6"/>
                <w:color w:val="auto"/>
              </w:rPr>
              <w:t>199,980(2)</w:t>
            </w:r>
          </w:p>
        </w:tc>
        <w:tc>
          <w:tcPr>
            <w:tcW w:w="60" w:type="dxa"/>
            <w:vAlign w:val="bottom"/>
          </w:tcPr>
          <w:p>
            <w:pPr>
              <w:spacing w:after="0"/>
              <w:rPr>
                <w:sz w:val="5"/>
                <w:szCs w:val="5"/>
                <w:color w:val="auto"/>
              </w:rPr>
            </w:pPr>
          </w:p>
        </w:tc>
        <w:tc>
          <w:tcPr>
            <w:tcW w:w="280" w:type="dxa"/>
            <w:vAlign w:val="bottom"/>
          </w:tcPr>
          <w:p>
            <w:pPr>
              <w:ind w:left="160"/>
              <w:spacing w:after="0" w:line="61"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ind w:left="120"/>
              <w:spacing w:after="0" w:line="61"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61"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140"/>
              <w:spacing w:after="0"/>
              <w:rPr>
                <w:sz w:val="20"/>
                <w:szCs w:val="20"/>
                <w:color w:val="auto"/>
              </w:rPr>
            </w:pPr>
            <w:r>
              <w:rPr>
                <w:rFonts w:ascii="Arial" w:cs="Arial" w:eastAsia="Arial" w:hAnsi="Arial"/>
                <w:sz w:val="14"/>
                <w:szCs w:val="14"/>
                <w:i w:val="1"/>
                <w:iCs w:val="1"/>
                <w:color w:val="auto"/>
              </w:rPr>
              <w:t>Former Chief Financial Officer</w:t>
            </w:r>
          </w:p>
        </w:tc>
        <w:tc>
          <w:tcPr>
            <w:tcW w:w="80" w:type="dxa"/>
            <w:vAlign w:val="bottom"/>
          </w:tcPr>
          <w:p>
            <w:pPr>
              <w:spacing w:after="0"/>
              <w:rPr>
                <w:sz w:val="14"/>
                <w:szCs w:val="14"/>
                <w:color w:val="auto"/>
              </w:rPr>
            </w:pPr>
          </w:p>
        </w:tc>
        <w:tc>
          <w:tcPr>
            <w:tcW w:w="440" w:type="dxa"/>
            <w:vAlign w:val="bottom"/>
          </w:tcPr>
          <w:p>
            <w:pPr>
              <w:jc w:val="right"/>
              <w:ind w:right="247"/>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360" w:type="dxa"/>
            <w:vAlign w:val="bottom"/>
          </w:tcPr>
          <w:p>
            <w:pPr>
              <w:jc w:val="right"/>
              <w:ind w:right="65"/>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450,023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975,000</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right"/>
              <w:spacing w:after="0" w:line="59" w:lineRule="exact"/>
              <w:rPr>
                <w:sz w:val="20"/>
                <w:szCs w:val="20"/>
                <w:color w:val="auto"/>
              </w:rPr>
            </w:pPr>
            <w:r>
              <w:rPr>
                <w:rFonts w:ascii="Arial" w:cs="Arial" w:eastAsia="Arial" w:hAnsi="Arial"/>
                <w:sz w:val="6"/>
                <w:szCs w:val="6"/>
                <w:color w:val="auto"/>
              </w:rPr>
              <w:t>​2023</w:t>
            </w:r>
          </w:p>
        </w:tc>
        <w:tc>
          <w:tcPr>
            <w:tcW w:w="32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00" w:type="dxa"/>
            <w:vAlign w:val="bottom"/>
            <w:vMerge w:val="continue"/>
          </w:tcPr>
          <w:p>
            <w:pPr>
              <w:spacing w:after="0"/>
              <w:rPr>
                <w:sz w:val="5"/>
                <w:szCs w:val="5"/>
                <w:color w:val="auto"/>
              </w:rPr>
            </w:pPr>
          </w:p>
        </w:tc>
        <w:tc>
          <w:tcPr>
            <w:tcW w:w="36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820" w:type="dxa"/>
            <w:vAlign w:val="bottom"/>
          </w:tcPr>
          <w:p>
            <w:pPr>
              <w:jc w:val="right"/>
              <w:spacing w:after="0" w:line="59" w:lineRule="exact"/>
              <w:rPr>
                <w:sz w:val="20"/>
                <w:szCs w:val="20"/>
                <w:color w:val="auto"/>
              </w:rPr>
            </w:pPr>
            <w:r>
              <w:rPr>
                <w:rFonts w:ascii="Arial" w:cs="Arial" w:eastAsia="Arial" w:hAnsi="Arial"/>
                <w:sz w:val="6"/>
                <w:szCs w:val="6"/>
                <w:color w:val="auto"/>
              </w:rPr>
              <w:t>224,978(2)</w:t>
            </w:r>
          </w:p>
        </w:tc>
        <w:tc>
          <w:tcPr>
            <w:tcW w:w="60" w:type="dxa"/>
            <w:vAlign w:val="bottom"/>
          </w:tcPr>
          <w:p>
            <w:pPr>
              <w:spacing w:after="0"/>
              <w:rPr>
                <w:sz w:val="5"/>
                <w:szCs w:val="5"/>
                <w:color w:val="auto"/>
              </w:rPr>
            </w:pPr>
          </w:p>
        </w:tc>
        <w:tc>
          <w:tcPr>
            <w:tcW w:w="28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47"/>
              <w:spacing w:after="0" w:line="145"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6"/>
              <w:spacing w:after="0" w:line="145"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300,000</w:t>
            </w:r>
          </w:p>
        </w:tc>
        <w:tc>
          <w:tcPr>
            <w:tcW w:w="360" w:type="dxa"/>
            <w:vAlign w:val="bottom"/>
          </w:tcPr>
          <w:p>
            <w:pPr>
              <w:jc w:val="right"/>
              <w:ind w:right="65"/>
              <w:spacing w:after="0" w:line="145"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480,000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jc w:val="right"/>
              <w:ind w:right="14"/>
              <w:spacing w:after="0" w:line="145" w:lineRule="exact"/>
              <w:rPr>
                <w:sz w:val="20"/>
                <w:szCs w:val="20"/>
                <w:color w:val="auto"/>
              </w:rPr>
            </w:pPr>
            <w:r>
              <w:rPr>
                <w:rFonts w:ascii="Arial" w:cs="Arial" w:eastAsia="Arial" w:hAnsi="Arial"/>
                <w:sz w:val="14"/>
                <w:szCs w:val="14"/>
                <w:color w:val="auto"/>
              </w:rPr>
              <w:t>​ ​</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2,496,350</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36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$1,716,350(2)</w:t>
            </w:r>
          </w:p>
        </w:tc>
        <w:tc>
          <w:tcPr>
            <w:tcW w:w="6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-2376805</wp:posOffset>
            </wp:positionV>
            <wp:extent cx="5829300" cy="420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0" cy="4203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-1545590</wp:posOffset>
            </wp:positionV>
            <wp:extent cx="5829300" cy="411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0" cy="4114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-45085</wp:posOffset>
            </wp:positionV>
            <wp:extent cx="5829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80" w:right="140" w:hanging="218"/>
        <w:spacing w:after="0" w:line="277"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amount represents the cash component of the portion of each named executive officer’s annual bonus that was based on the achievement of qualitative goals. For Messrs. Cifu, Molluso, Fairclough and Cavoli and Ms. Lee, the cash component of the annual bonus was 50% for fiscal years 2024, 2023 and 2022, and for Mr. Galvin this was 67% for 2024 and 2023 and 60% for 2022. The remainder in each year was paid in the form of restricted stock units and fully vested shares of our Class A common stock which are reflected in the “Stock Awards” column in the table above.</w:t>
      </w:r>
    </w:p>
    <w:p>
      <w:pPr>
        <w:spacing w:after="0" w:line="69" w:lineRule="exact"/>
        <w:rPr>
          <w:rFonts w:ascii="Arial" w:cs="Arial" w:eastAsia="Arial" w:hAnsi="Arial"/>
          <w:sz w:val="14"/>
          <w:szCs w:val="14"/>
          <w:color w:val="auto"/>
        </w:rPr>
      </w:pPr>
    </w:p>
    <w:p>
      <w:pPr>
        <w:ind w:left="980" w:right="120" w:hanging="218"/>
        <w:spacing w:after="0" w:line="275"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18, Note 19 and Note 20 of the Company’s audited financial statements for the fiscal years ended December 31, 2024, December 31, 2023, and December 31, 2022, respectively, included in our Annual Report on Form 10-K for the fiscal years ended December 31, 2024, December 31, 2023, and December 31, 2022, respectively. The grant of restricted stock units and fully vested shares of our Class A common stock relate to the settlement of Messrs. Cifu, Molluso, Fairclough, Cavoli and Galvin’s 2024, 2023 and 2022 annual bonuses and Ms. Lee’s 2024 annual bonus; however, the awards were actually granted in fiscal years 2025, 2024 and 2023, respectively.</w:t>
      </w:r>
    </w:p>
    <w:p>
      <w:pPr>
        <w:spacing w:after="0" w:line="72" w:lineRule="exact"/>
        <w:rPr>
          <w:rFonts w:ascii="Arial" w:cs="Arial" w:eastAsia="Arial" w:hAnsi="Arial"/>
          <w:sz w:val="14"/>
          <w:szCs w:val="14"/>
          <w:color w:val="auto"/>
        </w:rPr>
      </w:pPr>
    </w:p>
    <w:p>
      <w:pPr>
        <w:ind w:left="980" w:right="160" w:hanging="218"/>
        <w:spacing w:after="0" w:line="282"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Messrs. Cifu, Molluso, Fairclough and Cavoli’s annual bonuses that was based on achievement of performance goals, which was 50% for fiscal years 2024, 2023 and 2022. The remainder in each year was paid in the form of restricted stock units and fully vested shares of our Class A common stock which are reflected in the “Stock Awards” column in the table above.</w:t>
      </w:r>
    </w:p>
    <w:p>
      <w:pPr>
        <w:spacing w:after="0" w:line="80" w:lineRule="exact"/>
        <w:rPr>
          <w:rFonts w:ascii="Arial" w:cs="Arial" w:eastAsia="Arial" w:hAnsi="Arial"/>
          <w:sz w:val="14"/>
          <w:szCs w:val="14"/>
          <w:color w:val="auto"/>
        </w:rPr>
      </w:pPr>
    </w:p>
    <w:p>
      <w:pPr>
        <w:ind w:left="980" w:right="60" w:hanging="218"/>
        <w:spacing w:after="0" w:line="283"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cost of providing transportation services to Mr. Cifu for fiscal years 2024, 2023, and 2022, including the purchase of a vehicle, as well as certain amounts paid to Mr. Cifu in fiscal year 2022 pursuant to the indemnification provisions of the Virtu Financial LLC operating agreement in connection with the settlement of a partnership tax audit related to prior periods.</w:t>
      </w:r>
    </w:p>
    <w:p>
      <w:pPr>
        <w:spacing w:after="0" w:line="78" w:lineRule="exact"/>
        <w:rPr>
          <w:rFonts w:ascii="Arial" w:cs="Arial" w:eastAsia="Arial" w:hAnsi="Arial"/>
          <w:sz w:val="14"/>
          <w:szCs w:val="14"/>
          <w:color w:val="auto"/>
        </w:rPr>
      </w:pPr>
    </w:p>
    <w:p>
      <w:pPr>
        <w:ind w:left="980" w:right="200" w:hanging="218"/>
        <w:spacing w:after="0" w:line="305"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amount of taxes paid by the Company on behalf of Mr. Fairclough in connection with his repatriation to the United States following his tenure in the Company’s Singapore offices from 2014 until 2019.</w:t>
      </w:r>
    </w:p>
    <w:p>
      <w:pPr>
        <w:spacing w:after="0" w:line="49" w:lineRule="exact"/>
        <w:rPr>
          <w:rFonts w:ascii="Arial" w:cs="Arial" w:eastAsia="Arial" w:hAnsi="Arial"/>
          <w:sz w:val="14"/>
          <w:szCs w:val="14"/>
          <w:color w:val="auto"/>
        </w:rPr>
      </w:pPr>
    </w:p>
    <w:p>
      <w:pPr>
        <w:ind w:left="980" w:hanging="218"/>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reflects the amount paid to Mr. Galvin in connection with his new senior role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1497965</wp:posOffset>
            </wp:positionV>
            <wp:extent cx="75438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1420"/>
        <w:spacing w:after="0"/>
        <w:rPr>
          <w:sz w:val="20"/>
          <w:szCs w:val="20"/>
          <w:color w:val="auto"/>
        </w:rPr>
      </w:pPr>
      <w:r>
        <w:rPr>
          <w:rFonts w:ascii="Arial" w:cs="Arial" w:eastAsia="Arial" w:hAnsi="Arial"/>
          <w:sz w:val="29"/>
          <w:szCs w:val="29"/>
          <w:color w:val="00C08A"/>
        </w:rPr>
        <w:t>GRANTS OF PLAN-BASED AWARDS IN FISCAL YEAR 2024</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information with respect to each award made to our named executive officers in 2024.</w:t>
      </w:r>
    </w:p>
    <w:p>
      <w:pPr>
        <w:spacing w:after="0" w:line="1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2453"/>
              </w:rPr>
              <w:t>All Other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002453"/>
              </w:rPr>
              <w:t>Estimated Possible Payouts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w w:val="99"/>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002453"/>
              </w:rPr>
              <w:t>Awards:</w:t>
            </w:r>
          </w:p>
        </w:tc>
        <w:tc>
          <w:tcPr>
            <w:tcW w:w="940" w:type="dxa"/>
            <w:vAlign w:val="bottom"/>
            <w:gridSpan w:val="5"/>
            <w:vMerge w:val="restart"/>
          </w:tcPr>
          <w:p>
            <w:pPr>
              <w:jc w:val="center"/>
              <w:spacing w:after="0" w:line="158" w:lineRule="exact"/>
              <w:rPr>
                <w:sz w:val="20"/>
                <w:szCs w:val="20"/>
                <w:color w:val="auto"/>
              </w:rPr>
            </w:pPr>
            <w:r>
              <w:rPr>
                <w:rFonts w:ascii="Arial" w:cs="Arial" w:eastAsia="Arial" w:hAnsi="Arial"/>
                <w:sz w:val="14"/>
                <w:szCs w:val="14"/>
                <w:b w:val="1"/>
                <w:bCs w:val="1"/>
                <w:color w:val="002453"/>
              </w:rPr>
              <w:t>Grant Date</w:t>
            </w: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ind w:left="420"/>
              <w:spacing w:after="0" w:line="149" w:lineRule="exact"/>
              <w:rPr>
                <w:sz w:val="20"/>
                <w:szCs w:val="20"/>
                <w:color w:val="auto"/>
              </w:rPr>
            </w:pPr>
            <w:r>
              <w:rPr>
                <w:rFonts w:ascii="Arial" w:cs="Arial" w:eastAsia="Arial" w:hAnsi="Arial"/>
                <w:sz w:val="14"/>
                <w:szCs w:val="14"/>
                <w:b w:val="1"/>
                <w:bCs w:val="1"/>
                <w:color w:val="002453"/>
              </w:rPr>
              <w:t>Under Non-Equity</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jc w:val="right"/>
              <w:ind w:right="208"/>
              <w:spacing w:after="0" w:line="149" w:lineRule="exact"/>
              <w:rPr>
                <w:sz w:val="20"/>
                <w:szCs w:val="20"/>
                <w:color w:val="auto"/>
              </w:rPr>
            </w:pPr>
            <w:r>
              <w:rPr>
                <w:rFonts w:ascii="Arial" w:cs="Arial" w:eastAsia="Arial" w:hAnsi="Arial"/>
                <w:sz w:val="14"/>
                <w:szCs w:val="14"/>
                <w:b w:val="1"/>
                <w:bCs w:val="1"/>
                <w:color w:val="002453"/>
              </w:rPr>
              <w:t>Estimated Possible Payouts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Number of</w:t>
            </w:r>
          </w:p>
        </w:tc>
        <w:tc>
          <w:tcPr>
            <w:tcW w:w="140" w:type="dxa"/>
            <w:vAlign w:val="bottom"/>
          </w:tcPr>
          <w:p>
            <w:pPr>
              <w:spacing w:after="0"/>
              <w:rPr>
                <w:sz w:val="4"/>
                <w:szCs w:val="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w w:val="98"/>
              </w:rPr>
              <w:t>Fair Value</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5"/>
          </w:tcPr>
          <w:p>
            <w:pPr>
              <w:ind w:left="280"/>
              <w:spacing w:after="0" w:line="135" w:lineRule="exact"/>
              <w:rPr>
                <w:sz w:val="20"/>
                <w:szCs w:val="20"/>
                <w:color w:val="auto"/>
              </w:rPr>
            </w:pPr>
            <w:r>
              <w:rPr>
                <w:rFonts w:ascii="Arial" w:cs="Arial" w:eastAsia="Arial" w:hAnsi="Arial"/>
                <w:sz w:val="14"/>
                <w:szCs w:val="14"/>
                <w:b w:val="1"/>
                <w:bCs w:val="1"/>
                <w:color w:val="002453"/>
              </w:rPr>
              <w:t>Incentive Plan Awards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8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002453"/>
              </w:rPr>
              <w:t>Under Equity Incentive Plan Awards</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453"/>
              </w:rPr>
              <w:t>​</w:t>
            </w: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vMerge w:val="restart"/>
          </w:tcPr>
          <w:p>
            <w:pPr>
              <w:jc w:val="right"/>
              <w:spacing w:after="0" w:line="95" w:lineRule="exact"/>
              <w:rPr>
                <w:sz w:val="20"/>
                <w:szCs w:val="20"/>
                <w:color w:val="auto"/>
              </w:rPr>
            </w:pPr>
            <w:r>
              <w:rPr>
                <w:rFonts w:ascii="Arial" w:cs="Arial" w:eastAsia="Arial" w:hAnsi="Arial"/>
                <w:sz w:val="10"/>
                <w:szCs w:val="10"/>
                <w:b w:val="1"/>
                <w:bCs w:val="1"/>
                <w:color w:val="002453"/>
              </w:rPr>
              <w:t>​​</w:t>
            </w:r>
          </w:p>
        </w:tc>
        <w:tc>
          <w:tcPr>
            <w:tcW w:w="500" w:type="dxa"/>
            <w:vAlign w:val="bottom"/>
          </w:tcPr>
          <w:p>
            <w:pPr>
              <w:spacing w:after="0"/>
              <w:rPr>
                <w:sz w:val="4"/>
                <w:szCs w:val="4"/>
                <w:color w:val="auto"/>
              </w:rPr>
            </w:pPr>
          </w:p>
        </w:tc>
        <w:tc>
          <w:tcPr>
            <w:tcW w:w="80" w:type="dxa"/>
            <w:vAlign w:val="bottom"/>
            <w:vMerge w:val="restart"/>
          </w:tcPr>
          <w:p>
            <w:pPr>
              <w:spacing w:after="0" w:line="95" w:lineRule="exact"/>
              <w:rPr>
                <w:sz w:val="20"/>
                <w:szCs w:val="20"/>
                <w:color w:val="auto"/>
              </w:rPr>
            </w:pPr>
            <w:r>
              <w:rPr>
                <w:rFonts w:ascii="Arial" w:cs="Arial" w:eastAsia="Arial" w:hAnsi="Arial"/>
                <w:sz w:val="10"/>
                <w:szCs w:val="10"/>
                <w:b w:val="1"/>
                <w:bCs w:val="1"/>
                <w:color w:val="002453"/>
              </w:rPr>
              <w:t>​​​</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tcPr>
          <w:p>
            <w:pPr>
              <w:jc w:val="right"/>
              <w:spacing w:after="0"/>
              <w:rPr>
                <w:sz w:val="20"/>
                <w:szCs w:val="20"/>
                <w:color w:val="auto"/>
              </w:rPr>
            </w:pPr>
            <w:r>
              <w:rPr>
                <w:rFonts w:ascii="Arial" w:cs="Arial" w:eastAsia="Arial" w:hAnsi="Arial"/>
                <w:sz w:val="3"/>
                <w:szCs w:val="3"/>
                <w:b w:val="1"/>
                <w:bCs w:val="1"/>
                <w:color w:val="002453"/>
              </w:rPr>
              <w:t>​​</w:t>
            </w: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002453"/>
              </w:rPr>
              <w:t>Shares of</w:t>
            </w:r>
          </w:p>
        </w:tc>
        <w:tc>
          <w:tcPr>
            <w:tcW w:w="140" w:type="dxa"/>
            <w:vAlign w:val="bottom"/>
          </w:tcPr>
          <w:p>
            <w:pPr>
              <w:spacing w:after="0"/>
              <w:rPr>
                <w:sz w:val="4"/>
                <w:szCs w:val="4"/>
                <w:color w:val="auto"/>
              </w:rPr>
            </w:pPr>
          </w:p>
        </w:tc>
        <w:tc>
          <w:tcPr>
            <w:tcW w:w="70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002453"/>
              </w:rPr>
              <w:t>of Stock</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002453"/>
              </w:rPr>
              <w:t>Grant</w:t>
            </w:r>
          </w:p>
        </w:tc>
        <w:tc>
          <w:tcPr>
            <w:tcW w:w="80" w:type="dxa"/>
            <w:vAlign w:val="bottom"/>
            <w:vMerge w:val="continue"/>
          </w:tcPr>
          <w:p>
            <w:pPr>
              <w:spacing w:after="0" w:line="20" w:lineRule="exact"/>
              <w:rPr>
                <w:sz w:val="1"/>
                <w:szCs w:val="1"/>
                <w:color w:val="auto"/>
              </w:rPr>
            </w:pPr>
          </w:p>
        </w:tc>
        <w:tc>
          <w:tcPr>
            <w:tcW w:w="740" w:type="dxa"/>
            <w:vAlign w:val="bottom"/>
            <w:tcBorders>
              <w:top w:val="single" w:sz="8" w:color="00C08A"/>
            </w:tcBorders>
            <w:gridSpan w:val="2"/>
            <w:vMerge w:val="restart"/>
          </w:tcPr>
          <w:p>
            <w:pPr>
              <w:ind w:left="20"/>
              <w:spacing w:after="0"/>
              <w:rPr>
                <w:sz w:val="20"/>
                <w:szCs w:val="20"/>
                <w:color w:val="auto"/>
              </w:rPr>
            </w:pPr>
            <w:r>
              <w:rPr>
                <w:rFonts w:ascii="Arial" w:cs="Arial" w:eastAsia="Arial" w:hAnsi="Arial"/>
                <w:sz w:val="14"/>
                <w:szCs w:val="14"/>
                <w:b w:val="1"/>
                <w:bCs w:val="1"/>
                <w:color w:val="002453"/>
              </w:rPr>
              <w:t>Threshold</w:t>
            </w:r>
          </w:p>
        </w:tc>
        <w:tc>
          <w:tcPr>
            <w:tcW w:w="160" w:type="dxa"/>
            <w:vAlign w:val="bottom"/>
            <w:tcBorders>
              <w:top w:val="single" w:sz="8" w:color="00C08A"/>
            </w:tcBorders>
          </w:tcPr>
          <w:p>
            <w:pPr>
              <w:spacing w:after="0" w:line="20" w:lineRule="exact"/>
              <w:rPr>
                <w:sz w:val="1"/>
                <w:szCs w:val="1"/>
                <w:color w:val="auto"/>
              </w:rPr>
            </w:pPr>
          </w:p>
        </w:tc>
        <w:tc>
          <w:tcPr>
            <w:tcW w:w="600" w:type="dxa"/>
            <w:vAlign w:val="bottom"/>
            <w:tcBorders>
              <w:top w:val="single" w:sz="8" w:color="00C08A"/>
            </w:tcBorders>
            <w:vMerge w:val="restart"/>
          </w:tcPr>
          <w:p>
            <w:pPr>
              <w:jc w:val="right"/>
              <w:ind w:right="68"/>
              <w:spacing w:after="0"/>
              <w:rPr>
                <w:sz w:val="20"/>
                <w:szCs w:val="20"/>
                <w:color w:val="auto"/>
              </w:rPr>
            </w:pPr>
            <w:r>
              <w:rPr>
                <w:rFonts w:ascii="Arial" w:cs="Arial" w:eastAsia="Arial" w:hAnsi="Arial"/>
                <w:sz w:val="14"/>
                <w:szCs w:val="14"/>
                <w:b w:val="1"/>
                <w:bCs w:val="1"/>
                <w:color w:val="002453"/>
              </w:rPr>
              <w:t>Target</w:t>
            </w:r>
          </w:p>
        </w:tc>
        <w:tc>
          <w:tcPr>
            <w:tcW w:w="740" w:type="dxa"/>
            <w:vAlign w:val="bottom"/>
            <w:tcBorders>
              <w:top w:val="single" w:sz="8" w:color="00C08A"/>
            </w:tcBorders>
            <w:gridSpan w:val="2"/>
            <w:vMerge w:val="restart"/>
          </w:tcPr>
          <w:p>
            <w:pPr>
              <w:ind w:left="80"/>
              <w:spacing w:after="0"/>
              <w:rPr>
                <w:sz w:val="20"/>
                <w:szCs w:val="20"/>
                <w:color w:val="auto"/>
              </w:rPr>
            </w:pPr>
            <w:r>
              <w:rPr>
                <w:rFonts w:ascii="Arial" w:cs="Arial" w:eastAsia="Arial" w:hAnsi="Arial"/>
                <w:sz w:val="14"/>
                <w:szCs w:val="14"/>
                <w:b w:val="1"/>
                <w:bCs w:val="1"/>
                <w:color w:val="002453"/>
                <w:w w:val="99"/>
              </w:rPr>
              <w:t>Maximum</w:t>
            </w:r>
          </w:p>
        </w:tc>
        <w:tc>
          <w:tcPr>
            <w:tcW w:w="40" w:type="dxa"/>
            <w:vAlign w:val="bottom"/>
            <w:tcBorders>
              <w:top w:val="single" w:sz="8" w:color="00C08A"/>
            </w:tcBorders>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tcBorders>
              <w:top w:val="single" w:sz="8" w:color="00C08A"/>
            </w:tcBorders>
          </w:tcPr>
          <w:p>
            <w:pPr>
              <w:spacing w:after="0" w:line="20" w:lineRule="exact"/>
              <w:rPr>
                <w:sz w:val="1"/>
                <w:szCs w:val="1"/>
                <w:color w:val="auto"/>
              </w:rPr>
            </w:pPr>
          </w:p>
        </w:tc>
        <w:tc>
          <w:tcPr>
            <w:tcW w:w="760" w:type="dxa"/>
            <w:vAlign w:val="bottom"/>
            <w:tcBorders>
              <w:top w:val="single" w:sz="8" w:color="00C08A"/>
            </w:tcBorders>
            <w:vMerge w:val="restart"/>
          </w:tcPr>
          <w:p>
            <w:pPr>
              <w:spacing w:after="0"/>
              <w:rPr>
                <w:sz w:val="20"/>
                <w:szCs w:val="20"/>
                <w:color w:val="auto"/>
              </w:rPr>
            </w:pPr>
            <w:r>
              <w:rPr>
                <w:rFonts w:ascii="Arial" w:cs="Arial" w:eastAsia="Arial" w:hAnsi="Arial"/>
                <w:sz w:val="14"/>
                <w:szCs w:val="14"/>
                <w:b w:val="1"/>
                <w:bCs w:val="1"/>
                <w:color w:val="002453"/>
              </w:rPr>
              <w:t>Threshold</w:t>
            </w:r>
          </w:p>
        </w:tc>
        <w:tc>
          <w:tcPr>
            <w:tcW w:w="180" w:type="dxa"/>
            <w:vAlign w:val="bottom"/>
            <w:tcBorders>
              <w:top w:val="single" w:sz="8" w:color="00C08A"/>
            </w:tcBorders>
          </w:tcPr>
          <w:p>
            <w:pPr>
              <w:spacing w:after="0" w:line="20" w:lineRule="exact"/>
              <w:rPr>
                <w:sz w:val="1"/>
                <w:szCs w:val="1"/>
                <w:color w:val="auto"/>
              </w:rPr>
            </w:pPr>
          </w:p>
        </w:tc>
        <w:tc>
          <w:tcPr>
            <w:tcW w:w="500" w:type="dxa"/>
            <w:vAlign w:val="bottom"/>
            <w:tcBorders>
              <w:top w:val="single" w:sz="8" w:color="00C08A"/>
            </w:tcBorders>
            <w:vMerge w:val="restart"/>
          </w:tcPr>
          <w:p>
            <w:pPr>
              <w:jc w:val="center"/>
              <w:spacing w:after="0"/>
              <w:rPr>
                <w:sz w:val="20"/>
                <w:szCs w:val="20"/>
                <w:color w:val="auto"/>
              </w:rPr>
            </w:pPr>
            <w:r>
              <w:rPr>
                <w:rFonts w:ascii="Arial" w:cs="Arial" w:eastAsia="Arial" w:hAnsi="Arial"/>
                <w:sz w:val="14"/>
                <w:szCs w:val="14"/>
                <w:b w:val="1"/>
                <w:bCs w:val="1"/>
                <w:color w:val="002453"/>
                <w:w w:val="98"/>
              </w:rPr>
              <w:t>Target</w:t>
            </w:r>
          </w:p>
        </w:tc>
        <w:tc>
          <w:tcPr>
            <w:tcW w:w="180" w:type="dxa"/>
            <w:vAlign w:val="bottom"/>
            <w:tcBorders>
              <w:top w:val="single" w:sz="8" w:color="00C08A"/>
            </w:tcBorders>
          </w:tcPr>
          <w:p>
            <w:pPr>
              <w:spacing w:after="0" w:line="20" w:lineRule="exact"/>
              <w:rPr>
                <w:sz w:val="1"/>
                <w:szCs w:val="1"/>
                <w:color w:val="auto"/>
              </w:rPr>
            </w:pPr>
          </w:p>
        </w:tc>
        <w:tc>
          <w:tcPr>
            <w:tcW w:w="780" w:type="dxa"/>
            <w:vAlign w:val="bottom"/>
            <w:tcBorders>
              <w:top w:val="single" w:sz="8" w:color="00C08A"/>
            </w:tcBorders>
            <w:gridSpan w:val="2"/>
            <w:vMerge w:val="restart"/>
          </w:tcPr>
          <w:p>
            <w:pPr>
              <w:ind w:left="20"/>
              <w:spacing w:after="0"/>
              <w:rPr>
                <w:sz w:val="20"/>
                <w:szCs w:val="20"/>
                <w:color w:val="auto"/>
              </w:rPr>
            </w:pPr>
            <w:r>
              <w:rPr>
                <w:rFonts w:ascii="Arial" w:cs="Arial" w:eastAsia="Arial" w:hAnsi="Arial"/>
                <w:sz w:val="14"/>
                <w:szCs w:val="14"/>
                <w:b w:val="1"/>
                <w:bCs w:val="1"/>
                <w:color w:val="002453"/>
              </w:rPr>
              <w:t>Maximum</w:t>
            </w:r>
          </w:p>
        </w:tc>
        <w:tc>
          <w:tcPr>
            <w:tcW w:w="40" w:type="dxa"/>
            <w:vAlign w:val="bottom"/>
            <w:tcBorders>
              <w:top w:val="single" w:sz="8" w:color="00C08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Stock Units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002453"/>
                <w:w w:val="98"/>
              </w:rPr>
              <w:t>Awards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 and Type of Award</w:t>
            </w:r>
          </w:p>
        </w:tc>
        <w:tc>
          <w:tcPr>
            <w:tcW w:w="20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50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Date</w:t>
            </w:r>
          </w:p>
        </w:tc>
        <w:tc>
          <w:tcPr>
            <w:tcW w:w="180" w:type="dxa"/>
            <w:vAlign w:val="bottom"/>
            <w:tcBorders>
              <w:bottom w:val="single" w:sz="8" w:color="00C08A"/>
            </w:tcBorders>
            <w:gridSpan w:val="2"/>
          </w:tcPr>
          <w:p>
            <w:pPr>
              <w:jc w:val="right"/>
              <w:ind w:right="8"/>
              <w:spacing w:after="0"/>
              <w:rPr>
                <w:sz w:val="20"/>
                <w:szCs w:val="20"/>
                <w:color w:val="auto"/>
              </w:rPr>
            </w:pPr>
            <w:r>
              <w:rPr>
                <w:rFonts w:ascii="Arial" w:cs="Arial" w:eastAsia="Arial" w:hAnsi="Arial"/>
                <w:sz w:val="14"/>
                <w:szCs w:val="14"/>
                <w:b w:val="1"/>
                <w:bCs w:val="1"/>
                <w:color w:val="002453"/>
              </w:rPr>
              <w:t>​​</w:t>
            </w:r>
          </w:p>
        </w:tc>
        <w:tc>
          <w:tcPr>
            <w:tcW w:w="640" w:type="dxa"/>
            <w:vAlign w:val="bottom"/>
            <w:tcBorders>
              <w:bottom w:val="single" w:sz="8" w:color="00C08A"/>
            </w:tcBorders>
          </w:tcPr>
          <w:p>
            <w:pPr>
              <w:ind w:left="200"/>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600" w:type="dxa"/>
            <w:vAlign w:val="bottom"/>
            <w:tcBorders>
              <w:bottom w:val="single" w:sz="8" w:color="00C08A"/>
            </w:tcBorders>
          </w:tcPr>
          <w:p>
            <w:pPr>
              <w:jc w:val="right"/>
              <w:ind w:right="188"/>
              <w:spacing w:after="0"/>
              <w:rPr>
                <w:sz w:val="20"/>
                <w:szCs w:val="20"/>
                <w:color w:val="auto"/>
              </w:rPr>
            </w:pPr>
            <w:r>
              <w:rPr>
                <w:rFonts w:ascii="Arial" w:cs="Arial" w:eastAsia="Arial" w:hAnsi="Arial"/>
                <w:sz w:val="14"/>
                <w:szCs w:val="14"/>
                <w:b w:val="1"/>
                <w:bCs w:val="1"/>
                <w:color w:val="002453"/>
              </w:rPr>
              <w:t>($)</w:t>
            </w:r>
          </w:p>
        </w:tc>
        <w:tc>
          <w:tcPr>
            <w:tcW w:w="28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w:t>
            </w:r>
          </w:p>
        </w:tc>
        <w:tc>
          <w:tcPr>
            <w:tcW w:w="460" w:type="dxa"/>
            <w:vAlign w:val="bottom"/>
            <w:tcBorders>
              <w:bottom w:val="single" w:sz="8" w:color="00C08A"/>
            </w:tcBorders>
          </w:tcPr>
          <w:p>
            <w:pPr>
              <w:jc w:val="right"/>
              <w:ind w:right="148"/>
              <w:spacing w:after="0"/>
              <w:rPr>
                <w:sz w:val="20"/>
                <w:szCs w:val="20"/>
                <w:color w:val="auto"/>
              </w:rPr>
            </w:pPr>
            <w:r>
              <w:rPr>
                <w:rFonts w:ascii="Arial" w:cs="Arial" w:eastAsia="Arial" w:hAnsi="Arial"/>
                <w:sz w:val="14"/>
                <w:szCs w:val="14"/>
                <w:b w:val="1"/>
                <w:bCs w:val="1"/>
                <w:color w:val="002453"/>
              </w:rPr>
              <w:t>($)</w:t>
            </w:r>
          </w:p>
        </w:tc>
        <w:tc>
          <w:tcPr>
            <w:tcW w:w="40" w:type="dxa"/>
            <w:vAlign w:val="bottom"/>
            <w:tcBorders>
              <w:bottom w:val="single" w:sz="8" w:color="00C08A"/>
            </w:tcBorders>
          </w:tcPr>
          <w:p>
            <w:pPr>
              <w:spacing w:after="0"/>
              <w:rPr>
                <w:sz w:val="16"/>
                <w:szCs w:val="16"/>
                <w:color w:val="auto"/>
              </w:rPr>
            </w:pP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b w:val="1"/>
                <w:bCs w:val="1"/>
                <w:color w:val="002453"/>
              </w:rPr>
              <w:t>​​</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5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spacing w:after="0"/>
              <w:rPr>
                <w:sz w:val="16"/>
                <w:szCs w:val="16"/>
                <w:color w:val="auto"/>
              </w:rPr>
            </w:pPr>
          </w:p>
        </w:tc>
        <w:tc>
          <w:tcPr>
            <w:tcW w:w="620" w:type="dxa"/>
            <w:vAlign w:val="bottom"/>
            <w:tcBorders>
              <w:bottom w:val="single" w:sz="8" w:color="00C08A"/>
            </w:tcBorders>
          </w:tcPr>
          <w:p>
            <w:pPr>
              <w:jc w:val="right"/>
              <w:ind w:right="248"/>
              <w:spacing w:after="0"/>
              <w:rPr>
                <w:sz w:val="20"/>
                <w:szCs w:val="20"/>
                <w:color w:val="auto"/>
              </w:rPr>
            </w:pPr>
            <w:r>
              <w:rPr>
                <w:rFonts w:ascii="Arial" w:cs="Arial" w:eastAsia="Arial" w:hAnsi="Arial"/>
                <w:sz w:val="14"/>
                <w:szCs w:val="14"/>
                <w:b w:val="1"/>
                <w:bCs w:val="1"/>
                <w:color w:val="002453"/>
              </w:rPr>
              <w:t>(#)</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b w:val="1"/>
                <w:bCs w:val="1"/>
                <w:color w:val="002453"/>
              </w:rPr>
              <w:t>​​</w:t>
            </w:r>
          </w:p>
        </w:tc>
        <w:tc>
          <w:tcPr>
            <w:tcW w:w="8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w:t>
            </w:r>
          </w:p>
        </w:tc>
        <w:tc>
          <w:tcPr>
            <w:tcW w:w="14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80" w:type="dxa"/>
            <w:vAlign w:val="bottom"/>
            <w:tcBorders>
              <w:bottom w:val="single" w:sz="8" w:color="00C08A"/>
            </w:tcBorders>
          </w:tcPr>
          <w:p>
            <w:pPr>
              <w:spacing w:after="0"/>
              <w:rPr>
                <w:sz w:val="16"/>
                <w:szCs w:val="16"/>
                <w:color w:val="auto"/>
              </w:rPr>
            </w:pPr>
          </w:p>
        </w:tc>
        <w:tc>
          <w:tcPr>
            <w:tcW w:w="620" w:type="dxa"/>
            <w:vAlign w:val="bottom"/>
            <w:tcBorders>
              <w:bottom w:val="single" w:sz="8" w:color="00C08A"/>
            </w:tcBorders>
          </w:tcPr>
          <w:p>
            <w:pPr>
              <w:jc w:val="right"/>
              <w:ind w:right="88"/>
              <w:spacing w:after="0"/>
              <w:rPr>
                <w:sz w:val="20"/>
                <w:szCs w:val="20"/>
                <w:color w:val="auto"/>
              </w:rPr>
            </w:pPr>
            <w:r>
              <w:rPr>
                <w:rFonts w:ascii="Arial" w:cs="Arial" w:eastAsia="Arial" w:hAnsi="Arial"/>
                <w:sz w:val="14"/>
                <w:szCs w:val="14"/>
                <w:b w:val="1"/>
                <w:bCs w:val="1"/>
                <w:color w:val="002453"/>
              </w:rPr>
              <w:t>($)(2)</w:t>
            </w:r>
          </w:p>
        </w:tc>
        <w:tc>
          <w:tcPr>
            <w:tcW w:w="60" w:type="dxa"/>
            <w:vAlign w:val="bottom"/>
            <w:tcBorders>
              <w:bottom w:val="single" w:sz="8" w:color="00C08A"/>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Arial" w:cs="Arial" w:eastAsia="Arial" w:hAnsi="Arial"/>
                <w:sz w:val="14"/>
                <w:szCs w:val="14"/>
                <w:b w:val="1"/>
                <w:bCs w:val="1"/>
                <w:color w:val="auto"/>
              </w:rPr>
              <w:t>Douglas A. Cifu</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6,000,000</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80" w:type="dxa"/>
            <w:vAlign w:val="bottom"/>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shd w:val="clear" w:color="auto" w:fill="CCEEFF"/>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shd w:val="clear" w:color="auto" w:fill="CCEEFF"/>
          </w:tcPr>
          <w:p>
            <w:pPr>
              <w:spacing w:after="0"/>
              <w:rPr>
                <w:sz w:val="17"/>
                <w:szCs w:val="17"/>
                <w:color w:val="auto"/>
              </w:rPr>
            </w:pPr>
          </w:p>
        </w:tc>
        <w:tc>
          <w:tcPr>
            <w:tcW w:w="2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shd w:val="clear" w:color="auto" w:fill="CCEEFF"/>
          </w:tcPr>
          <w:p>
            <w:pPr>
              <w:spacing w:after="0"/>
              <w:rPr>
                <w:sz w:val="17"/>
                <w:szCs w:val="17"/>
                <w:color w:val="auto"/>
              </w:rPr>
            </w:pPr>
          </w:p>
        </w:tc>
        <w:tc>
          <w:tcPr>
            <w:tcW w:w="160" w:type="dxa"/>
            <w:vAlign w:val="bottom"/>
            <w:tcBorders>
              <w:bottom w:val="single" w:sz="8" w:color="00C08A"/>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150,000</w:t>
            </w:r>
          </w:p>
        </w:tc>
        <w:tc>
          <w:tcPr>
            <w:tcW w:w="12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C08A"/>
            </w:tcBorders>
            <w:gridSpan w:val="4"/>
            <w:shd w:val="clear" w:color="auto" w:fill="CCEEFF"/>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​2,527,500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shd w:val="clear" w:color="auto" w:fill="CCEEFF"/>
          </w:tcPr>
          <w:p>
            <w:pPr>
              <w:spacing w:after="0"/>
              <w:rPr>
                <w:sz w:val="4"/>
                <w:szCs w:val="4"/>
                <w:color w:val="auto"/>
              </w:rPr>
            </w:pP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tcPr>
          <w:p>
            <w:pPr>
              <w:spacing w:after="0"/>
              <w:rPr>
                <w:sz w:val="17"/>
                <w:szCs w:val="17"/>
                <w:color w:val="auto"/>
              </w:rPr>
            </w:pPr>
          </w:p>
        </w:tc>
        <w:tc>
          <w:tcPr>
            <w:tcW w:w="2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tcPr>
          <w:p>
            <w:pPr>
              <w:spacing w:after="0"/>
              <w:rPr>
                <w:sz w:val="17"/>
                <w:szCs w:val="17"/>
                <w:color w:val="auto"/>
              </w:rPr>
            </w:pPr>
          </w:p>
        </w:tc>
        <w:tc>
          <w:tcPr>
            <w:tcW w:w="160" w:type="dxa"/>
            <w:vAlign w:val="bottom"/>
            <w:tcBorders>
              <w:bottom w:val="single" w:sz="8" w:color="00C08A"/>
            </w:tcBorders>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C08A"/>
            </w:tcBorders>
            <w:gridSpan w:val="3"/>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​1,263,750</w:t>
            </w:r>
          </w:p>
        </w:tc>
        <w:tc>
          <w:tcPr>
            <w:tcW w:w="60" w:type="dxa"/>
            <w:vAlign w:val="bottom"/>
            <w:tcBorders>
              <w:bottom w:val="single" w:sz="8" w:color="00C08A"/>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Brett Fairclough</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80" w:type="dxa"/>
            <w:vAlign w:val="bottom"/>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shd w:val="clear" w:color="auto" w:fill="CCEEFF"/>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shd w:val="clear" w:color="auto" w:fill="CCEEFF"/>
          </w:tcPr>
          <w:p>
            <w:pPr>
              <w:spacing w:after="0"/>
              <w:rPr>
                <w:sz w:val="17"/>
                <w:szCs w:val="17"/>
                <w:color w:val="auto"/>
              </w:rPr>
            </w:pPr>
          </w:p>
        </w:tc>
        <w:tc>
          <w:tcPr>
            <w:tcW w:w="2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shd w:val="clear" w:color="auto" w:fill="CCEEFF"/>
          </w:tcPr>
          <w:p>
            <w:pPr>
              <w:spacing w:after="0"/>
              <w:rPr>
                <w:sz w:val="17"/>
                <w:szCs w:val="17"/>
                <w:color w:val="auto"/>
              </w:rPr>
            </w:pPr>
          </w:p>
        </w:tc>
        <w:tc>
          <w:tcPr>
            <w:tcW w:w="160" w:type="dxa"/>
            <w:vAlign w:val="bottom"/>
            <w:tcBorders>
              <w:bottom w:val="single" w:sz="8" w:color="00C08A"/>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C08A"/>
            </w:tcBorders>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C08A"/>
            </w:tcBorders>
            <w:gridSpan w:val="3"/>
            <w:shd w:val="clear" w:color="auto" w:fill="CCEEFF"/>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​1,263,750</w:t>
            </w:r>
          </w:p>
        </w:tc>
        <w:tc>
          <w:tcPr>
            <w:tcW w:w="60" w:type="dxa"/>
            <w:vAlign w:val="bottom"/>
            <w:tcBorders>
              <w:bottom w:val="single" w:sz="8" w:color="00C08A"/>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Stephen Cavoli</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3,000,000</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shd w:val="clear" w:color="auto" w:fill="CCEEFF"/>
          </w:tcPr>
          <w:p>
            <w:pPr>
              <w:spacing w:after="0"/>
              <w:rPr>
                <w:sz w:val="4"/>
                <w:szCs w:val="4"/>
                <w:color w:val="auto"/>
              </w:rPr>
            </w:pPr>
          </w:p>
        </w:tc>
        <w:tc>
          <w:tcPr>
            <w:tcW w:w="2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00C08A"/>
            </w:tcBorders>
          </w:tcPr>
          <w:p>
            <w:pPr>
              <w:spacing w:after="0"/>
              <w:rPr>
                <w:sz w:val="20"/>
                <w:szCs w:val="20"/>
                <w:color w:val="auto"/>
              </w:rPr>
            </w:pPr>
            <w:r>
              <w:rPr>
                <w:rFonts w:ascii="Arial" w:cs="Arial" w:eastAsia="Arial" w:hAnsi="Arial"/>
                <w:sz w:val="14"/>
                <w:szCs w:val="14"/>
                <w:i w:val="1"/>
                <w:iCs w:val="1"/>
                <w:color w:val="auto"/>
              </w:rPr>
              <w:t>Restricted Stock Units</w:t>
            </w:r>
          </w:p>
        </w:tc>
        <w:tc>
          <w:tcPr>
            <w:tcW w:w="880" w:type="dxa"/>
            <w:vAlign w:val="bottom"/>
            <w:tcBorders>
              <w:bottom w:val="single" w:sz="8" w:color="00C08A"/>
            </w:tcBorders>
            <w:gridSpan w:val="4"/>
          </w:tcPr>
          <w:p>
            <w:pPr>
              <w:jc w:val="right"/>
              <w:ind w:right="8"/>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​2/2/2024</w:t>
            </w:r>
            <w:r>
              <w:rPr>
                <w:rFonts w:ascii="Arial" w:cs="Arial" w:eastAsia="Arial" w:hAnsi="Arial"/>
                <w:sz w:val="23"/>
                <w:szCs w:val="23"/>
                <w:color w:val="auto"/>
                <w:vertAlign w:val="subscript"/>
              </w:rPr>
              <w:t>​​​</w:t>
            </w:r>
          </w:p>
        </w:tc>
        <w:tc>
          <w:tcPr>
            <w:tcW w:w="640" w:type="dxa"/>
            <w:vAlign w:val="bottom"/>
            <w:tcBorders>
              <w:bottom w:val="single" w:sz="8" w:color="00C08A"/>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bottom w:val="single" w:sz="8" w:color="00C08A"/>
            </w:tcBorders>
          </w:tcPr>
          <w:p>
            <w:pPr>
              <w:spacing w:after="0"/>
              <w:rPr>
                <w:sz w:val="17"/>
                <w:szCs w:val="17"/>
                <w:color w:val="auto"/>
              </w:rPr>
            </w:pPr>
          </w:p>
        </w:tc>
        <w:tc>
          <w:tcPr>
            <w:tcW w:w="280" w:type="dxa"/>
            <w:vAlign w:val="bottom"/>
            <w:tcBorders>
              <w:bottom w:val="single" w:sz="8" w:color="00C08A"/>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08A"/>
            </w:tcBorders>
          </w:tcPr>
          <w:p>
            <w:pPr>
              <w:spacing w:after="0"/>
              <w:rPr>
                <w:sz w:val="17"/>
                <w:szCs w:val="17"/>
                <w:color w:val="auto"/>
              </w:rPr>
            </w:pPr>
          </w:p>
        </w:tc>
        <w:tc>
          <w:tcPr>
            <w:tcW w:w="160" w:type="dxa"/>
            <w:vAlign w:val="bottom"/>
            <w:tcBorders>
              <w:bottom w:val="single" w:sz="8" w:color="00C08A"/>
            </w:tcBorders>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08A"/>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C08A"/>
            </w:tcBorders>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C08A"/>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C08A"/>
            </w:tcBorders>
            <w:gridSpan w:val="3"/>
          </w:tcPr>
          <w:p>
            <w:pPr>
              <w:ind w:left="4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​1,263,750</w:t>
            </w:r>
          </w:p>
        </w:tc>
        <w:tc>
          <w:tcPr>
            <w:tcW w:w="60" w:type="dxa"/>
            <w:vAlign w:val="bottom"/>
            <w:tcBorders>
              <w:bottom w:val="single" w:sz="8" w:color="00C08A"/>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color w:val="auto"/>
              </w:rPr>
              <w:t>Cindy Lee</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4"/>
                <w:szCs w:val="14"/>
                <w:i w:val="1"/>
                <w:iCs w:val="1"/>
                <w:color w:val="auto"/>
              </w:rPr>
              <w:t>Annual Bonus(1)</w:t>
            </w:r>
          </w:p>
        </w:tc>
        <w:tc>
          <w:tcPr>
            <w:tcW w:w="200" w:type="dxa"/>
            <w:vAlign w:val="bottom"/>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i w:val="1"/>
                <w:i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i w:val="1"/>
                <w:i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i w:val="1"/>
                <w:i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i w:val="1"/>
                <w:i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Restricted Stock Units</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35,000</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947,800</w:t>
            </w:r>
          </w:p>
        </w:tc>
        <w:tc>
          <w:tcPr>
            <w:tcW w:w="60" w:type="dxa"/>
            <w:vAlign w:val="bottom"/>
            <w:shd w:val="clear" w:color="auto" w:fill="CCEEFF"/>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780" w:type="dxa"/>
            <w:vAlign w:val="bottom"/>
            <w:tcBorders>
              <w:bottom w:val="single" w:sz="8" w:color="00C08A"/>
            </w:tcBorders>
            <w:shd w:val="clear" w:color="auto" w:fill="CCEEFF"/>
          </w:tcPr>
          <w:p>
            <w:pPr>
              <w:spacing w:after="0"/>
              <w:rPr>
                <w:sz w:val="4"/>
                <w:szCs w:val="4"/>
                <w:color w:val="auto"/>
              </w:rPr>
            </w:pPr>
          </w:p>
        </w:tc>
        <w:tc>
          <w:tcPr>
            <w:tcW w:w="200" w:type="dxa"/>
            <w:vAlign w:val="bottom"/>
            <w:tcBorders>
              <w:bottom w:val="single" w:sz="8" w:color="00C08A"/>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500" w:type="dxa"/>
            <w:vAlign w:val="bottom"/>
            <w:tcBorders>
              <w:bottom w:val="single" w:sz="8" w:color="00C08A"/>
            </w:tcBorders>
            <w:shd w:val="clear" w:color="auto" w:fill="CCEEFF"/>
          </w:tcPr>
          <w:p>
            <w:pPr>
              <w:spacing w:after="0"/>
              <w:rPr>
                <w:sz w:val="4"/>
                <w:szCs w:val="4"/>
                <w:color w:val="auto"/>
              </w:rPr>
            </w:pPr>
          </w:p>
        </w:tc>
        <w:tc>
          <w:tcPr>
            <w:tcW w:w="180" w:type="dxa"/>
            <w:vAlign w:val="bottom"/>
            <w:tcBorders>
              <w:bottom w:val="single" w:sz="8" w:color="00C08A"/>
            </w:tcBorders>
            <w:gridSpan w:val="2"/>
            <w:vMerge w:val="continue"/>
            <w:shd w:val="clear" w:color="auto" w:fill="CCEEFF"/>
          </w:tcPr>
          <w:p>
            <w:pPr>
              <w:spacing w:after="0"/>
              <w:rPr>
                <w:sz w:val="4"/>
                <w:szCs w:val="4"/>
                <w:color w:val="auto"/>
              </w:rPr>
            </w:pPr>
          </w:p>
        </w:tc>
        <w:tc>
          <w:tcPr>
            <w:tcW w:w="640" w:type="dxa"/>
            <w:vAlign w:val="bottom"/>
            <w:tcBorders>
              <w:bottom w:val="single" w:sz="8" w:color="00C08A"/>
            </w:tcBorders>
            <w:vMerge w:val="continue"/>
            <w:shd w:val="clear" w:color="auto" w:fill="CCEEFF"/>
          </w:tcPr>
          <w:p>
            <w:pPr>
              <w:spacing w:after="0"/>
              <w:rPr>
                <w:sz w:val="4"/>
                <w:szCs w:val="4"/>
                <w:color w:val="auto"/>
              </w:rPr>
            </w:pPr>
          </w:p>
        </w:tc>
        <w:tc>
          <w:tcPr>
            <w:tcW w:w="160" w:type="dxa"/>
            <w:vAlign w:val="bottom"/>
            <w:tcBorders>
              <w:bottom w:val="single" w:sz="8" w:color="00C08A"/>
            </w:tcBorders>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00C08A"/>
            </w:tcBorders>
            <w:shd w:val="clear" w:color="auto" w:fill="CCEEFF"/>
          </w:tcPr>
          <w:p>
            <w:pPr>
              <w:spacing w:after="0"/>
              <w:rPr>
                <w:sz w:val="4"/>
                <w:szCs w:val="4"/>
                <w:color w:val="auto"/>
              </w:rPr>
            </w:pPr>
          </w:p>
        </w:tc>
        <w:tc>
          <w:tcPr>
            <w:tcW w:w="280" w:type="dxa"/>
            <w:vAlign w:val="bottom"/>
            <w:tcBorders>
              <w:bottom w:val="single" w:sz="8" w:color="00C08A"/>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Borders>
              <w:bottom w:val="single" w:sz="8" w:color="00C08A"/>
            </w:tcBorders>
            <w:shd w:val="clear" w:color="auto" w:fill="CCEEFF"/>
          </w:tcPr>
          <w:p>
            <w:pPr>
              <w:spacing w:after="0"/>
              <w:rPr>
                <w:sz w:val="4"/>
                <w:szCs w:val="4"/>
                <w:color w:val="auto"/>
              </w:rPr>
            </w:pPr>
          </w:p>
        </w:tc>
        <w:tc>
          <w:tcPr>
            <w:tcW w:w="160" w:type="dxa"/>
            <w:vAlign w:val="bottom"/>
            <w:tcBorders>
              <w:bottom w:val="single" w:sz="8" w:color="00C08A"/>
            </w:tcBorders>
            <w:gridSpan w:val="3"/>
            <w:vMerge w:val="continue"/>
            <w:shd w:val="clear" w:color="auto" w:fill="CCEEFF"/>
          </w:tcPr>
          <w:p>
            <w:pPr>
              <w:spacing w:after="0"/>
              <w:rPr>
                <w:sz w:val="4"/>
                <w:szCs w:val="4"/>
                <w:color w:val="auto"/>
              </w:rPr>
            </w:pPr>
          </w:p>
        </w:tc>
        <w:tc>
          <w:tcPr>
            <w:tcW w:w="760" w:type="dxa"/>
            <w:vAlign w:val="bottom"/>
            <w:tcBorders>
              <w:bottom w:val="single" w:sz="8" w:color="00C08A"/>
            </w:tcBorders>
            <w:vMerge w:val="continue"/>
            <w:shd w:val="clear" w:color="auto" w:fill="CCEEFF"/>
          </w:tcPr>
          <w:p>
            <w:pPr>
              <w:spacing w:after="0"/>
              <w:rPr>
                <w:sz w:val="4"/>
                <w:szCs w:val="4"/>
                <w:color w:val="auto"/>
              </w:rPr>
            </w:pPr>
          </w:p>
        </w:tc>
        <w:tc>
          <w:tcPr>
            <w:tcW w:w="180" w:type="dxa"/>
            <w:vAlign w:val="bottom"/>
            <w:tcBorders>
              <w:bottom w:val="single" w:sz="8" w:color="00C08A"/>
            </w:tcBorders>
            <w:vMerge w:val="continue"/>
            <w:shd w:val="clear" w:color="auto" w:fill="CCEEFF"/>
          </w:tcPr>
          <w:p>
            <w:pPr>
              <w:spacing w:after="0"/>
              <w:rPr>
                <w:sz w:val="4"/>
                <w:szCs w:val="4"/>
                <w:color w:val="auto"/>
              </w:rPr>
            </w:pPr>
          </w:p>
        </w:tc>
        <w:tc>
          <w:tcPr>
            <w:tcW w:w="500" w:type="dxa"/>
            <w:vAlign w:val="bottom"/>
            <w:tcBorders>
              <w:bottom w:val="single" w:sz="8" w:color="00C08A"/>
            </w:tcBorders>
            <w:vMerge w:val="continue"/>
            <w:shd w:val="clear" w:color="auto" w:fill="CCEEFF"/>
          </w:tcPr>
          <w:p>
            <w:pPr>
              <w:spacing w:after="0"/>
              <w:rPr>
                <w:sz w:val="4"/>
                <w:szCs w:val="4"/>
                <w:color w:val="auto"/>
              </w:rPr>
            </w:pPr>
          </w:p>
        </w:tc>
        <w:tc>
          <w:tcPr>
            <w:tcW w:w="180" w:type="dxa"/>
            <w:vAlign w:val="bottom"/>
            <w:tcBorders>
              <w:bottom w:val="single" w:sz="8" w:color="00C08A"/>
            </w:tcBorders>
            <w:vMerge w:val="continue"/>
            <w:shd w:val="clear" w:color="auto" w:fill="CCEEFF"/>
          </w:tcPr>
          <w:p>
            <w:pPr>
              <w:spacing w:after="0"/>
              <w:rPr>
                <w:sz w:val="4"/>
                <w:szCs w:val="4"/>
                <w:color w:val="auto"/>
              </w:rPr>
            </w:pPr>
          </w:p>
        </w:tc>
        <w:tc>
          <w:tcPr>
            <w:tcW w:w="160" w:type="dxa"/>
            <w:vAlign w:val="bottom"/>
            <w:tcBorders>
              <w:bottom w:val="single" w:sz="8" w:color="00C08A"/>
            </w:tcBorders>
            <w:shd w:val="clear" w:color="auto" w:fill="CCEEFF"/>
          </w:tcPr>
          <w:p>
            <w:pPr>
              <w:spacing w:after="0"/>
              <w:rPr>
                <w:sz w:val="4"/>
                <w:szCs w:val="4"/>
                <w:color w:val="auto"/>
              </w:rPr>
            </w:pPr>
          </w:p>
        </w:tc>
        <w:tc>
          <w:tcPr>
            <w:tcW w:w="620" w:type="dxa"/>
            <w:vAlign w:val="bottom"/>
            <w:tcBorders>
              <w:bottom w:val="single" w:sz="8" w:color="00C08A"/>
            </w:tcBorders>
            <w:shd w:val="clear" w:color="auto" w:fill="CCEEFF"/>
          </w:tcPr>
          <w:p>
            <w:pPr>
              <w:spacing w:after="0"/>
              <w:rPr>
                <w:sz w:val="4"/>
                <w:szCs w:val="4"/>
                <w:color w:val="auto"/>
              </w:rPr>
            </w:pPr>
          </w:p>
        </w:tc>
        <w:tc>
          <w:tcPr>
            <w:tcW w:w="120" w:type="dxa"/>
            <w:vAlign w:val="bottom"/>
            <w:tcBorders>
              <w:bottom w:val="single" w:sz="8" w:color="00C08A"/>
            </w:tcBorders>
            <w:gridSpan w:val="2"/>
            <w:vMerge w:val="continue"/>
            <w:shd w:val="clear" w:color="auto" w:fill="CCEEFF"/>
          </w:tcPr>
          <w:p>
            <w:pPr>
              <w:spacing w:after="0"/>
              <w:rPr>
                <w:sz w:val="4"/>
                <w:szCs w:val="4"/>
                <w:color w:val="auto"/>
              </w:rPr>
            </w:pPr>
          </w:p>
        </w:tc>
        <w:tc>
          <w:tcPr>
            <w:tcW w:w="800" w:type="dxa"/>
            <w:vAlign w:val="bottom"/>
            <w:tcBorders>
              <w:bottom w:val="single" w:sz="8" w:color="00C08A"/>
            </w:tcBorders>
            <w:vMerge w:val="continue"/>
            <w:shd w:val="clear" w:color="auto" w:fill="CCEEFF"/>
          </w:tcPr>
          <w:p>
            <w:pPr>
              <w:spacing w:after="0"/>
              <w:rPr>
                <w:sz w:val="4"/>
                <w:szCs w:val="4"/>
                <w:color w:val="auto"/>
              </w:rPr>
            </w:pPr>
          </w:p>
        </w:tc>
        <w:tc>
          <w:tcPr>
            <w:tcW w:w="140" w:type="dxa"/>
            <w:vAlign w:val="bottom"/>
            <w:tcBorders>
              <w:bottom w:val="single" w:sz="8" w:color="00C08A"/>
            </w:tcBorders>
            <w:vMerge w:val="continue"/>
            <w:shd w:val="clear" w:color="auto" w:fill="CCEEFF"/>
          </w:tcPr>
          <w:p>
            <w:pPr>
              <w:spacing w:after="0"/>
              <w:rPr>
                <w:sz w:val="4"/>
                <w:szCs w:val="4"/>
                <w:color w:val="auto"/>
              </w:rPr>
            </w:pPr>
          </w:p>
        </w:tc>
        <w:tc>
          <w:tcPr>
            <w:tcW w:w="80" w:type="dxa"/>
            <w:vAlign w:val="bottom"/>
            <w:tcBorders>
              <w:bottom w:val="single" w:sz="8" w:color="00C08A"/>
            </w:tcBorders>
            <w:shd w:val="clear" w:color="auto" w:fill="CCEEFF"/>
          </w:tcPr>
          <w:p>
            <w:pPr>
              <w:spacing w:after="0"/>
              <w:rPr>
                <w:sz w:val="4"/>
                <w:szCs w:val="4"/>
                <w:color w:val="auto"/>
              </w:rPr>
            </w:pPr>
          </w:p>
        </w:tc>
        <w:tc>
          <w:tcPr>
            <w:tcW w:w="620" w:type="dxa"/>
            <w:vAlign w:val="bottom"/>
            <w:tcBorders>
              <w:bottom w:val="single" w:sz="8" w:color="00C08A"/>
            </w:tcBorders>
            <w:shd w:val="clear" w:color="auto" w:fill="CCEEFF"/>
          </w:tcPr>
          <w:p>
            <w:pPr>
              <w:spacing w:after="0"/>
              <w:rPr>
                <w:sz w:val="4"/>
                <w:szCs w:val="4"/>
                <w:color w:val="auto"/>
              </w:rPr>
            </w:pPr>
          </w:p>
        </w:tc>
        <w:tc>
          <w:tcPr>
            <w:tcW w:w="60" w:type="dxa"/>
            <w:vAlign w:val="bottom"/>
            <w:tcBorders>
              <w:bottom w:val="single" w:sz="8" w:color="00C08A"/>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Arial" w:cs="Arial" w:eastAsia="Arial" w:hAnsi="Arial"/>
                <w:sz w:val="14"/>
                <w:szCs w:val="14"/>
                <w:b w:val="1"/>
                <w:bCs w:val="1"/>
                <w:i w:val="1"/>
                <w:iCs w:val="1"/>
                <w:color w:val="auto"/>
              </w:rPr>
              <w:t>Sean Galvin</w:t>
            </w:r>
          </w:p>
        </w:tc>
        <w:tc>
          <w:tcPr>
            <w:tcW w:w="2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46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w:t>
            </w:r>
          </w:p>
        </w:tc>
        <w:tc>
          <w:tcPr>
            <w:tcW w:w="6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Annual Bonus(1)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5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w:t>
            </w:r>
          </w:p>
        </w:tc>
        <w:tc>
          <w:tcPr>
            <w:tcW w:w="64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tc>
        <w:tc>
          <w:tcPr>
            <w:tcW w:w="4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i w:val="1"/>
                <w:iCs w:val="1"/>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i w:val="1"/>
                <w:i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b w:val="1"/>
                <w:bCs w:val="1"/>
                <w:i w:val="1"/>
                <w:iCs w:val="1"/>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i w:val="1"/>
                <w:iCs w:val="1"/>
                <w:color w:val="auto"/>
              </w:rPr>
              <w:t>Restricted Stock Units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 ​</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4"/>
        </w:trPr>
        <w:tc>
          <w:tcPr>
            <w:tcW w:w="1780" w:type="dxa"/>
            <w:vAlign w:val="bottom"/>
            <w:tcBorders>
              <w:bottom w:val="single" w:sz="8" w:color="00C08A"/>
            </w:tcBorders>
            <w:vMerge w:val="continue"/>
          </w:tcPr>
          <w:p>
            <w:pPr>
              <w:spacing w:after="0"/>
              <w:rPr>
                <w:sz w:val="8"/>
                <w:szCs w:val="8"/>
                <w:color w:val="auto"/>
              </w:rPr>
            </w:pPr>
          </w:p>
        </w:tc>
        <w:tc>
          <w:tcPr>
            <w:tcW w:w="200" w:type="dxa"/>
            <w:vAlign w:val="bottom"/>
            <w:tcBorders>
              <w:bottom w:val="single" w:sz="8" w:color="00C08A"/>
            </w:tcBorders>
          </w:tcPr>
          <w:p>
            <w:pPr>
              <w:jc w:val="right"/>
              <w:spacing w:after="0" w:line="95"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gridSpan w:val="2"/>
            <w:vMerge w:val="continue"/>
          </w:tcPr>
          <w:p>
            <w:pPr>
              <w:spacing w:after="0"/>
              <w:rPr>
                <w:sz w:val="8"/>
                <w:szCs w:val="8"/>
                <w:color w:val="auto"/>
              </w:rPr>
            </w:pPr>
          </w:p>
        </w:tc>
        <w:tc>
          <w:tcPr>
            <w:tcW w:w="640" w:type="dxa"/>
            <w:vAlign w:val="bottom"/>
            <w:tcBorders>
              <w:bottom w:val="single" w:sz="8" w:color="00C08A"/>
            </w:tcBorders>
          </w:tcPr>
          <w:p>
            <w:pPr>
              <w:spacing w:after="0"/>
              <w:rPr>
                <w:sz w:val="8"/>
                <w:szCs w:val="8"/>
                <w:color w:val="auto"/>
              </w:rPr>
            </w:pPr>
          </w:p>
        </w:tc>
        <w:tc>
          <w:tcPr>
            <w:tcW w:w="160" w:type="dxa"/>
            <w:vAlign w:val="bottom"/>
            <w:tcBorders>
              <w:bottom w:val="single" w:sz="8" w:color="00C08A"/>
            </w:tcBorders>
          </w:tcPr>
          <w:p>
            <w:pPr>
              <w:jc w:val="right"/>
              <w:spacing w:after="0" w:line="9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C08A"/>
            </w:tcBorders>
          </w:tcPr>
          <w:p>
            <w:pPr>
              <w:spacing w:after="0"/>
              <w:rPr>
                <w:sz w:val="8"/>
                <w:szCs w:val="8"/>
                <w:color w:val="auto"/>
              </w:rPr>
            </w:pPr>
          </w:p>
        </w:tc>
        <w:tc>
          <w:tcPr>
            <w:tcW w:w="280" w:type="dxa"/>
            <w:vAlign w:val="bottom"/>
            <w:tcBorders>
              <w:bottom w:val="single" w:sz="8" w:color="00C08A"/>
            </w:tcBorders>
          </w:tcPr>
          <w:p>
            <w:pPr>
              <w:spacing w:after="0" w:line="9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C08A"/>
            </w:tcBorders>
          </w:tcPr>
          <w:p>
            <w:pPr>
              <w:spacing w:after="0"/>
              <w:rPr>
                <w:sz w:val="8"/>
                <w:szCs w:val="8"/>
                <w:color w:val="auto"/>
              </w:rPr>
            </w:pPr>
          </w:p>
        </w:tc>
        <w:tc>
          <w:tcPr>
            <w:tcW w:w="160" w:type="dxa"/>
            <w:vAlign w:val="bottom"/>
            <w:tcBorders>
              <w:bottom w:val="single" w:sz="8" w:color="00C08A"/>
            </w:tcBorders>
            <w:gridSpan w:val="3"/>
            <w:vMerge w:val="continue"/>
          </w:tcPr>
          <w:p>
            <w:pPr>
              <w:spacing w:after="0"/>
              <w:rPr>
                <w:sz w:val="8"/>
                <w:szCs w:val="8"/>
                <w:color w:val="auto"/>
              </w:rPr>
            </w:pPr>
          </w:p>
        </w:tc>
        <w:tc>
          <w:tcPr>
            <w:tcW w:w="76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vMerge w:val="continue"/>
          </w:tcPr>
          <w:p>
            <w:pPr>
              <w:spacing w:after="0"/>
              <w:rPr>
                <w:sz w:val="8"/>
                <w:szCs w:val="8"/>
                <w:color w:val="auto"/>
              </w:rPr>
            </w:pPr>
          </w:p>
        </w:tc>
        <w:tc>
          <w:tcPr>
            <w:tcW w:w="500" w:type="dxa"/>
            <w:vAlign w:val="bottom"/>
            <w:tcBorders>
              <w:bottom w:val="single" w:sz="8" w:color="00C08A"/>
            </w:tcBorders>
          </w:tcPr>
          <w:p>
            <w:pPr>
              <w:spacing w:after="0"/>
              <w:rPr>
                <w:sz w:val="8"/>
                <w:szCs w:val="8"/>
                <w:color w:val="auto"/>
              </w:rPr>
            </w:pPr>
          </w:p>
        </w:tc>
        <w:tc>
          <w:tcPr>
            <w:tcW w:w="180" w:type="dxa"/>
            <w:vAlign w:val="bottom"/>
            <w:tcBorders>
              <w:bottom w:val="single" w:sz="8" w:color="00C08A"/>
            </w:tcBorders>
            <w:vMerge w:val="continue"/>
          </w:tcPr>
          <w:p>
            <w:pPr>
              <w:spacing w:after="0"/>
              <w:rPr>
                <w:sz w:val="8"/>
                <w:szCs w:val="8"/>
                <w:color w:val="auto"/>
              </w:rPr>
            </w:pPr>
          </w:p>
        </w:tc>
        <w:tc>
          <w:tcPr>
            <w:tcW w:w="160" w:type="dxa"/>
            <w:vAlign w:val="bottom"/>
            <w:tcBorders>
              <w:bottom w:val="single" w:sz="8" w:color="00C08A"/>
            </w:tcBorders>
          </w:tcPr>
          <w:p>
            <w:pPr>
              <w:ind w:left="100"/>
              <w:spacing w:after="0" w:line="9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C08A"/>
            </w:tcBorders>
          </w:tcPr>
          <w:p>
            <w:pPr>
              <w:spacing w:after="0"/>
              <w:rPr>
                <w:sz w:val="8"/>
                <w:szCs w:val="8"/>
                <w:color w:val="auto"/>
              </w:rPr>
            </w:pPr>
          </w:p>
        </w:tc>
        <w:tc>
          <w:tcPr>
            <w:tcW w:w="120" w:type="dxa"/>
            <w:vAlign w:val="bottom"/>
            <w:tcBorders>
              <w:bottom w:val="single" w:sz="8" w:color="00C08A"/>
            </w:tcBorders>
            <w:gridSpan w:val="2"/>
            <w:vMerge w:val="continue"/>
          </w:tcPr>
          <w:p>
            <w:pPr>
              <w:spacing w:after="0"/>
              <w:rPr>
                <w:sz w:val="8"/>
                <w:szCs w:val="8"/>
                <w:color w:val="auto"/>
              </w:rPr>
            </w:pPr>
          </w:p>
        </w:tc>
        <w:tc>
          <w:tcPr>
            <w:tcW w:w="800" w:type="dxa"/>
            <w:vAlign w:val="bottom"/>
            <w:tcBorders>
              <w:bottom w:val="single" w:sz="8" w:color="00C08A"/>
            </w:tcBorders>
          </w:tcPr>
          <w:p>
            <w:pPr>
              <w:spacing w:after="0"/>
              <w:rPr>
                <w:sz w:val="8"/>
                <w:szCs w:val="8"/>
                <w:color w:val="auto"/>
              </w:rPr>
            </w:pPr>
          </w:p>
        </w:tc>
        <w:tc>
          <w:tcPr>
            <w:tcW w:w="220" w:type="dxa"/>
            <w:vAlign w:val="bottom"/>
            <w:tcBorders>
              <w:bottom w:val="single" w:sz="8" w:color="00C08A"/>
            </w:tcBorders>
            <w:gridSpan w:val="2"/>
          </w:tcPr>
          <w:p>
            <w:pPr>
              <w:ind w:left="40"/>
              <w:spacing w:after="0" w:line="95" w:lineRule="exact"/>
              <w:rPr>
                <w:sz w:val="20"/>
                <w:szCs w:val="20"/>
                <w:color w:val="auto"/>
              </w:rPr>
            </w:pPr>
            <w:r>
              <w:rPr>
                <w:rFonts w:ascii="Arial" w:cs="Arial" w:eastAsia="Arial" w:hAnsi="Arial"/>
                <w:sz w:val="10"/>
                <w:szCs w:val="10"/>
                <w:color w:val="auto"/>
              </w:rPr>
              <w:t>​​ ​</w:t>
            </w:r>
          </w:p>
        </w:tc>
        <w:tc>
          <w:tcPr>
            <w:tcW w:w="620" w:type="dxa"/>
            <w:vAlign w:val="bottom"/>
            <w:tcBorders>
              <w:bottom w:val="single" w:sz="8" w:color="00C08A"/>
            </w:tcBorders>
          </w:tcPr>
          <w:p>
            <w:pPr>
              <w:spacing w:after="0"/>
              <w:rPr>
                <w:sz w:val="8"/>
                <w:szCs w:val="8"/>
                <w:color w:val="auto"/>
              </w:rPr>
            </w:pPr>
          </w:p>
        </w:tc>
        <w:tc>
          <w:tcPr>
            <w:tcW w:w="60" w:type="dxa"/>
            <w:vAlign w:val="bottom"/>
            <w:tcBorders>
              <w:bottom w:val="single" w:sz="8" w:color="00C08A"/>
            </w:tcBorders>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-2407920</wp:posOffset>
            </wp:positionV>
            <wp:extent cx="582930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1460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-1610995</wp:posOffset>
            </wp:positionV>
            <wp:extent cx="582930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1371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-822325</wp:posOffset>
            </wp:positionV>
            <wp:extent cx="582930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8" w:lineRule="exact"/>
        <w:rPr>
          <w:sz w:val="20"/>
          <w:szCs w:val="20"/>
          <w:color w:val="auto"/>
        </w:rPr>
      </w:pPr>
    </w:p>
    <w:p>
      <w:pPr>
        <w:ind w:left="980" w:right="360" w:hanging="218"/>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Messrs. Cifu, Molluso, Fairclough and Cavoli, this bonus, to the extent earned, is settled 50% in cash, 30% in restricted stock units that vest in three equal annual installments and 20% in fully vested common stock, subject to any deferrals (see “Employee Benefits and Perquisites” on page 28 of this proxy statement). For Ms. Lee and Mr. Galvin, this bonus, to the extent earned, is fully discretionary.</w:t>
      </w:r>
    </w:p>
    <w:p>
      <w:pPr>
        <w:spacing w:after="0" w:line="85" w:lineRule="exact"/>
        <w:rPr>
          <w:rFonts w:ascii="Arial" w:cs="Arial" w:eastAsia="Arial" w:hAnsi="Arial"/>
          <w:sz w:val="14"/>
          <w:szCs w:val="14"/>
          <w:color w:val="auto"/>
        </w:rPr>
      </w:pPr>
    </w:p>
    <w:p>
      <w:pPr>
        <w:ind w:left="980" w:right="140" w:hanging="218"/>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Assumptions used in calculating these amounts are described in Note 18 of the Company’s audited financial statements for the fiscal year ended December 31, 2024, included in our Annual Report on Form 10-K for the fiscal year ended December 31, 2024.</w:t>
      </w:r>
    </w:p>
    <w:p>
      <w:pPr>
        <w:spacing w:after="0" w:line="144" w:lineRule="exact"/>
        <w:rPr>
          <w:sz w:val="20"/>
          <w:szCs w:val="20"/>
          <w:color w:val="auto"/>
        </w:rPr>
      </w:pPr>
    </w:p>
    <w:p>
      <w:pPr>
        <w:ind w:left="3320"/>
        <w:spacing w:after="0"/>
        <w:rPr>
          <w:sz w:val="20"/>
          <w:szCs w:val="20"/>
          <w:color w:val="auto"/>
        </w:rPr>
      </w:pPr>
      <w:r>
        <w:rPr>
          <w:rFonts w:ascii="Arial" w:cs="Arial" w:eastAsia="Arial" w:hAnsi="Arial"/>
          <w:sz w:val="29"/>
          <w:szCs w:val="29"/>
          <w:color w:val="00C08A"/>
        </w:rPr>
        <w:t>PAY VERSUS PERFORMANCE</w:t>
      </w:r>
    </w:p>
    <w:p>
      <w:pPr>
        <w:spacing w:after="0" w:line="112" w:lineRule="exact"/>
        <w:rPr>
          <w:sz w:val="20"/>
          <w:szCs w:val="20"/>
          <w:color w:val="auto"/>
        </w:rPr>
      </w:pPr>
    </w:p>
    <w:p>
      <w:pPr>
        <w:ind w:left="760" w:right="420"/>
        <w:spacing w:after="0" w:line="273" w:lineRule="auto"/>
        <w:rPr>
          <w:sz w:val="20"/>
          <w:szCs w:val="20"/>
          <w:color w:val="auto"/>
        </w:rPr>
      </w:pPr>
      <w:r>
        <w:rPr>
          <w:rFonts w:ascii="Arial" w:cs="Arial" w:eastAsia="Arial" w:hAnsi="Arial"/>
          <w:sz w:val="18"/>
          <w:szCs w:val="18"/>
          <w:color w:val="auto"/>
        </w:rPr>
        <w:t>The following table presents information required by Item 402(v) of Regulation S-K. For information regarding the Company’s pay-for-performance philosophy and how the Company aligns executive compensation with the Company’s performance, please refer above to “Executive Compensation — Compensation Discussion and Analysis.”</w:t>
      </w:r>
    </w:p>
    <w:p>
      <w:pPr>
        <w:spacing w:after="0" w:line="71"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jc w:val="center"/>
              <w:ind w:left="18"/>
              <w:spacing w:after="0"/>
              <w:rPr>
                <w:sz w:val="20"/>
                <w:szCs w:val="20"/>
                <w:color w:val="auto"/>
              </w:rPr>
            </w:pPr>
            <w:r>
              <w:rPr>
                <w:rFonts w:ascii="Arial" w:cs="Arial" w:eastAsia="Arial" w:hAnsi="Arial"/>
                <w:sz w:val="13"/>
                <w:szCs w:val="13"/>
                <w:b w:val="1"/>
                <w:bCs w:val="1"/>
                <w:color w:val="002453"/>
                <w:w w:val="97"/>
              </w:rPr>
              <w:t>Average</w:t>
            </w:r>
          </w:p>
        </w:tc>
        <w:tc>
          <w:tcPr>
            <w:tcW w:w="1200" w:type="dxa"/>
            <w:vAlign w:val="bottom"/>
            <w:vMerge w:val="restart"/>
          </w:tcPr>
          <w:p>
            <w:pPr>
              <w:jc w:val="center"/>
              <w:ind w:left="18"/>
              <w:spacing w:after="0"/>
              <w:rPr>
                <w:sz w:val="20"/>
                <w:szCs w:val="20"/>
                <w:color w:val="auto"/>
              </w:rPr>
            </w:pPr>
            <w:r>
              <w:rPr>
                <w:rFonts w:ascii="Arial" w:cs="Arial" w:eastAsia="Arial" w:hAnsi="Arial"/>
                <w:sz w:val="13"/>
                <w:szCs w:val="13"/>
                <w:b w:val="1"/>
                <w:bCs w:val="1"/>
                <w:color w:val="002453"/>
                <w:w w:val="93"/>
              </w:rPr>
              <w:t>Average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3"/>
                <w:szCs w:val="13"/>
                <w:b w:val="1"/>
                <w:bCs w:val="1"/>
                <w:color w:val="002453"/>
                <w:w w:val="98"/>
              </w:rPr>
              <w:t>Value of Initial Fixed $100</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jc w:val="center"/>
              <w:ind w:left="18"/>
              <w:spacing w:after="0" w:line="134" w:lineRule="exact"/>
              <w:rPr>
                <w:sz w:val="20"/>
                <w:szCs w:val="20"/>
                <w:color w:val="auto"/>
              </w:rPr>
            </w:pPr>
            <w:r>
              <w:rPr>
                <w:rFonts w:ascii="Arial" w:cs="Arial" w:eastAsia="Arial" w:hAnsi="Arial"/>
                <w:sz w:val="13"/>
                <w:szCs w:val="13"/>
                <w:b w:val="1"/>
                <w:bCs w:val="1"/>
                <w:color w:val="002453"/>
                <w:w w:val="97"/>
              </w:rPr>
              <w:t>Summary</w:t>
            </w: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jc w:val="right"/>
              <w:spacing w:after="0" w:line="134" w:lineRule="exact"/>
              <w:rPr>
                <w:sz w:val="20"/>
                <w:szCs w:val="20"/>
                <w:color w:val="auto"/>
              </w:rPr>
            </w:pPr>
            <w:r>
              <w:rPr>
                <w:rFonts w:ascii="Arial" w:cs="Arial" w:eastAsia="Arial" w:hAnsi="Arial"/>
                <w:sz w:val="13"/>
                <w:szCs w:val="13"/>
                <w:b w:val="1"/>
                <w:bCs w:val="1"/>
                <w:color w:val="002453"/>
              </w:rPr>
              <w:t>​</w:t>
            </w:r>
          </w:p>
        </w:tc>
        <w:tc>
          <w:tcPr>
            <w:tcW w:w="1680" w:type="dxa"/>
            <w:vAlign w:val="bottom"/>
            <w:gridSpan w:val="2"/>
          </w:tcPr>
          <w:p>
            <w:pPr>
              <w:jc w:val="right"/>
              <w:ind w:right="39"/>
              <w:spacing w:after="0" w:line="134" w:lineRule="exact"/>
              <w:rPr>
                <w:sz w:val="20"/>
                <w:szCs w:val="20"/>
                <w:color w:val="auto"/>
              </w:rPr>
            </w:pPr>
            <w:r>
              <w:rPr>
                <w:rFonts w:ascii="Arial" w:cs="Arial" w:eastAsia="Arial" w:hAnsi="Arial"/>
                <w:sz w:val="13"/>
                <w:szCs w:val="13"/>
                <w:b w:val="1"/>
                <w:bCs w:val="1"/>
                <w:color w:val="002453"/>
              </w:rPr>
              <w:t>Investment Based On:(5)</w:t>
            </w:r>
          </w:p>
        </w:tc>
        <w:tc>
          <w:tcPr>
            <w:tcW w:w="10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002453"/>
              </w:rPr>
              <w:t>​</w:t>
            </w: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restart"/>
          </w:tcPr>
          <w:p>
            <w:pPr>
              <w:jc w:val="center"/>
              <w:ind w:left="18"/>
              <w:spacing w:after="0" w:line="114" w:lineRule="exact"/>
              <w:rPr>
                <w:sz w:val="20"/>
                <w:szCs w:val="20"/>
                <w:color w:val="auto"/>
              </w:rPr>
            </w:pPr>
            <w:r>
              <w:rPr>
                <w:rFonts w:ascii="Arial" w:cs="Arial" w:eastAsia="Arial" w:hAnsi="Arial"/>
                <w:sz w:val="13"/>
                <w:szCs w:val="13"/>
                <w:b w:val="1"/>
                <w:bCs w:val="1"/>
                <w:color w:val="002453"/>
                <w:w w:val="95"/>
              </w:rPr>
              <w:t>Compensation</w:t>
            </w:r>
          </w:p>
        </w:tc>
        <w:tc>
          <w:tcPr>
            <w:tcW w:w="1200" w:type="dxa"/>
            <w:vAlign w:val="bottom"/>
            <w:vMerge w:val="restart"/>
          </w:tcPr>
          <w:p>
            <w:pPr>
              <w:jc w:val="center"/>
              <w:ind w:left="18"/>
              <w:spacing w:after="0" w:line="114" w:lineRule="exact"/>
              <w:rPr>
                <w:sz w:val="20"/>
                <w:szCs w:val="20"/>
                <w:color w:val="auto"/>
              </w:rPr>
            </w:pPr>
            <w:r>
              <w:rPr>
                <w:rFonts w:ascii="Arial" w:cs="Arial" w:eastAsia="Arial" w:hAnsi="Arial"/>
                <w:sz w:val="13"/>
                <w:szCs w:val="13"/>
                <w:b w:val="1"/>
                <w:bCs w:val="1"/>
                <w:color w:val="002453"/>
                <w:w w:val="97"/>
              </w:rPr>
              <w:t>Compensation</w:t>
            </w:r>
          </w:p>
        </w:tc>
        <w:tc>
          <w:tcPr>
            <w:tcW w:w="60" w:type="dxa"/>
            <w:vAlign w:val="bottom"/>
          </w:tcPr>
          <w:p>
            <w:pPr>
              <w:spacing w:after="0"/>
              <w:rPr>
                <w:sz w:val="5"/>
                <w:szCs w:val="5"/>
                <w:color w:val="auto"/>
              </w:rPr>
            </w:pPr>
          </w:p>
        </w:tc>
        <w:tc>
          <w:tcPr>
            <w:tcW w:w="60" w:type="dxa"/>
            <w:vAlign w:val="bottom"/>
            <w:tcBorders>
              <w:bottom w:val="single" w:sz="8" w:color="00C08A"/>
            </w:tcBorders>
          </w:tcPr>
          <w:p>
            <w:pPr>
              <w:spacing w:after="0"/>
              <w:rPr>
                <w:sz w:val="5"/>
                <w:szCs w:val="5"/>
                <w:color w:val="auto"/>
              </w:rPr>
            </w:pPr>
          </w:p>
        </w:tc>
        <w:tc>
          <w:tcPr>
            <w:tcW w:w="760" w:type="dxa"/>
            <w:vAlign w:val="bottom"/>
            <w:tcBorders>
              <w:bottom w:val="single" w:sz="8" w:color="00C08A"/>
            </w:tcBorders>
          </w:tcPr>
          <w:p>
            <w:pPr>
              <w:spacing w:after="0"/>
              <w:rPr>
                <w:sz w:val="5"/>
                <w:szCs w:val="5"/>
                <w:color w:val="auto"/>
              </w:rPr>
            </w:pPr>
          </w:p>
        </w:tc>
        <w:tc>
          <w:tcPr>
            <w:tcW w:w="920" w:type="dxa"/>
            <w:vAlign w:val="bottom"/>
            <w:tcBorders>
              <w:bottom w:val="single" w:sz="8" w:color="00C08A"/>
            </w:tcBorders>
          </w:tcPr>
          <w:p>
            <w:pPr>
              <w:spacing w:after="0"/>
              <w:rPr>
                <w:sz w:val="5"/>
                <w:szCs w:val="5"/>
                <w:color w:val="auto"/>
              </w:rPr>
            </w:pPr>
          </w:p>
        </w:tc>
        <w:tc>
          <w:tcPr>
            <w:tcW w:w="60" w:type="dxa"/>
            <w:vAlign w:val="bottom"/>
            <w:tcBorders>
              <w:bottom w:val="single" w:sz="8" w:color="00C08A"/>
            </w:tcBorders>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7"/>
              </w:rPr>
              <w:t>Summary</w:t>
            </w: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vMerge w:val="restart"/>
          </w:tcPr>
          <w:p>
            <w:pPr>
              <w:jc w:val="center"/>
              <w:ind w:left="59"/>
              <w:spacing w:after="0"/>
              <w:rPr>
                <w:sz w:val="20"/>
                <w:szCs w:val="20"/>
                <w:color w:val="auto"/>
              </w:rPr>
            </w:pPr>
            <w:r>
              <w:rPr>
                <w:rFonts w:ascii="Arial" w:cs="Arial" w:eastAsia="Arial" w:hAnsi="Arial"/>
                <w:sz w:val="13"/>
                <w:szCs w:val="13"/>
                <w:b w:val="1"/>
                <w:bCs w:val="1"/>
                <w:color w:val="002453"/>
                <w:w w:val="95"/>
              </w:rPr>
              <w:t>Peer Group</w:t>
            </w: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5"/>
              </w:rPr>
              <w:t>Compensation</w:t>
            </w:r>
          </w:p>
        </w:tc>
        <w:tc>
          <w:tcPr>
            <w:tcW w:w="1140" w:type="dxa"/>
            <w:vAlign w:val="bottom"/>
          </w:tcPr>
          <w:p>
            <w:pPr>
              <w:jc w:val="center"/>
              <w:ind w:left="38"/>
              <w:spacing w:after="0" w:line="122" w:lineRule="exact"/>
              <w:rPr>
                <w:sz w:val="20"/>
                <w:szCs w:val="20"/>
                <w:color w:val="auto"/>
              </w:rPr>
            </w:pPr>
            <w:r>
              <w:rPr>
                <w:rFonts w:ascii="Arial" w:cs="Arial" w:eastAsia="Arial" w:hAnsi="Arial"/>
                <w:sz w:val="13"/>
                <w:szCs w:val="13"/>
                <w:b w:val="1"/>
                <w:bCs w:val="1"/>
                <w:color w:val="002453"/>
                <w:w w:val="93"/>
              </w:rPr>
              <w:t>Table Total for</w:t>
            </w:r>
          </w:p>
        </w:tc>
        <w:tc>
          <w:tcPr>
            <w:tcW w:w="1200" w:type="dxa"/>
            <w:vAlign w:val="bottom"/>
          </w:tcPr>
          <w:p>
            <w:pPr>
              <w:jc w:val="center"/>
              <w:ind w:left="38"/>
              <w:spacing w:after="0" w:line="122" w:lineRule="exact"/>
              <w:rPr>
                <w:sz w:val="20"/>
                <w:szCs w:val="20"/>
                <w:color w:val="auto"/>
              </w:rPr>
            </w:pPr>
            <w:r>
              <w:rPr>
                <w:rFonts w:ascii="Arial" w:cs="Arial" w:eastAsia="Arial" w:hAnsi="Arial"/>
                <w:sz w:val="13"/>
                <w:szCs w:val="13"/>
                <w:b w:val="1"/>
                <w:bCs w:val="1"/>
                <w:color w:val="002453"/>
                <w:w w:val="96"/>
              </w:rPr>
              <w:t>Actually Paid to</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6"/>
              </w:rPr>
              <w:t>Total</w:t>
            </w:r>
          </w:p>
        </w:tc>
        <w:tc>
          <w:tcPr>
            <w:tcW w:w="9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002453"/>
                <w:w w:val="96"/>
              </w:rPr>
              <w:t>Adjusted EBITDA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2453"/>
                <w:w w:val="95"/>
              </w:rPr>
              <w:t>Compensation</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002453"/>
                <w:w w:val="96"/>
              </w:rPr>
              <w:t>non-CEO Named</w:t>
            </w:r>
          </w:p>
        </w:tc>
        <w:tc>
          <w:tcPr>
            <w:tcW w:w="120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002453"/>
                <w:w w:val="99"/>
              </w:rPr>
              <w:t>non-CEO</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2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002453"/>
                <w:w w:val="96"/>
              </w:rPr>
              <w:t>Total</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3"/>
              </w:rPr>
              <w:t>Table Total for</w:t>
            </w:r>
          </w:p>
        </w:tc>
        <w:tc>
          <w:tcPr>
            <w:tcW w:w="1100" w:type="dxa"/>
            <w:vAlign w:val="bottom"/>
            <w:gridSpan w:val="2"/>
          </w:tcPr>
          <w:p>
            <w:pPr>
              <w:jc w:val="center"/>
              <w:ind w:left="17"/>
              <w:spacing w:after="0" w:line="122" w:lineRule="exact"/>
              <w:rPr>
                <w:sz w:val="20"/>
                <w:szCs w:val="20"/>
                <w:color w:val="auto"/>
              </w:rPr>
            </w:pPr>
            <w:r>
              <w:rPr>
                <w:rFonts w:ascii="Arial" w:cs="Arial" w:eastAsia="Arial" w:hAnsi="Arial"/>
                <w:sz w:val="13"/>
                <w:szCs w:val="13"/>
                <w:b w:val="1"/>
                <w:bCs w:val="1"/>
                <w:color w:val="002453"/>
                <w:w w:val="96"/>
              </w:rPr>
              <w:t>Actually Paid to</w:t>
            </w:r>
          </w:p>
        </w:tc>
        <w:tc>
          <w:tcPr>
            <w:tcW w:w="1140" w:type="dxa"/>
            <w:vAlign w:val="bottom"/>
          </w:tcPr>
          <w:p>
            <w:pPr>
              <w:jc w:val="center"/>
              <w:ind w:left="18"/>
              <w:spacing w:after="0" w:line="122" w:lineRule="exact"/>
              <w:rPr>
                <w:sz w:val="20"/>
                <w:szCs w:val="20"/>
                <w:color w:val="auto"/>
              </w:rPr>
            </w:pPr>
            <w:r>
              <w:rPr>
                <w:rFonts w:ascii="Arial" w:cs="Arial" w:eastAsia="Arial" w:hAnsi="Arial"/>
                <w:sz w:val="13"/>
                <w:szCs w:val="13"/>
                <w:b w:val="1"/>
                <w:bCs w:val="1"/>
                <w:color w:val="002453"/>
                <w:w w:val="95"/>
              </w:rPr>
              <w:t>Executive</w:t>
            </w:r>
          </w:p>
        </w:tc>
        <w:tc>
          <w:tcPr>
            <w:tcW w:w="1200" w:type="dxa"/>
            <w:vAlign w:val="bottom"/>
          </w:tcPr>
          <w:p>
            <w:pPr>
              <w:jc w:val="center"/>
              <w:ind w:left="18"/>
              <w:spacing w:after="0" w:line="122" w:lineRule="exact"/>
              <w:rPr>
                <w:sz w:val="20"/>
                <w:szCs w:val="20"/>
                <w:color w:val="auto"/>
              </w:rPr>
            </w:pPr>
            <w:r>
              <w:rPr>
                <w:rFonts w:ascii="Arial" w:cs="Arial" w:eastAsia="Arial" w:hAnsi="Arial"/>
                <w:sz w:val="13"/>
                <w:szCs w:val="13"/>
                <w:b w:val="1"/>
                <w:bCs w:val="1"/>
                <w:color w:val="002453"/>
                <w:w w:val="96"/>
              </w:rPr>
              <w:t>Named Executive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7"/>
              </w:rPr>
              <w:t>Shareholder</w:t>
            </w:r>
          </w:p>
        </w:tc>
        <w:tc>
          <w:tcPr>
            <w:tcW w:w="920" w:type="dxa"/>
            <w:vAlign w:val="bottom"/>
          </w:tcPr>
          <w:p>
            <w:pPr>
              <w:jc w:val="center"/>
              <w:ind w:left="39"/>
              <w:spacing w:after="0" w:line="122" w:lineRule="exact"/>
              <w:rPr>
                <w:sz w:val="20"/>
                <w:szCs w:val="20"/>
                <w:color w:val="auto"/>
              </w:rPr>
            </w:pPr>
            <w:r>
              <w:rPr>
                <w:rFonts w:ascii="Arial" w:cs="Arial" w:eastAsia="Arial" w:hAnsi="Arial"/>
                <w:sz w:val="13"/>
                <w:szCs w:val="13"/>
                <w:b w:val="1"/>
                <w:bCs w:val="1"/>
                <w:color w:val="002453"/>
                <w:w w:val="97"/>
              </w:rPr>
              <w:t>Shareholder</w:t>
            </w:r>
          </w:p>
        </w:tc>
        <w:tc>
          <w:tcPr>
            <w:tcW w:w="102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002453"/>
                <w:vertAlign w:val="subscript"/>
              </w:rPr>
              <w:t>​ ​</w:t>
            </w:r>
            <w:r>
              <w:rPr>
                <w:rFonts w:ascii="Arial" w:cs="Arial" w:eastAsia="Arial" w:hAnsi="Arial"/>
                <w:sz w:val="13"/>
                <w:szCs w:val="13"/>
                <w:b w:val="1"/>
                <w:bCs w:val="1"/>
                <w:color w:val="002453"/>
              </w:rPr>
              <w:t xml:space="preserve"> Net Income </w:t>
            </w:r>
            <w:r>
              <w:rPr>
                <w:rFonts w:ascii="Arial" w:cs="Arial" w:eastAsia="Arial" w:hAnsi="Arial"/>
                <w:sz w:val="25"/>
                <w:szCs w:val="25"/>
                <w:b w:val="1"/>
                <w:bCs w:val="1"/>
                <w:color w:val="002453"/>
                <w:vertAlign w:val="subscript"/>
              </w:rPr>
              <w:t>​ ​</w:t>
            </w:r>
          </w:p>
        </w:tc>
        <w:tc>
          <w:tcPr>
            <w:tcW w:w="1280" w:type="dxa"/>
            <w:vAlign w:val="bottom"/>
          </w:tcPr>
          <w:p>
            <w:pPr>
              <w:jc w:val="center"/>
              <w:spacing w:after="0" w:line="122" w:lineRule="exact"/>
              <w:rPr>
                <w:sz w:val="20"/>
                <w:szCs w:val="20"/>
                <w:color w:val="auto"/>
              </w:rPr>
            </w:pPr>
            <w:r>
              <w:rPr>
                <w:rFonts w:ascii="Arial" w:cs="Arial" w:eastAsia="Arial" w:hAnsi="Arial"/>
                <w:sz w:val="13"/>
                <w:szCs w:val="13"/>
                <w:b w:val="1"/>
                <w:bCs w:val="1"/>
                <w:color w:val="002453"/>
                <w:w w:val="95"/>
              </w:rPr>
              <w:t>(Company – Selected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60" w:type="dxa"/>
            <w:vAlign w:val="bottom"/>
            <w:tcBorders>
              <w:bottom w:val="single" w:sz="8" w:color="00C08A"/>
            </w:tcBorders>
          </w:tcPr>
          <w:p>
            <w:pPr>
              <w:spacing w:after="0"/>
              <w:rPr>
                <w:sz w:val="20"/>
                <w:szCs w:val="20"/>
                <w:color w:val="auto"/>
              </w:rPr>
            </w:pPr>
            <w:r>
              <w:rPr>
                <w:rFonts w:ascii="Arial" w:cs="Arial" w:eastAsia="Arial" w:hAnsi="Arial"/>
                <w:sz w:val="13"/>
                <w:szCs w:val="13"/>
                <w:b w:val="1"/>
                <w:bCs w:val="1"/>
                <w:color w:val="002453"/>
              </w:rPr>
              <w:t>Year</w:t>
            </w:r>
          </w:p>
        </w:tc>
        <w:tc>
          <w:tcPr>
            <w:tcW w:w="280" w:type="dxa"/>
            <w:vAlign w:val="bottom"/>
            <w:tcBorders>
              <w:bottom w:val="single" w:sz="8" w:color="00C08A"/>
            </w:tcBorders>
          </w:tcPr>
          <w:p>
            <w:pPr>
              <w:ind w:left="200"/>
              <w:spacing w:after="0"/>
              <w:rPr>
                <w:sz w:val="20"/>
                <w:szCs w:val="20"/>
                <w:color w:val="auto"/>
              </w:rPr>
            </w:pPr>
            <w:r>
              <w:rPr>
                <w:rFonts w:ascii="Arial" w:cs="Arial" w:eastAsia="Arial" w:hAnsi="Arial"/>
                <w:sz w:val="13"/>
                <w:szCs w:val="13"/>
                <w:b w:val="1"/>
                <w:bCs w:val="1"/>
                <w:color w:val="002453"/>
              </w:rPr>
              <w:t>​ ​</w:t>
            </w:r>
          </w:p>
        </w:tc>
        <w:tc>
          <w:tcPr>
            <w:tcW w:w="90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CEO(1)</w:t>
            </w:r>
          </w:p>
        </w:tc>
        <w:tc>
          <w:tcPr>
            <w:tcW w:w="140" w:type="dxa"/>
            <w:vAlign w:val="bottom"/>
            <w:tcBorders>
              <w:bottom w:val="single" w:sz="8" w:color="00C08A"/>
            </w:tcBorders>
          </w:tcPr>
          <w:p>
            <w:pPr>
              <w:ind w:left="40"/>
              <w:spacing w:after="0"/>
              <w:rPr>
                <w:sz w:val="20"/>
                <w:szCs w:val="20"/>
                <w:color w:val="auto"/>
              </w:rPr>
            </w:pPr>
            <w:r>
              <w:rPr>
                <w:rFonts w:ascii="Arial" w:cs="Arial" w:eastAsia="Arial" w:hAnsi="Arial"/>
                <w:sz w:val="13"/>
                <w:szCs w:val="13"/>
                <w:b w:val="1"/>
                <w:bCs w:val="1"/>
                <w:color w:val="002453"/>
              </w:rPr>
              <w:t>​ ​</w:t>
            </w:r>
          </w:p>
        </w:tc>
        <w:tc>
          <w:tcPr>
            <w:tcW w:w="96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CEO(3)</w:t>
            </w:r>
          </w:p>
        </w:tc>
        <w:tc>
          <w:tcPr>
            <w:tcW w:w="1140" w:type="dxa"/>
            <w:vAlign w:val="bottom"/>
            <w:tcBorders>
              <w:bottom w:val="single" w:sz="8" w:color="00C08A"/>
            </w:tcBorders>
          </w:tcPr>
          <w:p>
            <w:pPr>
              <w:ind w:left="20"/>
              <w:spacing w:after="0" w:line="189" w:lineRule="exact"/>
              <w:rPr>
                <w:sz w:val="20"/>
                <w:szCs w:val="20"/>
                <w:color w:val="auto"/>
              </w:rPr>
            </w:pPr>
            <w:r>
              <w:rPr>
                <w:rFonts w:ascii="Arial" w:cs="Arial" w:eastAsia="Arial" w:hAnsi="Arial"/>
                <w:sz w:val="21"/>
                <w:szCs w:val="21"/>
                <w:b w:val="1"/>
                <w:bCs w:val="1"/>
                <w:color w:val="002453"/>
                <w:vertAlign w:val="subscript"/>
              </w:rPr>
              <w:t>​ ​</w:t>
            </w:r>
            <w:r>
              <w:rPr>
                <w:rFonts w:ascii="Arial" w:cs="Arial" w:eastAsia="Arial" w:hAnsi="Arial"/>
                <w:sz w:val="11"/>
                <w:szCs w:val="11"/>
                <w:b w:val="1"/>
                <w:bCs w:val="1"/>
                <w:color w:val="002453"/>
              </w:rPr>
              <w:t xml:space="preserve">   Officers(2)</w:t>
            </w:r>
          </w:p>
        </w:tc>
        <w:tc>
          <w:tcPr>
            <w:tcW w:w="1200" w:type="dxa"/>
            <w:vAlign w:val="bottom"/>
            <w:tcBorders>
              <w:bottom w:val="single" w:sz="8" w:color="00C08A"/>
            </w:tcBorders>
          </w:tcPr>
          <w:p>
            <w:pPr>
              <w:ind w:left="40"/>
              <w:spacing w:after="0" w:line="189" w:lineRule="exact"/>
              <w:rPr>
                <w:sz w:val="20"/>
                <w:szCs w:val="20"/>
                <w:color w:val="auto"/>
              </w:rPr>
            </w:pPr>
            <w:r>
              <w:rPr>
                <w:rFonts w:ascii="Arial" w:cs="Arial" w:eastAsia="Arial" w:hAnsi="Arial"/>
                <w:sz w:val="21"/>
                <w:szCs w:val="21"/>
                <w:b w:val="1"/>
                <w:bCs w:val="1"/>
                <w:color w:val="002453"/>
                <w:vertAlign w:val="subscript"/>
              </w:rPr>
              <w:t>​ ​</w:t>
            </w:r>
            <w:r>
              <w:rPr>
                <w:rFonts w:ascii="Arial" w:cs="Arial" w:eastAsia="Arial" w:hAnsi="Arial"/>
                <w:sz w:val="11"/>
                <w:szCs w:val="11"/>
                <w:b w:val="1"/>
                <w:bCs w:val="1"/>
                <w:color w:val="002453"/>
              </w:rPr>
              <w:t xml:space="preserve">   Officers(4)</w:t>
            </w:r>
          </w:p>
        </w:tc>
        <w:tc>
          <w:tcPr>
            <w:tcW w:w="120" w:type="dxa"/>
            <w:vAlign w:val="bottom"/>
            <w:tcBorders>
              <w:bottom w:val="single" w:sz="8" w:color="00C08A"/>
            </w:tcBorders>
            <w:gridSpan w:val="2"/>
          </w:tcPr>
          <w:p>
            <w:pPr>
              <w:jc w:val="right"/>
              <w:spacing w:after="0"/>
              <w:rPr>
                <w:sz w:val="20"/>
                <w:szCs w:val="20"/>
                <w:color w:val="auto"/>
              </w:rPr>
            </w:pPr>
            <w:r>
              <w:rPr>
                <w:rFonts w:ascii="Arial" w:cs="Arial" w:eastAsia="Arial" w:hAnsi="Arial"/>
                <w:sz w:val="13"/>
                <w:szCs w:val="13"/>
                <w:b w:val="1"/>
                <w:bCs w:val="1"/>
                <w:color w:val="002453"/>
              </w:rPr>
              <w:t>​ ​</w:t>
            </w:r>
          </w:p>
        </w:tc>
        <w:tc>
          <w:tcPr>
            <w:tcW w:w="76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Return</w:t>
            </w:r>
          </w:p>
        </w:tc>
        <w:tc>
          <w:tcPr>
            <w:tcW w:w="920" w:type="dxa"/>
            <w:vAlign w:val="bottom"/>
            <w:tcBorders>
              <w:bottom w:val="single" w:sz="8" w:color="00C08A"/>
            </w:tcBorders>
          </w:tcPr>
          <w:p>
            <w:pPr>
              <w:jc w:val="right"/>
              <w:ind w:right="59"/>
              <w:spacing w:after="0" w:line="189" w:lineRule="exact"/>
              <w:rPr>
                <w:sz w:val="20"/>
                <w:szCs w:val="20"/>
                <w:color w:val="auto"/>
              </w:rPr>
            </w:pPr>
            <w:r>
              <w:rPr>
                <w:rFonts w:ascii="Arial" w:cs="Arial" w:eastAsia="Arial" w:hAnsi="Arial"/>
                <w:sz w:val="21"/>
                <w:szCs w:val="21"/>
                <w:b w:val="1"/>
                <w:bCs w:val="1"/>
                <w:color w:val="002453"/>
                <w:vertAlign w:val="subscript"/>
              </w:rPr>
              <w:t>​ ​</w:t>
            </w:r>
            <w:r>
              <w:rPr>
                <w:rFonts w:ascii="Arial" w:cs="Arial" w:eastAsia="Arial" w:hAnsi="Arial"/>
                <w:sz w:val="11"/>
                <w:szCs w:val="11"/>
                <w:b w:val="1"/>
                <w:bCs w:val="1"/>
                <w:color w:val="002453"/>
              </w:rPr>
              <w:t xml:space="preserve">  Return(6)</w:t>
            </w:r>
          </w:p>
        </w:tc>
        <w:tc>
          <w:tcPr>
            <w:tcW w:w="1020" w:type="dxa"/>
            <w:vAlign w:val="bottom"/>
            <w:tcBorders>
              <w:bottom w:val="single" w:sz="8" w:color="00C08A"/>
            </w:tcBorders>
            <w:gridSpan w:val="2"/>
            <w:vMerge w:val="continue"/>
          </w:tcPr>
          <w:p>
            <w:pPr>
              <w:spacing w:after="0"/>
              <w:rPr>
                <w:sz w:val="16"/>
                <w:szCs w:val="16"/>
                <w:color w:val="auto"/>
              </w:rPr>
            </w:pPr>
          </w:p>
        </w:tc>
        <w:tc>
          <w:tcPr>
            <w:tcW w:w="1280" w:type="dxa"/>
            <w:vAlign w:val="bottom"/>
            <w:tcBorders>
              <w:bottom w:val="single" w:sz="8" w:color="00C08A"/>
            </w:tcBorders>
          </w:tcPr>
          <w:p>
            <w:pPr>
              <w:jc w:val="center"/>
              <w:spacing w:after="0"/>
              <w:rPr>
                <w:sz w:val="20"/>
                <w:szCs w:val="20"/>
                <w:color w:val="auto"/>
              </w:rPr>
            </w:pPr>
            <w:r>
              <w:rPr>
                <w:rFonts w:ascii="Arial" w:cs="Arial" w:eastAsia="Arial" w:hAnsi="Arial"/>
                <w:sz w:val="13"/>
                <w:szCs w:val="13"/>
                <w:b w:val="1"/>
                <w:bCs w:val="1"/>
                <w:color w:val="002453"/>
                <w:w w:val="95"/>
              </w:rPr>
              <w:t>Measure)(7)</w:t>
            </w:r>
          </w:p>
        </w:tc>
        <w:tc>
          <w:tcPr>
            <w:tcW w:w="40" w:type="dxa"/>
            <w:vAlign w:val="bottom"/>
          </w:tcPr>
          <w:p>
            <w:pPr>
              <w:spacing w:after="0"/>
              <w:rPr>
                <w:sz w:val="20"/>
                <w:szCs w:val="20"/>
                <w:color w:val="auto"/>
              </w:rPr>
            </w:pPr>
            <w:r>
              <w:rPr>
                <w:rFonts w:ascii="Arial" w:cs="Arial" w:eastAsia="Arial" w:hAnsi="Arial"/>
                <w:sz w:val="13"/>
                <w:szCs w:val="13"/>
                <w:b w:val="1"/>
                <w:bCs w:val="1"/>
                <w:color w:val="00245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16256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tbl>
      <w:tblPr>
        <w:tblLayout w:type="fixed"/>
        <w:tblInd w:w="760" w:type="dxa"/>
        <w:tblCellMar>
          <w:top w:w="0" w:type="dxa"/>
          <w:left w:w="0" w:type="dxa"/>
          <w:bottom w:w="0" w:type="dxa"/>
          <w:right w:w="0" w:type="dxa"/>
        </w:tblCellMar>
      </w:tblPr>
      <w:tr>
        <w:trPr>
          <w:trHeight w:val="288"/>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2024</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9,863,432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​15,209,440</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​3,493,227</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​5,200,672</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$ 234.78</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88"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$ 278.21</w:t>
            </w:r>
          </w:p>
        </w:tc>
        <w:tc>
          <w:tcPr>
            <w:tcW w:w="360" w:type="dxa"/>
            <w:vAlign w:val="bottom"/>
          </w:tcPr>
          <w:p>
            <w:pPr>
              <w:ind w:left="60"/>
              <w:spacing w:after="0" w:line="288"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88" w:lineRule="exact"/>
              <w:rPr>
                <w:sz w:val="20"/>
                <w:szCs w:val="20"/>
                <w:color w:val="auto"/>
              </w:rPr>
            </w:pPr>
            <w:r>
              <w:rPr>
                <w:rFonts w:ascii="Arial" w:cs="Arial" w:eastAsia="Arial" w:hAnsi="Arial"/>
                <w:sz w:val="14"/>
                <w:szCs w:val="14"/>
                <w:color w:val="auto"/>
              </w:rPr>
              <w:t>534,535</w:t>
            </w:r>
            <w:r>
              <w:rPr>
                <w:rFonts w:ascii="Arial" w:cs="Arial" w:eastAsia="Arial" w:hAnsi="Arial"/>
                <w:sz w:val="28"/>
                <w:szCs w:val="28"/>
                <w:color w:val="auto"/>
                <w:vertAlign w:val="subscript"/>
              </w:rPr>
              <w:t>​​ ​</w:t>
            </w:r>
          </w:p>
        </w:tc>
        <w:tc>
          <w:tcPr>
            <w:tcW w:w="300" w:type="dxa"/>
            <w:vAlign w:val="bottom"/>
          </w:tcPr>
          <w:p>
            <w:pPr>
              <w:ind w:left="140"/>
              <w:spacing w:after="0" w:line="28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918,685</w:t>
            </w:r>
          </w:p>
        </w:tc>
      </w:tr>
      <w:tr>
        <w:trPr>
          <w:trHeight w:val="257"/>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2023</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 ​</w:t>
            </w:r>
          </w:p>
        </w:tc>
        <w:tc>
          <w:tcPr>
            <w:tcW w:w="720" w:type="dxa"/>
            <w:vAlign w:val="bottom"/>
          </w:tcPr>
          <w:p>
            <w:pPr>
              <w:jc w:val="right"/>
              <w:spacing w:after="0"/>
              <w:rPr>
                <w:sz w:val="20"/>
                <w:szCs w:val="20"/>
                <w:color w:val="auto"/>
              </w:rPr>
            </w:pPr>
            <w:r>
              <w:rPr>
                <w:rFonts w:ascii="Arial" w:cs="Arial" w:eastAsia="Arial" w:hAnsi="Arial"/>
                <w:sz w:val="14"/>
                <w:szCs w:val="14"/>
                <w:color w:val="auto"/>
              </w:rPr>
              <w:t>8,251,865</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9,129,803</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​3,269,016</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​3,564,802</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$ 132.35</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$ 191.92</w:t>
            </w:r>
          </w:p>
        </w:tc>
        <w:tc>
          <w:tcPr>
            <w:tcW w:w="360" w:type="dxa"/>
            <w:vAlign w:val="bottom"/>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57" w:lineRule="exact"/>
              <w:rPr>
                <w:sz w:val="20"/>
                <w:szCs w:val="20"/>
                <w:color w:val="auto"/>
              </w:rPr>
            </w:pPr>
            <w:r>
              <w:rPr>
                <w:rFonts w:ascii="Arial" w:cs="Arial" w:eastAsia="Arial" w:hAnsi="Arial"/>
                <w:sz w:val="14"/>
                <w:szCs w:val="14"/>
                <w:color w:val="auto"/>
              </w:rPr>
              <w:t>263,921</w:t>
            </w:r>
            <w:r>
              <w:rPr>
                <w:rFonts w:ascii="Arial" w:cs="Arial" w:eastAsia="Arial" w:hAnsi="Arial"/>
                <w:sz w:val="28"/>
                <w:szCs w:val="28"/>
                <w:color w:val="auto"/>
                <w:vertAlign w:val="subscript"/>
              </w:rPr>
              <w:t>​​ ​</w:t>
            </w:r>
          </w:p>
        </w:tc>
        <w:tc>
          <w:tcPr>
            <w:tcW w:w="300" w:type="dxa"/>
            <w:vAlign w:val="bottom"/>
          </w:tcPr>
          <w:p>
            <w:pPr>
              <w:ind w:left="14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567,767</w:t>
            </w:r>
          </w:p>
        </w:tc>
      </w:tr>
      <w:tr>
        <w:trPr>
          <w:trHeight w:val="256"/>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2022</w:t>
            </w:r>
          </w:p>
        </w:tc>
        <w:tc>
          <w:tcPr>
            <w:tcW w:w="1120" w:type="dxa"/>
            <w:vAlign w:val="bottom"/>
            <w:gridSpan w:val="3"/>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r>
              <w:rPr>
                <w:rFonts w:ascii="Arial" w:cs="Arial" w:eastAsia="Arial" w:hAnsi="Arial"/>
                <w:sz w:val="14"/>
                <w:szCs w:val="14"/>
                <w:color w:val="auto"/>
              </w:rPr>
              <w:t>12,052,261</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8,565,816</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​3,452,212</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​1,959,138</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$ 133.33</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$ 154.67</w:t>
            </w:r>
          </w:p>
        </w:tc>
        <w:tc>
          <w:tcPr>
            <w:tcW w:w="360" w:type="dxa"/>
            <w:vAlign w:val="bottom"/>
          </w:tcPr>
          <w:p>
            <w:pPr>
              <w:ind w:left="60"/>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57" w:lineRule="exact"/>
              <w:rPr>
                <w:sz w:val="20"/>
                <w:szCs w:val="20"/>
                <w:color w:val="auto"/>
              </w:rPr>
            </w:pPr>
            <w:r>
              <w:rPr>
                <w:rFonts w:ascii="Arial" w:cs="Arial" w:eastAsia="Arial" w:hAnsi="Arial"/>
                <w:sz w:val="14"/>
                <w:szCs w:val="14"/>
                <w:color w:val="auto"/>
              </w:rPr>
              <w:t>468,332</w:t>
            </w:r>
            <w:r>
              <w:rPr>
                <w:rFonts w:ascii="Arial" w:cs="Arial" w:eastAsia="Arial" w:hAnsi="Arial"/>
                <w:sz w:val="28"/>
                <w:szCs w:val="28"/>
                <w:color w:val="auto"/>
                <w:vertAlign w:val="subscript"/>
              </w:rPr>
              <w:t>​​ ​</w:t>
            </w:r>
          </w:p>
        </w:tc>
        <w:tc>
          <w:tcPr>
            <w:tcW w:w="300" w:type="dxa"/>
            <w:vAlign w:val="bottom"/>
          </w:tcPr>
          <w:p>
            <w:pPr>
              <w:ind w:left="14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859,123</w:t>
            </w:r>
          </w:p>
        </w:tc>
      </w:tr>
      <w:tr>
        <w:trPr>
          <w:trHeight w:val="243"/>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2021</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10,107,261</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​14,939,149</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​3,309,375</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​3,033,721</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$ 188.33</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$ 167.66</w:t>
            </w:r>
          </w:p>
        </w:tc>
        <w:tc>
          <w:tcPr>
            <w:tcW w:w="360" w:type="dxa"/>
            <w:vAlign w:val="bottom"/>
          </w:tcPr>
          <w:p>
            <w:pPr>
              <w:ind w:left="60"/>
              <w:spacing w:after="0" w:line="24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860" w:type="dxa"/>
            <w:vAlign w:val="bottom"/>
          </w:tcPr>
          <w:p>
            <w:pPr>
              <w:jc w:val="right"/>
              <w:ind w:right="48"/>
              <w:spacing w:after="0" w:line="243" w:lineRule="exact"/>
              <w:rPr>
                <w:sz w:val="20"/>
                <w:szCs w:val="20"/>
                <w:color w:val="auto"/>
              </w:rPr>
            </w:pPr>
            <w:r>
              <w:rPr>
                <w:rFonts w:ascii="Arial" w:cs="Arial" w:eastAsia="Arial" w:hAnsi="Arial"/>
                <w:sz w:val="14"/>
                <w:szCs w:val="14"/>
                <w:color w:val="auto"/>
              </w:rPr>
              <w:t>827,234</w:t>
            </w:r>
            <w:r>
              <w:rPr>
                <w:rFonts w:ascii="Arial" w:cs="Arial" w:eastAsia="Arial" w:hAnsi="Arial"/>
                <w:sz w:val="28"/>
                <w:szCs w:val="28"/>
                <w:color w:val="auto"/>
                <w:vertAlign w:val="subscript"/>
              </w:rPr>
              <w:t>​​ ​</w:t>
            </w:r>
          </w:p>
        </w:tc>
        <w:tc>
          <w:tcPr>
            <w:tcW w:w="88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$1,301,233</w:t>
            </w:r>
          </w:p>
        </w:tc>
      </w:tr>
      <w:tr>
        <w:trPr>
          <w:trHeight w:val="352"/>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2020</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12,263,795</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ind w:lef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​10,840,019</w:t>
            </w: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​4,152,733</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​5,679,546</w:t>
            </w:r>
          </w:p>
        </w:tc>
        <w:tc>
          <w:tcPr>
            <w:tcW w:w="300" w:type="dxa"/>
            <w:vAlign w:val="bottom"/>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$ 164.42</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ind w:lef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$ 130.03</w:t>
            </w:r>
          </w:p>
        </w:tc>
        <w:tc>
          <w:tcPr>
            <w:tcW w:w="1220" w:type="dxa"/>
            <w:vAlign w:val="bottom"/>
            <w:gridSpan w:val="2"/>
          </w:tcPr>
          <w:p>
            <w:pPr>
              <w:jc w:val="right"/>
              <w:ind w:right="48"/>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$1,120,913</w:t>
            </w:r>
            <w:r>
              <w:rPr>
                <w:rFonts w:ascii="Arial" w:cs="Arial" w:eastAsia="Arial" w:hAnsi="Arial"/>
                <w:sz w:val="28"/>
                <w:szCs w:val="28"/>
                <w:color w:val="auto"/>
                <w:vertAlign w:val="subscript"/>
              </w:rPr>
              <w:t>​​ ​</w:t>
            </w:r>
          </w:p>
        </w:tc>
        <w:tc>
          <w:tcPr>
            <w:tcW w:w="880" w:type="dxa"/>
            <w:vAlign w:val="bottom"/>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$1,648,049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-242570</wp:posOffset>
            </wp:positionV>
            <wp:extent cx="582930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-568325</wp:posOffset>
            </wp:positionV>
            <wp:extent cx="582930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-730885</wp:posOffset>
            </wp:positionV>
            <wp:extent cx="58293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Cifu was our CEO for each of the years presented.</w:t>
      </w:r>
    </w:p>
    <w:p>
      <w:pPr>
        <w:spacing w:after="0" w:line="135" w:lineRule="exact"/>
        <w:rPr>
          <w:rFonts w:ascii="Arial" w:cs="Arial" w:eastAsia="Arial" w:hAnsi="Arial"/>
          <w:sz w:val="14"/>
          <w:szCs w:val="14"/>
          <w:color w:val="auto"/>
        </w:rPr>
      </w:pPr>
    </w:p>
    <w:p>
      <w:pPr>
        <w:ind w:left="980" w:hanging="218"/>
        <w:spacing w:after="0" w:line="30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non-CEO NEOs consisted of (i) Messrs. Molluso, Fairclough, Cavoli, and Galvin for each of the years presented, as well as Ms. Lee for 2024 and Mr. Alex Ioffe for Fiscal Year 2020.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055" w:lineRule="exact"/>
        <w:rPr>
          <w:sz w:val="20"/>
          <w:szCs w:val="20"/>
          <w:color w:val="auto"/>
        </w:rPr>
      </w:pPr>
    </w:p>
    <w:p>
      <w:pPr>
        <w:sectPr>
          <w:pgSz w:w="11900" w:h="16838" w:orient="portrait"/>
          <w:cols w:equalWidth="0" w:num="2">
            <w:col w:w="9700" w:space="240"/>
            <w:col w:w="60"/>
          </w:cols>
          <w:pgMar w:left="580" w:top="97" w:right="1319" w:bottom="1440" w:gutter="0" w:footer="0" w:header="0"/>
          <w:type w:val="continuous"/>
        </w:sectPr>
      </w:pPr>
    </w:p>
    <w:p>
      <w:pPr>
        <w:spacing w:after="0" w:line="35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980" w:right="160" w:hanging="218"/>
        <w:spacing w:after="0" w:line="305"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compensation “actually paid” to our CEO during each year in the table:</w:t>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002453"/>
              </w:rPr>
              <w:t>CEO</w:t>
            </w:r>
          </w:p>
        </w:tc>
        <w:tc>
          <w:tcPr>
            <w:tcW w:w="1320" w:type="dxa"/>
            <w:vAlign w:val="bottom"/>
          </w:tcPr>
          <w:p>
            <w:pPr>
              <w:jc w:val="right"/>
              <w:ind w:right="209"/>
              <w:spacing w:after="0"/>
              <w:rPr>
                <w:sz w:val="20"/>
                <w:szCs w:val="20"/>
                <w:color w:val="auto"/>
              </w:rPr>
            </w:pPr>
            <w:r>
              <w:rPr>
                <w:rFonts w:ascii="Arial" w:cs="Arial" w:eastAsia="Arial" w:hAnsi="Arial"/>
                <w:sz w:val="14"/>
                <w:szCs w:val="14"/>
                <w:b w:val="1"/>
                <w:bCs w:val="1"/>
                <w:color w:val="002453"/>
              </w:rPr>
              <w:t>2024</w:t>
            </w: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002453"/>
              </w:rPr>
              <w:t>2023</w:t>
            </w:r>
          </w:p>
        </w:tc>
        <w:tc>
          <w:tcPr>
            <w:tcW w:w="1100" w:type="dxa"/>
            <w:vAlign w:val="bottom"/>
          </w:tcPr>
          <w:p>
            <w:pPr>
              <w:jc w:val="right"/>
              <w:ind w:right="195"/>
              <w:spacing w:after="0"/>
              <w:rPr>
                <w:sz w:val="20"/>
                <w:szCs w:val="20"/>
                <w:color w:val="auto"/>
              </w:rPr>
            </w:pPr>
            <w:r>
              <w:rPr>
                <w:rFonts w:ascii="Arial" w:cs="Arial" w:eastAsia="Arial" w:hAnsi="Arial"/>
                <w:sz w:val="14"/>
                <w:szCs w:val="14"/>
                <w:b w:val="1"/>
                <w:bCs w:val="1"/>
                <w:color w:val="002453"/>
              </w:rPr>
              <w:t>2022</w:t>
            </w: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002453"/>
              </w:rPr>
              <w:t>2021</w:t>
            </w: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002453"/>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1320" w:type="dxa"/>
            <w:vAlign w:val="bottom"/>
          </w:tcPr>
          <w:p>
            <w:pPr>
              <w:ind w:left="300"/>
              <w:spacing w:after="0" w:line="180" w:lineRule="exact"/>
              <w:rPr>
                <w:sz w:val="20"/>
                <w:szCs w:val="20"/>
                <w:color w:val="auto"/>
              </w:rPr>
            </w:pPr>
            <w:r>
              <w:rPr>
                <w:rFonts w:ascii="Arial" w:cs="Arial" w:eastAsia="Arial" w:hAnsi="Arial"/>
                <w:sz w:val="20"/>
                <w:szCs w:val="20"/>
                <w:b w:val="1"/>
                <w:bCs w:val="1"/>
                <w:color w:val="002453"/>
                <w:vertAlign w:val="subscript"/>
              </w:rPr>
              <w:t>​ ​</w:t>
            </w:r>
            <w:r>
              <w:rPr>
                <w:rFonts w:ascii="Arial" w:cs="Arial" w:eastAsia="Arial" w:hAnsi="Arial"/>
                <w:sz w:val="12"/>
                <w:szCs w:val="12"/>
                <w:b w:val="1"/>
                <w:bCs w:val="1"/>
                <w:color w:val="002453"/>
              </w:rPr>
              <w:t xml:space="preserve">  (Mr. Cifu)</w:t>
            </w:r>
          </w:p>
        </w:tc>
        <w:tc>
          <w:tcPr>
            <w:tcW w:w="1060" w:type="dxa"/>
            <w:vAlign w:val="bottom"/>
          </w:tcPr>
          <w:p>
            <w:pPr>
              <w:jc w:val="right"/>
              <w:ind w:right="15"/>
              <w:spacing w:after="0" w:line="180" w:lineRule="exact"/>
              <w:rPr>
                <w:sz w:val="20"/>
                <w:szCs w:val="20"/>
                <w:color w:val="auto"/>
              </w:rPr>
            </w:pPr>
            <w:r>
              <w:rPr>
                <w:rFonts w:ascii="Arial" w:cs="Arial" w:eastAsia="Arial" w:hAnsi="Arial"/>
                <w:sz w:val="20"/>
                <w:szCs w:val="20"/>
                <w:b w:val="1"/>
                <w:bCs w:val="1"/>
                <w:color w:val="002453"/>
                <w:vertAlign w:val="subscript"/>
              </w:rPr>
              <w:t>​ ​</w:t>
            </w:r>
            <w:r>
              <w:rPr>
                <w:rFonts w:ascii="Arial" w:cs="Arial" w:eastAsia="Arial" w:hAnsi="Arial"/>
                <w:sz w:val="12"/>
                <w:szCs w:val="12"/>
                <w:b w:val="1"/>
                <w:bCs w:val="1"/>
                <w:color w:val="002453"/>
              </w:rPr>
              <w:t xml:space="preserve">  (Mr. Cifu)</w:t>
            </w:r>
          </w:p>
        </w:tc>
        <w:tc>
          <w:tcPr>
            <w:tcW w:w="1100" w:type="dxa"/>
            <w:vAlign w:val="bottom"/>
          </w:tcPr>
          <w:p>
            <w:pPr>
              <w:jc w:val="right"/>
              <w:ind w:right="35"/>
              <w:spacing w:after="0" w:line="180" w:lineRule="exact"/>
              <w:rPr>
                <w:sz w:val="20"/>
                <w:szCs w:val="20"/>
                <w:color w:val="auto"/>
              </w:rPr>
            </w:pPr>
            <w:r>
              <w:rPr>
                <w:rFonts w:ascii="Arial" w:cs="Arial" w:eastAsia="Arial" w:hAnsi="Arial"/>
                <w:sz w:val="20"/>
                <w:szCs w:val="20"/>
                <w:b w:val="1"/>
                <w:bCs w:val="1"/>
                <w:color w:val="002453"/>
                <w:vertAlign w:val="subscript"/>
              </w:rPr>
              <w:t>​ ​</w:t>
            </w:r>
            <w:r>
              <w:rPr>
                <w:rFonts w:ascii="Arial" w:cs="Arial" w:eastAsia="Arial" w:hAnsi="Arial"/>
                <w:sz w:val="12"/>
                <w:szCs w:val="12"/>
                <w:b w:val="1"/>
                <w:bCs w:val="1"/>
                <w:color w:val="002453"/>
              </w:rPr>
              <w:t xml:space="preserve">  (Mr. Cifu)</w:t>
            </w:r>
          </w:p>
        </w:tc>
        <w:tc>
          <w:tcPr>
            <w:tcW w:w="1140" w:type="dxa"/>
            <w:vAlign w:val="bottom"/>
          </w:tcPr>
          <w:p>
            <w:pPr>
              <w:jc w:val="right"/>
              <w:ind w:right="35"/>
              <w:spacing w:after="0" w:line="180" w:lineRule="exact"/>
              <w:rPr>
                <w:sz w:val="20"/>
                <w:szCs w:val="20"/>
                <w:color w:val="auto"/>
              </w:rPr>
            </w:pPr>
            <w:r>
              <w:rPr>
                <w:rFonts w:ascii="Arial" w:cs="Arial" w:eastAsia="Arial" w:hAnsi="Arial"/>
                <w:sz w:val="20"/>
                <w:szCs w:val="20"/>
                <w:b w:val="1"/>
                <w:bCs w:val="1"/>
                <w:color w:val="002453"/>
                <w:vertAlign w:val="subscript"/>
              </w:rPr>
              <w:t>​ ​</w:t>
            </w:r>
            <w:r>
              <w:rPr>
                <w:rFonts w:ascii="Arial" w:cs="Arial" w:eastAsia="Arial" w:hAnsi="Arial"/>
                <w:sz w:val="12"/>
                <w:szCs w:val="12"/>
                <w:b w:val="1"/>
                <w:bCs w:val="1"/>
                <w:color w:val="002453"/>
              </w:rPr>
              <w:t xml:space="preserve">  (Mr. Cifu)</w:t>
            </w:r>
          </w:p>
        </w:tc>
        <w:tc>
          <w:tcPr>
            <w:tcW w:w="1240" w:type="dxa"/>
            <w:vAlign w:val="bottom"/>
            <w:gridSpan w:val="2"/>
          </w:tcPr>
          <w:p>
            <w:pPr>
              <w:ind w:left="100"/>
              <w:spacing w:after="0" w:line="180" w:lineRule="exact"/>
              <w:rPr>
                <w:sz w:val="20"/>
                <w:szCs w:val="20"/>
                <w:color w:val="auto"/>
              </w:rPr>
            </w:pPr>
            <w:r>
              <w:rPr>
                <w:rFonts w:ascii="Arial" w:cs="Arial" w:eastAsia="Arial" w:hAnsi="Arial"/>
                <w:sz w:val="20"/>
                <w:szCs w:val="20"/>
                <w:b w:val="1"/>
                <w:bCs w:val="1"/>
                <w:color w:val="002453"/>
                <w:vertAlign w:val="subscript"/>
              </w:rPr>
              <w:t>​ ​</w:t>
            </w:r>
            <w:r>
              <w:rPr>
                <w:rFonts w:ascii="Arial" w:cs="Arial" w:eastAsia="Arial" w:hAnsi="Arial"/>
                <w:sz w:val="12"/>
                <w:szCs w:val="12"/>
                <w:b w:val="1"/>
                <w:bCs w:val="1"/>
                <w:color w:val="002453"/>
              </w:rPr>
              <w:t xml:space="preserve">  (Mr. Cifu)  </w:t>
            </w:r>
            <w:r>
              <w:rPr>
                <w:rFonts w:ascii="Arial" w:cs="Arial" w:eastAsia="Arial" w:hAnsi="Arial"/>
                <w:sz w:val="20"/>
                <w:szCs w:val="20"/>
                <w:b w:val="1"/>
                <w:bCs w:val="1"/>
                <w:color w:val="002453"/>
                <w:vertAlign w:val="subscript"/>
              </w:rPr>
              <w:t>​</w:t>
            </w:r>
          </w:p>
        </w:tc>
        <w:tc>
          <w:tcPr>
            <w:tcW w:w="0" w:type="dxa"/>
            <w:vAlign w:val="bottom"/>
          </w:tcPr>
          <w:p>
            <w:pPr>
              <w:spacing w:after="0"/>
              <w:rPr>
                <w:sz w:val="1"/>
                <w:szCs w:val="1"/>
                <w:color w:val="auto"/>
              </w:rPr>
            </w:pPr>
          </w:p>
        </w:tc>
      </w:tr>
      <w:tr>
        <w:trPr>
          <w:trHeight w:val="270"/>
        </w:trPr>
        <w:tc>
          <w:tcPr>
            <w:tcW w:w="338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5800" w:type="dxa"/>
            <w:vAlign w:val="bottom"/>
            <w:tcBorders>
              <w:top w:val="single" w:sz="8" w:color="00C08A"/>
            </w:tcBorders>
            <w:gridSpan w:val="5"/>
            <w:shd w:val="clear" w:color="auto" w:fill="CCEEFF"/>
          </w:tcPr>
          <w:p>
            <w:pPr>
              <w:ind w:left="30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9,863,432</w:t>
            </w:r>
            <w:r>
              <w:rPr>
                <w:rFonts w:ascii="Arial" w:cs="Arial" w:eastAsia="Arial" w:hAnsi="Arial"/>
                <w:sz w:val="31"/>
                <w:szCs w:val="31"/>
                <w:color w:val="auto"/>
                <w:vertAlign w:val="superscript"/>
              </w:rPr>
              <w:t>​​ ​​</w:t>
            </w:r>
            <w:r>
              <w:rPr>
                <w:rFonts w:ascii="Arial" w:cs="Arial" w:eastAsia="Arial" w:hAnsi="Arial"/>
                <w:sz w:val="17"/>
                <w:szCs w:val="17"/>
                <w:color w:val="auto"/>
              </w:rPr>
              <w:t>​8,251,865</w:t>
            </w:r>
            <w:r>
              <w:rPr>
                <w:rFonts w:ascii="Arial" w:cs="Arial" w:eastAsia="Arial" w:hAnsi="Arial"/>
                <w:sz w:val="31"/>
                <w:szCs w:val="31"/>
                <w:color w:val="auto"/>
                <w:vertAlign w:val="superscript"/>
              </w:rPr>
              <w:t>​​ ​​</w:t>
            </w:r>
            <w:r>
              <w:rPr>
                <w:rFonts w:ascii="Arial" w:cs="Arial" w:eastAsia="Arial" w:hAnsi="Arial"/>
                <w:sz w:val="17"/>
                <w:szCs w:val="17"/>
                <w:color w:val="auto"/>
              </w:rPr>
              <w:t>​12,052,261</w:t>
            </w:r>
            <w:r>
              <w:rPr>
                <w:rFonts w:ascii="Arial" w:cs="Arial" w:eastAsia="Arial" w:hAnsi="Arial"/>
                <w:sz w:val="31"/>
                <w:szCs w:val="31"/>
                <w:color w:val="auto"/>
                <w:vertAlign w:val="superscript"/>
              </w:rPr>
              <w:t>​​ ​​</w:t>
            </w:r>
            <w:r>
              <w:rPr>
                <w:rFonts w:ascii="Arial" w:cs="Arial" w:eastAsia="Arial" w:hAnsi="Arial"/>
                <w:sz w:val="17"/>
                <w:szCs w:val="17"/>
                <w:color w:val="auto"/>
              </w:rPr>
              <w:t>​10,107,261</w:t>
            </w:r>
            <w:r>
              <w:rPr>
                <w:rFonts w:ascii="Arial" w:cs="Arial" w:eastAsia="Arial" w:hAnsi="Arial"/>
                <w:sz w:val="31"/>
                <w:szCs w:val="31"/>
                <w:color w:val="auto"/>
                <w:vertAlign w:val="superscript"/>
              </w:rPr>
              <w:t>​​ ​​</w:t>
            </w:r>
            <w:r>
              <w:rPr>
                <w:rFonts w:ascii="Arial" w:cs="Arial" w:eastAsia="Arial" w:hAnsi="Arial"/>
                <w:sz w:val="17"/>
                <w:szCs w:val="17"/>
                <w:color w:val="auto"/>
              </w:rPr>
              <w:t>​12,263,795</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40"/>
        <w:spacing w:after="0" w:line="286" w:lineRule="auto"/>
        <w:rPr>
          <w:sz w:val="20"/>
          <w:szCs w:val="20"/>
          <w:color w:val="auto"/>
        </w:rPr>
      </w:pPr>
      <w:r>
        <w:rPr>
          <w:rFonts w:ascii="Arial" w:cs="Arial" w:eastAsia="Arial" w:hAnsi="Arial"/>
          <w:sz w:val="18"/>
          <w:szCs w:val="18"/>
          <w:color w:val="auto"/>
        </w:rPr>
        <w:t>Less, value of “Stock Awards”, as reported ​ ​​(5,527,500​​) ​​(4,974,000​​) ​​(7,889,500​​) ​​(6,590,500​​) ​​(8,759,525​) in Summary Compensation Table</w:t>
      </w:r>
    </w:p>
    <w:p>
      <w:pPr>
        <w:spacing w:after="0" w:line="1" w:lineRule="exact"/>
        <w:rPr>
          <w:sz w:val="20"/>
          <w:szCs w:val="20"/>
          <w:color w:val="auto"/>
        </w:rPr>
      </w:pPr>
    </w:p>
    <w:p>
      <w:pPr>
        <w:ind w:left="940"/>
        <w:spacing w:after="0" w:line="292" w:lineRule="auto"/>
        <w:rPr>
          <w:sz w:val="20"/>
          <w:szCs w:val="20"/>
          <w:color w:val="auto"/>
        </w:rPr>
      </w:pPr>
      <w:r>
        <w:rPr>
          <w:rFonts w:ascii="Arial" w:cs="Arial" w:eastAsia="Arial" w:hAnsi="Arial"/>
          <w:sz w:val="18"/>
          <w:szCs w:val="18"/>
          <w:color w:val="auto"/>
        </w:rPr>
        <w:t>Plus, year-end fair value of outstanding and ​ ​​ 7,953,051​​ ​​4,604,182​​ ​​ 4,057,161​​ ​​ 3,706,982​​ ​​ 3,914,514​ unvested awards granted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-315595</wp:posOffset>
            </wp:positionV>
            <wp:extent cx="5829300" cy="316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0" cy="31686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19"/>
        </w:trPr>
        <w:tc>
          <w:tcPr>
            <w:tcW w:w="364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fair value as of vesting date of equity</w:t>
            </w:r>
          </w:p>
        </w:tc>
        <w:tc>
          <w:tcPr>
            <w:tcW w:w="28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818,903​​ ​​</w:t>
            </w:r>
          </w:p>
        </w:tc>
        <w:tc>
          <w:tcPr>
            <w:tcW w:w="4140" w:type="dxa"/>
            <w:vAlign w:val="bottom"/>
            <w:tcBorders>
              <w:top w:val="single" w:sz="8" w:color="00C08A"/>
            </w:tcBorders>
            <w:gridSpan w:val="8"/>
          </w:tcPr>
          <w:p>
            <w:pPr>
              <w:jc w:val="right"/>
              <w:spacing w:after="0"/>
              <w:rPr>
                <w:sz w:val="20"/>
                <w:szCs w:val="20"/>
                <w:color w:val="auto"/>
              </w:rPr>
            </w:pPr>
            <w:r>
              <w:rPr>
                <w:rFonts w:ascii="Arial" w:cs="Arial" w:eastAsia="Arial" w:hAnsi="Arial"/>
                <w:sz w:val="18"/>
                <w:szCs w:val="18"/>
                <w:color w:val="auto"/>
              </w:rPr>
              <w:t>999,677​​ ​​ 1,009,158​​ ​​ 6,914,549​​ ​​ 2,699,019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640" w:type="dxa"/>
            <w:vAlign w:val="bottom"/>
          </w:tcPr>
          <w:p>
            <w:pPr>
              <w:ind w:left="180"/>
              <w:spacing w:after="0"/>
              <w:rPr>
                <w:sz w:val="20"/>
                <w:szCs w:val="20"/>
                <w:color w:val="auto"/>
              </w:rPr>
            </w:pPr>
            <w:r>
              <w:rPr>
                <w:rFonts w:ascii="Arial" w:cs="Arial" w:eastAsia="Arial" w:hAnsi="Arial"/>
                <w:sz w:val="18"/>
                <w:szCs w:val="18"/>
                <w:color w:val="auto"/>
              </w:rPr>
              <w:t>awards granted and vested in the 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640" w:type="dxa"/>
            <w:vAlign w:val="bottom"/>
            <w:tcBorders>
              <w:bottom w:val="single" w:sz="8" w:color="00C08A"/>
            </w:tcBorders>
          </w:tcPr>
          <w:p>
            <w:pPr>
              <w:spacing w:after="0"/>
              <w:rPr>
                <w:sz w:val="2"/>
                <w:szCs w:val="2"/>
                <w:color w:val="auto"/>
              </w:rPr>
            </w:pPr>
          </w:p>
        </w:tc>
        <w:tc>
          <w:tcPr>
            <w:tcW w:w="18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10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96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1000" w:type="dxa"/>
            <w:vAlign w:val="bottom"/>
            <w:tcBorders>
              <w:bottom w:val="single" w:sz="8" w:color="00C08A"/>
            </w:tcBorders>
          </w:tcPr>
          <w:p>
            <w:pPr>
              <w:spacing w:after="0"/>
              <w:rPr>
                <w:sz w:val="2"/>
                <w:szCs w:val="2"/>
                <w:color w:val="auto"/>
              </w:rPr>
            </w:pPr>
          </w:p>
        </w:tc>
        <w:tc>
          <w:tcPr>
            <w:tcW w:w="160" w:type="dxa"/>
            <w:vAlign w:val="bottom"/>
            <w:tcBorders>
              <w:bottom w:val="single" w:sz="8" w:color="00C08A"/>
            </w:tcBorders>
          </w:tcPr>
          <w:p>
            <w:pPr>
              <w:spacing w:after="0"/>
              <w:rPr>
                <w:sz w:val="2"/>
                <w:szCs w:val="2"/>
                <w:color w:val="auto"/>
              </w:rPr>
            </w:pPr>
          </w:p>
        </w:tc>
        <w:tc>
          <w:tcPr>
            <w:tcW w:w="74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6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6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18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251,656</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478,168</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6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20" w:type="dxa"/>
            <w:vAlign w:val="bottom"/>
            <w:shd w:val="clear" w:color="auto" w:fill="CCEEFF"/>
          </w:tcPr>
          <w:p>
            <w:pPr>
              <w:jc w:val="right"/>
              <w:ind w:right="129"/>
              <w:spacing w:after="0" w:line="63" w:lineRule="exact"/>
              <w:rPr>
                <w:sz w:val="20"/>
                <w:szCs w:val="20"/>
                <w:color w:val="auto"/>
              </w:rPr>
            </w:pPr>
            <w:r>
              <w:rPr>
                <w:rFonts w:ascii="Arial" w:cs="Arial" w:eastAsia="Arial" w:hAnsi="Arial"/>
                <w:sz w:val="7"/>
                <w:szCs w:val="7"/>
                <w:color w:val="auto"/>
              </w:rPr>
              <w:t>2,201,421</w:t>
            </w:r>
          </w:p>
        </w:tc>
        <w:tc>
          <w:tcPr>
            <w:tcW w:w="100" w:type="dxa"/>
            <w:vAlign w:val="bottom"/>
            <w:vMerge w:val="continue"/>
            <w:shd w:val="clear" w:color="auto" w:fill="CCEEFF"/>
          </w:tcPr>
          <w:p>
            <w:pPr>
              <w:spacing w:after="0"/>
              <w:rPr>
                <w:sz w:val="5"/>
                <w:szCs w:val="5"/>
                <w:color w:val="auto"/>
              </w:rPr>
            </w:pPr>
          </w:p>
        </w:tc>
        <w:tc>
          <w:tcPr>
            <w:tcW w:w="960" w:type="dxa"/>
            <w:vAlign w:val="bottom"/>
            <w:shd w:val="clear" w:color="auto" w:fill="CCEEFF"/>
          </w:tcPr>
          <w:p>
            <w:pPr>
              <w:jc w:val="right"/>
              <w:ind w:right="69"/>
              <w:spacing w:after="0" w:line="63" w:lineRule="exact"/>
              <w:rPr>
                <w:sz w:val="20"/>
                <w:szCs w:val="20"/>
                <w:color w:val="auto"/>
              </w:rPr>
            </w:pPr>
            <w:r>
              <w:rPr>
                <w:rFonts w:ascii="Arial" w:cs="Arial" w:eastAsia="Arial" w:hAnsi="Arial"/>
                <w:sz w:val="7"/>
                <w:szCs w:val="7"/>
                <w:color w:val="auto"/>
              </w:rPr>
              <w:t>(7,591)</w:t>
            </w:r>
          </w:p>
        </w:tc>
        <w:tc>
          <w:tcPr>
            <w:tcW w:w="140" w:type="dxa"/>
            <w:vAlign w:val="bottom"/>
            <w:vMerge w:val="continue"/>
            <w:shd w:val="clear" w:color="auto" w:fill="CCEEFF"/>
          </w:tcPr>
          <w:p>
            <w:pPr>
              <w:spacing w:after="0"/>
              <w:rPr>
                <w:sz w:val="5"/>
                <w:szCs w:val="5"/>
                <w:color w:val="auto"/>
              </w:rPr>
            </w:pPr>
          </w:p>
        </w:tc>
        <w:tc>
          <w:tcPr>
            <w:tcW w:w="1000" w:type="dxa"/>
            <w:vAlign w:val="bottom"/>
            <w:shd w:val="clear" w:color="auto" w:fill="CCEEFF"/>
          </w:tcPr>
          <w:p>
            <w:pPr>
              <w:jc w:val="right"/>
              <w:ind w:right="93"/>
              <w:spacing w:after="0" w:line="63" w:lineRule="exact"/>
              <w:rPr>
                <w:sz w:val="20"/>
                <w:szCs w:val="20"/>
                <w:color w:val="auto"/>
              </w:rPr>
            </w:pPr>
            <w:r>
              <w:rPr>
                <w:rFonts w:ascii="Arial" w:cs="Arial" w:eastAsia="Arial" w:hAnsi="Arial"/>
                <w:sz w:val="7"/>
                <w:szCs w:val="7"/>
                <w:color w:val="auto"/>
              </w:rPr>
              <w:t>(371,530)</w:t>
            </w: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outstanding and unvested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granted in prior years</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4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180" w:type="dxa"/>
            <w:vAlign w:val="bottom"/>
            <w:tcBorders>
              <w:top w:val="single" w:sz="8" w:color="00C08A"/>
            </w:tcBorders>
          </w:tcPr>
          <w:p>
            <w:pPr>
              <w:ind w:left="40"/>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229,648</w:t>
            </w:r>
          </w:p>
        </w:tc>
        <w:tc>
          <w:tcPr>
            <w:tcW w:w="220" w:type="dxa"/>
            <w:vAlign w:val="bottom"/>
            <w:tcBorders>
              <w:top w:val="single" w:sz="8" w:color="00C08A"/>
            </w:tcBorders>
          </w:tcPr>
          <w:p>
            <w:pPr>
              <w:spacing w:after="0" w:line="15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08A"/>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20" w:type="dxa"/>
            <w:vAlign w:val="bottom"/>
          </w:tcPr>
          <w:p>
            <w:pPr>
              <w:jc w:val="right"/>
              <w:ind w:right="69"/>
              <w:spacing w:after="0" w:line="63" w:lineRule="exact"/>
              <w:rPr>
                <w:sz w:val="20"/>
                <w:szCs w:val="20"/>
                <w:color w:val="auto"/>
              </w:rPr>
            </w:pPr>
            <w:r>
              <w:rPr>
                <w:rFonts w:ascii="Arial" w:cs="Arial" w:eastAsia="Arial" w:hAnsi="Arial"/>
                <w:sz w:val="7"/>
                <w:szCs w:val="7"/>
                <w:color w:val="auto"/>
              </w:rPr>
              <w:t>(467,167)</w:t>
            </w:r>
          </w:p>
        </w:tc>
        <w:tc>
          <w:tcPr>
            <w:tcW w:w="100" w:type="dxa"/>
            <w:vAlign w:val="bottom"/>
            <w:vMerge w:val="continue"/>
          </w:tcPr>
          <w:p>
            <w:pPr>
              <w:spacing w:after="0"/>
              <w:rPr>
                <w:sz w:val="5"/>
                <w:szCs w:val="5"/>
                <w:color w:val="auto"/>
              </w:rPr>
            </w:pPr>
          </w:p>
        </w:tc>
        <w:tc>
          <w:tcPr>
            <w:tcW w:w="960" w:type="dxa"/>
            <w:vAlign w:val="bottom"/>
          </w:tcPr>
          <w:p>
            <w:pPr>
              <w:jc w:val="right"/>
              <w:ind w:right="69"/>
              <w:spacing w:after="0" w:line="63" w:lineRule="exact"/>
              <w:rPr>
                <w:sz w:val="20"/>
                <w:szCs w:val="20"/>
                <w:color w:val="auto"/>
              </w:rPr>
            </w:pPr>
            <w:r>
              <w:rPr>
                <w:rFonts w:ascii="Arial" w:cs="Arial" w:eastAsia="Arial" w:hAnsi="Arial"/>
                <w:sz w:val="7"/>
                <w:szCs w:val="7"/>
                <w:color w:val="auto"/>
              </w:rPr>
              <w:t>(127,421)</w:t>
            </w:r>
          </w:p>
        </w:tc>
        <w:tc>
          <w:tcPr>
            <w:tcW w:w="140" w:type="dxa"/>
            <w:vAlign w:val="bottom"/>
            <w:vMerge w:val="continue"/>
          </w:tcPr>
          <w:p>
            <w:pPr>
              <w:spacing w:after="0"/>
              <w:rPr>
                <w:sz w:val="5"/>
                <w:szCs w:val="5"/>
                <w:color w:val="auto"/>
              </w:rPr>
            </w:pPr>
          </w:p>
        </w:tc>
        <w:tc>
          <w:tcPr>
            <w:tcW w:w="1000" w:type="dxa"/>
            <w:vAlign w:val="bottom"/>
          </w:tcPr>
          <w:p>
            <w:pPr>
              <w:jc w:val="right"/>
              <w:ind w:right="93"/>
              <w:spacing w:after="0" w:line="63" w:lineRule="exact"/>
              <w:rPr>
                <w:sz w:val="20"/>
                <w:szCs w:val="20"/>
                <w:color w:val="auto"/>
              </w:rPr>
            </w:pPr>
            <w:r>
              <w:rPr>
                <w:rFonts w:ascii="Arial" w:cs="Arial" w:eastAsia="Arial" w:hAnsi="Arial"/>
                <w:sz w:val="7"/>
                <w:szCs w:val="7"/>
                <w:color w:val="auto"/>
              </w:rPr>
              <w:t>(597,694)</w:t>
            </w: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gridSpan w:val="2"/>
          </w:tcPr>
          <w:p>
            <w:pPr>
              <w:jc w:val="right"/>
              <w:spacing w:after="0" w:line="63" w:lineRule="exact"/>
              <w:rPr>
                <w:sz w:val="20"/>
                <w:szCs w:val="20"/>
                <w:color w:val="auto"/>
              </w:rPr>
            </w:pPr>
            <w:r>
              <w:rPr>
                <w:rFonts w:ascii="Arial" w:cs="Arial" w:eastAsia="Arial" w:hAnsi="Arial"/>
                <w:sz w:val="7"/>
                <w:szCs w:val="7"/>
                <w:color w:val="auto"/>
              </w:rPr>
              <w:t>(27,258)</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value of equity awards granted 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180"/>
              <w:spacing w:after="0"/>
              <w:rPr>
                <w:sz w:val="20"/>
                <w:szCs w:val="20"/>
                <w:color w:val="auto"/>
              </w:rPr>
            </w:pPr>
            <w:r>
              <w:rPr>
                <w:rFonts w:ascii="Arial" w:cs="Arial" w:eastAsia="Arial" w:hAnsi="Arial"/>
                <w:sz w:val="18"/>
                <w:szCs w:val="18"/>
                <w:color w:val="auto"/>
              </w:rPr>
              <w:t>prior years that vested in the 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640" w:type="dxa"/>
            <w:vAlign w:val="bottom"/>
            <w:tcBorders>
              <w:bottom w:val="single" w:sz="8" w:color="00C08A"/>
            </w:tcBorders>
          </w:tcPr>
          <w:p>
            <w:pPr>
              <w:spacing w:after="0"/>
              <w:rPr>
                <w:sz w:val="2"/>
                <w:szCs w:val="2"/>
                <w:color w:val="auto"/>
              </w:rPr>
            </w:pPr>
          </w:p>
        </w:tc>
        <w:tc>
          <w:tcPr>
            <w:tcW w:w="280" w:type="dxa"/>
            <w:vAlign w:val="bottom"/>
            <w:tcBorders>
              <w:bottom w:val="single" w:sz="8" w:color="00C08A"/>
            </w:tcBorders>
            <w:gridSpan w:val="2"/>
          </w:tcPr>
          <w:p>
            <w:pPr>
              <w:spacing w:after="0"/>
              <w:rPr>
                <w:sz w:val="2"/>
                <w:szCs w:val="2"/>
                <w:color w:val="auto"/>
              </w:rPr>
            </w:pPr>
          </w:p>
        </w:tc>
        <w:tc>
          <w:tcPr>
            <w:tcW w:w="1120" w:type="dxa"/>
            <w:vAlign w:val="bottom"/>
            <w:tcBorders>
              <w:bottom w:val="single" w:sz="8" w:color="00C08A"/>
            </w:tcBorders>
            <w:gridSpan w:val="2"/>
          </w:tcPr>
          <w:p>
            <w:pPr>
              <w:spacing w:after="0"/>
              <w:rPr>
                <w:sz w:val="2"/>
                <w:szCs w:val="2"/>
                <w:color w:val="auto"/>
              </w:rPr>
            </w:pPr>
          </w:p>
        </w:tc>
        <w:tc>
          <w:tcPr>
            <w:tcW w:w="1100" w:type="dxa"/>
            <w:vAlign w:val="bottom"/>
            <w:tcBorders>
              <w:bottom w:val="single" w:sz="8" w:color="00C08A"/>
            </w:tcBorders>
            <w:gridSpan w:val="2"/>
          </w:tcPr>
          <w:p>
            <w:pPr>
              <w:spacing w:after="0"/>
              <w:rPr>
                <w:sz w:val="2"/>
                <w:szCs w:val="2"/>
                <w:color w:val="auto"/>
              </w:rPr>
            </w:pPr>
          </w:p>
        </w:tc>
        <w:tc>
          <w:tcPr>
            <w:tcW w:w="1160" w:type="dxa"/>
            <w:vAlign w:val="bottom"/>
            <w:tcBorders>
              <w:bottom w:val="single" w:sz="8" w:color="00C08A"/>
            </w:tcBorders>
            <w:gridSpan w:val="2"/>
          </w:tcPr>
          <w:p>
            <w:pPr>
              <w:spacing w:after="0"/>
              <w:rPr>
                <w:sz w:val="2"/>
                <w:szCs w:val="2"/>
                <w:color w:val="auto"/>
              </w:rPr>
            </w:pPr>
          </w:p>
        </w:tc>
        <w:tc>
          <w:tcPr>
            <w:tcW w:w="1120" w:type="dxa"/>
            <w:vAlign w:val="bottom"/>
            <w:tcBorders>
              <w:bottom w:val="single" w:sz="8" w:color="00C08A"/>
            </w:tcBorders>
            <w:gridSpan w:val="3"/>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dividends or other earnings paid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367,300​​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383,092​​ ​​</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305,960​​ ​​</w:t>
            </w: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319,551​​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271,307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during covered year, prior to vesting date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40" w:type="dxa"/>
            <w:vAlign w:val="bottom"/>
            <w:tcBorders>
              <w:top w:val="single" w:sz="8" w:color="00C08A"/>
            </w:tcBorders>
          </w:tcPr>
          <w:p>
            <w:pPr>
              <w:spacing w:after="0"/>
              <w:rPr>
                <w:sz w:val="20"/>
                <w:szCs w:val="20"/>
                <w:color w:val="auto"/>
              </w:rPr>
            </w:pPr>
            <w:r>
              <w:rPr>
                <w:rFonts w:ascii="Arial" w:cs="Arial" w:eastAsia="Arial" w:hAnsi="Arial"/>
                <w:sz w:val="18"/>
                <w:szCs w:val="18"/>
                <w:b w:val="1"/>
                <w:bCs w:val="1"/>
                <w:color w:val="auto"/>
              </w:rPr>
              <w:t>Compensation “Actually Paid” to CEO</w:t>
            </w:r>
          </w:p>
        </w:tc>
        <w:tc>
          <w:tcPr>
            <w:tcW w:w="5540" w:type="dxa"/>
            <w:vAlign w:val="bottom"/>
            <w:tcBorders>
              <w:top w:val="single" w:sz="8" w:color="00C08A"/>
            </w:tcBorders>
            <w:gridSpan w:val="12"/>
          </w:tcPr>
          <w:p>
            <w:pPr>
              <w:jc w:val="right"/>
              <w:spacing w:after="0" w:line="236"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​15,209,440</w:t>
            </w:r>
            <w:r>
              <w:rPr>
                <w:rFonts w:ascii="Arial" w:cs="Arial" w:eastAsia="Arial" w:hAnsi="Arial"/>
                <w:sz w:val="27"/>
                <w:szCs w:val="27"/>
                <w:color w:val="auto"/>
                <w:vertAlign w:val="superscript"/>
              </w:rPr>
              <w:t>​​ ​​</w:t>
            </w:r>
            <w:r>
              <w:rPr>
                <w:rFonts w:ascii="Arial" w:cs="Arial" w:eastAsia="Arial" w:hAnsi="Arial"/>
                <w:sz w:val="15"/>
                <w:szCs w:val="15"/>
                <w:color w:val="auto"/>
              </w:rPr>
              <w:t>​9,129,803</w:t>
            </w:r>
            <w:r>
              <w:rPr>
                <w:rFonts w:ascii="Arial" w:cs="Arial" w:eastAsia="Arial" w:hAnsi="Arial"/>
                <w:sz w:val="27"/>
                <w:szCs w:val="27"/>
                <w:color w:val="auto"/>
                <w:vertAlign w:val="superscript"/>
              </w:rPr>
              <w:t>​​ ​​</w:t>
            </w:r>
            <w:r>
              <w:rPr>
                <w:rFonts w:ascii="Arial" w:cs="Arial" w:eastAsia="Arial" w:hAnsi="Arial"/>
                <w:sz w:val="15"/>
                <w:szCs w:val="15"/>
                <w:color w:val="auto"/>
              </w:rPr>
              <w:t>​ 8,565,816</w:t>
            </w:r>
            <w:r>
              <w:rPr>
                <w:rFonts w:ascii="Arial" w:cs="Arial" w:eastAsia="Arial" w:hAnsi="Arial"/>
                <w:sz w:val="27"/>
                <w:szCs w:val="27"/>
                <w:color w:val="auto"/>
                <w:vertAlign w:val="superscript"/>
              </w:rPr>
              <w:t>​​ ​​</w:t>
            </w:r>
            <w:r>
              <w:rPr>
                <w:rFonts w:ascii="Arial" w:cs="Arial" w:eastAsia="Arial" w:hAnsi="Arial"/>
                <w:sz w:val="15"/>
                <w:szCs w:val="15"/>
                <w:color w:val="auto"/>
              </w:rPr>
              <w:t>​14,939,149</w:t>
            </w:r>
            <w:r>
              <w:rPr>
                <w:rFonts w:ascii="Arial" w:cs="Arial" w:eastAsia="Arial" w:hAnsi="Arial"/>
                <w:sz w:val="27"/>
                <w:szCs w:val="27"/>
                <w:color w:val="auto"/>
                <w:vertAlign w:val="superscript"/>
              </w:rPr>
              <w:t>​​ ​​</w:t>
            </w:r>
            <w:r>
              <w:rPr>
                <w:rFonts w:ascii="Arial" w:cs="Arial" w:eastAsia="Arial" w:hAnsi="Arial"/>
                <w:sz w:val="15"/>
                <w:szCs w:val="15"/>
                <w:color w:val="auto"/>
              </w:rPr>
              <w:t>​10,840,019</w:t>
            </w:r>
          </w:p>
        </w:tc>
        <w:tc>
          <w:tcPr>
            <w:tcW w:w="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shd w:val="clear" w:color="auto" w:fill="00C08A"/>
          </w:tcPr>
          <w:p>
            <w:pPr>
              <w:spacing w:after="0" w:line="20" w:lineRule="exact"/>
              <w:rPr>
                <w:sz w:val="1"/>
                <w:szCs w:val="1"/>
                <w:color w:val="auto"/>
              </w:rPr>
            </w:pPr>
          </w:p>
        </w:tc>
        <w:tc>
          <w:tcPr>
            <w:tcW w:w="18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1020" w:type="dxa"/>
            <w:vAlign w:val="bottom"/>
            <w:shd w:val="clear" w:color="auto" w:fill="00C08A"/>
          </w:tcPr>
          <w:p>
            <w:pPr>
              <w:spacing w:after="0" w:line="20" w:lineRule="exact"/>
              <w:rPr>
                <w:sz w:val="1"/>
                <w:szCs w:val="1"/>
                <w:color w:val="auto"/>
              </w:rPr>
            </w:pPr>
          </w:p>
        </w:tc>
        <w:tc>
          <w:tcPr>
            <w:tcW w:w="10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100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4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760" w:type="dxa"/>
            <w:vAlign w:val="bottom"/>
            <w:shd w:val="clear" w:color="auto" w:fill="00C08A"/>
          </w:tcPr>
          <w:p>
            <w:pPr>
              <w:spacing w:after="0" w:line="20" w:lineRule="exact"/>
              <w:rPr>
                <w:sz w:val="1"/>
                <w:szCs w:val="1"/>
                <w:color w:val="auto"/>
              </w:rPr>
            </w:pPr>
          </w:p>
        </w:tc>
        <w:tc>
          <w:tcPr>
            <w:tcW w:w="6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980" w:right="160" w:hanging="218"/>
        <w:spacing w:after="0" w:line="275"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Compensation “actually paid” is calculated in accordance with Item 402(v) of Regulation S-K. The table below set forth each adjustment made during each year presented in the table to calculate the average compensation “actually paid” to our non-CEO NEO’s during each year in the table:</w:t>
      </w:r>
    </w:p>
    <w:tbl>
      <w:tblPr>
        <w:tblLayout w:type="fixed"/>
        <w:tblInd w:w="760" w:type="dxa"/>
        <w:tblCellMar>
          <w:top w:w="0" w:type="dxa"/>
          <w:left w:w="0" w:type="dxa"/>
          <w:bottom w:w="0" w:type="dxa"/>
          <w:right w:w="0" w:type="dxa"/>
        </w:tblCellMar>
      </w:tblPr>
      <w:tr>
        <w:trPr>
          <w:trHeight w:val="327"/>
        </w:trPr>
        <w:tc>
          <w:tcPr>
            <w:tcW w:w="3460" w:type="dxa"/>
            <w:vAlign w:val="bottom"/>
          </w:tcPr>
          <w:p>
            <w:pPr>
              <w:spacing w:after="0"/>
              <w:rPr>
                <w:sz w:val="20"/>
                <w:szCs w:val="20"/>
                <w:color w:val="auto"/>
              </w:rPr>
            </w:pPr>
            <w:r>
              <w:rPr>
                <w:rFonts w:ascii="Arial" w:cs="Arial" w:eastAsia="Arial" w:hAnsi="Arial"/>
                <w:sz w:val="14"/>
                <w:szCs w:val="14"/>
                <w:b w:val="1"/>
                <w:bCs w:val="1"/>
                <w:color w:val="002453"/>
              </w:rPr>
              <w:t>Non-CEO NEOs</w:t>
            </w:r>
          </w:p>
        </w:tc>
        <w:tc>
          <w:tcPr>
            <w:tcW w:w="1280" w:type="dxa"/>
            <w:vAlign w:val="bottom"/>
          </w:tcPr>
          <w:p>
            <w:pPr>
              <w:ind w:left="360"/>
              <w:spacing w:after="0"/>
              <w:rPr>
                <w:sz w:val="20"/>
                <w:szCs w:val="20"/>
                <w:color w:val="auto"/>
              </w:rPr>
            </w:pPr>
            <w:r>
              <w:rPr>
                <w:rFonts w:ascii="Arial" w:cs="Arial" w:eastAsia="Arial" w:hAnsi="Arial"/>
                <w:sz w:val="28"/>
                <w:szCs w:val="28"/>
                <w:b w:val="1"/>
                <w:bCs w:val="1"/>
                <w:color w:val="002453"/>
                <w:w w:val="96"/>
                <w:vertAlign w:val="subscript"/>
              </w:rPr>
              <w:t>​ ​</w:t>
            </w:r>
            <w:r>
              <w:rPr>
                <w:rFonts w:ascii="Arial" w:cs="Arial" w:eastAsia="Arial" w:hAnsi="Arial"/>
                <w:sz w:val="14"/>
                <w:szCs w:val="14"/>
                <w:b w:val="1"/>
                <w:bCs w:val="1"/>
                <w:color w:val="002453"/>
                <w:w w:val="96"/>
              </w:rPr>
              <w:t>2024</w:t>
            </w:r>
          </w:p>
        </w:tc>
        <w:tc>
          <w:tcPr>
            <w:tcW w:w="1060" w:type="dxa"/>
            <w:vAlign w:val="bottom"/>
          </w:tcPr>
          <w:p>
            <w:pPr>
              <w:ind w:left="160"/>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2023</w:t>
            </w:r>
          </w:p>
        </w:tc>
        <w:tc>
          <w:tcPr>
            <w:tcW w:w="1080" w:type="dxa"/>
            <w:vAlign w:val="bottom"/>
          </w:tcPr>
          <w:p>
            <w:pPr>
              <w:ind w:left="160"/>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2022</w:t>
            </w:r>
          </w:p>
        </w:tc>
        <w:tc>
          <w:tcPr>
            <w:tcW w:w="1100" w:type="dxa"/>
            <w:vAlign w:val="bottom"/>
          </w:tcPr>
          <w:p>
            <w:pPr>
              <w:ind w:left="160"/>
              <w:spacing w:after="0"/>
              <w:rPr>
                <w:sz w:val="20"/>
                <w:szCs w:val="20"/>
                <w:color w:val="auto"/>
              </w:rPr>
            </w:pPr>
            <w:r>
              <w:rPr>
                <w:rFonts w:ascii="Arial" w:cs="Arial" w:eastAsia="Arial" w:hAnsi="Arial"/>
                <w:sz w:val="28"/>
                <w:szCs w:val="28"/>
                <w:b w:val="1"/>
                <w:bCs w:val="1"/>
                <w:color w:val="002453"/>
                <w:w w:val="96"/>
                <w:vertAlign w:val="subscript"/>
              </w:rPr>
              <w:t>​ ​</w:t>
            </w:r>
            <w:r>
              <w:rPr>
                <w:rFonts w:ascii="Arial" w:cs="Arial" w:eastAsia="Arial" w:hAnsi="Arial"/>
                <w:sz w:val="14"/>
                <w:szCs w:val="14"/>
                <w:b w:val="1"/>
                <w:bCs w:val="1"/>
                <w:color w:val="002453"/>
                <w:w w:val="96"/>
              </w:rPr>
              <w:t>2021</w:t>
            </w:r>
          </w:p>
        </w:tc>
        <w:tc>
          <w:tcPr>
            <w:tcW w:w="1260" w:type="dxa"/>
            <w:vAlign w:val="bottom"/>
            <w:gridSpan w:val="2"/>
          </w:tcPr>
          <w:p>
            <w:pPr>
              <w:jc w:val="right"/>
              <w:spacing w:after="0" w:line="314" w:lineRule="exact"/>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2020    </w:t>
            </w:r>
            <w:r>
              <w:rPr>
                <w:rFonts w:ascii="Arial" w:cs="Arial" w:eastAsia="Arial" w:hAnsi="Arial"/>
                <w:sz w:val="28"/>
                <w:szCs w:val="28"/>
                <w:b w:val="1"/>
                <w:bCs w:val="1"/>
                <w:color w:val="002453"/>
                <w:vertAlign w:val="subscript"/>
              </w:rPr>
              <w:t>​</w:t>
            </w:r>
          </w:p>
        </w:tc>
      </w:tr>
      <w:tr>
        <w:trPr>
          <w:trHeight w:val="270"/>
        </w:trPr>
        <w:tc>
          <w:tcPr>
            <w:tcW w:w="34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Summary Compensation Table Total</w:t>
            </w:r>
          </w:p>
        </w:tc>
        <w:tc>
          <w:tcPr>
            <w:tcW w:w="5720" w:type="dxa"/>
            <w:vAlign w:val="bottom"/>
            <w:tcBorders>
              <w:top w:val="single" w:sz="8" w:color="00C08A"/>
            </w:tcBorders>
            <w:gridSpan w:val="5"/>
            <w:shd w:val="clear" w:color="auto" w:fill="CCEEFF"/>
          </w:tcPr>
          <w:p>
            <w:pPr>
              <w:ind w:left="36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​3,493,227</w:t>
            </w:r>
            <w:r>
              <w:rPr>
                <w:rFonts w:ascii="Arial" w:cs="Arial" w:eastAsia="Arial" w:hAnsi="Arial"/>
                <w:sz w:val="31"/>
                <w:szCs w:val="31"/>
                <w:color w:val="auto"/>
                <w:vertAlign w:val="superscript"/>
              </w:rPr>
              <w:t>​​ ​​</w:t>
            </w:r>
            <w:r>
              <w:rPr>
                <w:rFonts w:ascii="Arial" w:cs="Arial" w:eastAsia="Arial" w:hAnsi="Arial"/>
                <w:sz w:val="17"/>
                <w:szCs w:val="17"/>
                <w:color w:val="auto"/>
              </w:rPr>
              <w:t>​3,269,016</w:t>
            </w:r>
            <w:r>
              <w:rPr>
                <w:rFonts w:ascii="Arial" w:cs="Arial" w:eastAsia="Arial" w:hAnsi="Arial"/>
                <w:sz w:val="31"/>
                <w:szCs w:val="31"/>
                <w:color w:val="auto"/>
                <w:vertAlign w:val="superscript"/>
              </w:rPr>
              <w:t>​​ ​​</w:t>
            </w:r>
            <w:r>
              <w:rPr>
                <w:rFonts w:ascii="Arial" w:cs="Arial" w:eastAsia="Arial" w:hAnsi="Arial"/>
                <w:sz w:val="17"/>
                <w:szCs w:val="17"/>
                <w:color w:val="auto"/>
              </w:rPr>
              <w:t>​3,452,212</w:t>
            </w:r>
            <w:r>
              <w:rPr>
                <w:rFonts w:ascii="Arial" w:cs="Arial" w:eastAsia="Arial" w:hAnsi="Arial"/>
                <w:sz w:val="31"/>
                <w:szCs w:val="31"/>
                <w:color w:val="auto"/>
                <w:vertAlign w:val="superscript"/>
              </w:rPr>
              <w:t>​​ ​​</w:t>
            </w:r>
            <w:r>
              <w:rPr>
                <w:rFonts w:ascii="Arial" w:cs="Arial" w:eastAsia="Arial" w:hAnsi="Arial"/>
                <w:sz w:val="17"/>
                <w:szCs w:val="17"/>
                <w:color w:val="auto"/>
              </w:rPr>
              <w:t>​3,309,375</w:t>
            </w:r>
            <w:r>
              <w:rPr>
                <w:rFonts w:ascii="Arial" w:cs="Arial" w:eastAsia="Arial" w:hAnsi="Arial"/>
                <w:sz w:val="31"/>
                <w:szCs w:val="31"/>
                <w:color w:val="auto"/>
                <w:vertAlign w:val="superscript"/>
              </w:rPr>
              <w:t>​​ ​​</w:t>
            </w:r>
            <w:r>
              <w:rPr>
                <w:rFonts w:ascii="Arial" w:cs="Arial" w:eastAsia="Arial" w:hAnsi="Arial"/>
                <w:sz w:val="17"/>
                <w:szCs w:val="17"/>
                <w:color w:val="auto"/>
              </w:rPr>
              <w:t>​4,152,733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40"/>
        <w:spacing w:after="0" w:line="289" w:lineRule="auto"/>
        <w:rPr>
          <w:sz w:val="20"/>
          <w:szCs w:val="20"/>
          <w:color w:val="auto"/>
        </w:rPr>
      </w:pPr>
      <w:r>
        <w:rPr>
          <w:rFonts w:ascii="Arial" w:cs="Arial" w:eastAsia="Arial" w:hAnsi="Arial"/>
          <w:sz w:val="18"/>
          <w:szCs w:val="18"/>
          <w:color w:val="auto"/>
        </w:rPr>
        <w:t>Less, value of “Stock Awards”, as reported in ​ ​​(1,934,468​​) ​​(1,841,807​​) ​​(2,032,213​​) ​​(1,786,875​​) ​​(2,331,500​) Summary Compensation Table</w:t>
      </w:r>
    </w:p>
    <w:tbl>
      <w:tblPr>
        <w:tblLayout w:type="fixed"/>
        <w:tblInd w:w="760" w:type="dxa"/>
        <w:tblCellMar>
          <w:top w:w="0" w:type="dxa"/>
          <w:left w:w="0" w:type="dxa"/>
          <w:bottom w:w="0" w:type="dxa"/>
          <w:right w:w="0" w:type="dxa"/>
        </w:tblCellMar>
      </w:tblPr>
      <w:tr>
        <w:trPr>
          <w:trHeight w:val="219"/>
        </w:trPr>
        <w:tc>
          <w:tcPr>
            <w:tcW w:w="3760" w:type="dxa"/>
            <w:vAlign w:val="bottom"/>
            <w:tcBorders>
              <w:top w:val="single" w:sz="8" w:color="00C08A"/>
            </w:tcBorders>
            <w:shd w:val="clear" w:color="auto" w:fill="CCEEFF"/>
          </w:tcPr>
          <w:p>
            <w:pPr>
              <w:ind w:left="180"/>
              <w:spacing w:after="0"/>
              <w:rPr>
                <w:sz w:val="20"/>
                <w:szCs w:val="20"/>
                <w:color w:val="auto"/>
              </w:rPr>
            </w:pPr>
            <w:r>
              <w:rPr>
                <w:rFonts w:ascii="Arial" w:cs="Arial" w:eastAsia="Arial" w:hAnsi="Arial"/>
                <w:sz w:val="18"/>
                <w:szCs w:val="18"/>
                <w:color w:val="auto"/>
              </w:rPr>
              <w:t>Plus, year-end fair value of outstanding and</w:t>
            </w:r>
          </w:p>
        </w:tc>
        <w:tc>
          <w:tcPr>
            <w:tcW w:w="2480" w:type="dxa"/>
            <w:vAlign w:val="bottom"/>
            <w:tcBorders>
              <w:top w:val="single" w:sz="8" w:color="00C08A"/>
            </w:tcBorders>
            <w:gridSpan w:val="7"/>
            <w:shd w:val="clear" w:color="auto" w:fill="CCEEFF"/>
          </w:tcPr>
          <w:p>
            <w:pPr>
              <w:jc w:val="right"/>
              <w:spacing w:after="0"/>
              <w:rPr>
                <w:sz w:val="20"/>
                <w:szCs w:val="20"/>
                <w:color w:val="auto"/>
              </w:rPr>
            </w:pPr>
            <w:r>
              <w:rPr>
                <w:rFonts w:ascii="Arial" w:cs="Arial" w:eastAsia="Arial" w:hAnsi="Arial"/>
                <w:sz w:val="18"/>
                <w:szCs w:val="18"/>
                <w:color w:val="auto"/>
              </w:rPr>
              <w:t>​ ​​2,670,875​​ ​​1,717,954​​ ​​</w:t>
            </w:r>
          </w:p>
        </w:tc>
        <w:tc>
          <w:tcPr>
            <w:tcW w:w="1120" w:type="dxa"/>
            <w:vAlign w:val="bottom"/>
            <w:tcBorders>
              <w:top w:val="single" w:sz="8" w:color="00C08A"/>
            </w:tcBorders>
            <w:gridSpan w:val="3"/>
            <w:shd w:val="clear" w:color="auto" w:fill="CCEEFF"/>
          </w:tcPr>
          <w:p>
            <w:pPr>
              <w:jc w:val="right"/>
              <w:spacing w:after="0"/>
              <w:rPr>
                <w:sz w:val="20"/>
                <w:szCs w:val="20"/>
                <w:color w:val="auto"/>
              </w:rPr>
            </w:pPr>
            <w:r>
              <w:rPr>
                <w:rFonts w:ascii="Arial" w:cs="Arial" w:eastAsia="Arial" w:hAnsi="Arial"/>
                <w:sz w:val="18"/>
                <w:szCs w:val="18"/>
                <w:color w:val="auto"/>
              </w:rPr>
              <w:t>638,834​​ ​​</w:t>
            </w:r>
          </w:p>
        </w:tc>
        <w:tc>
          <w:tcPr>
            <w:tcW w:w="1820" w:type="dxa"/>
            <w:vAlign w:val="bottom"/>
            <w:tcBorders>
              <w:top w:val="single" w:sz="8" w:color="00C08A"/>
            </w:tcBorders>
            <w:gridSpan w:val="4"/>
            <w:shd w:val="clear" w:color="auto" w:fill="CCEEFF"/>
          </w:tcPr>
          <w:p>
            <w:pPr>
              <w:jc w:val="right"/>
              <w:spacing w:after="0"/>
              <w:rPr>
                <w:sz w:val="20"/>
                <w:szCs w:val="20"/>
                <w:color w:val="auto"/>
              </w:rPr>
            </w:pPr>
            <w:r>
              <w:rPr>
                <w:rFonts w:ascii="Arial" w:cs="Arial" w:eastAsia="Arial" w:hAnsi="Arial"/>
                <w:sz w:val="18"/>
                <w:szCs w:val="18"/>
                <w:color w:val="auto"/>
              </w:rPr>
              <w:t>563,080​​ ​​2,912,547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awards granted in the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rPr>
              <w:t>Plus, fair value as of vesting date of equity</w:t>
            </w:r>
          </w:p>
        </w:tc>
        <w:tc>
          <w:tcPr>
            <w:tcW w:w="3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256,760​​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369,392​​ ​​</w:t>
            </w:r>
          </w:p>
        </w:tc>
        <w:tc>
          <w:tcPr>
            <w:tcW w:w="112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414,794​​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385,950​​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883,726</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awards granted and vested in the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96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22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307,181</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60" w:type="dxa"/>
            <w:vAlign w:val="bottom"/>
            <w:shd w:val="clear" w:color="auto" w:fill="CCEEFF"/>
          </w:tcPr>
          <w:p>
            <w:pPr>
              <w:jc w:val="right"/>
              <w:ind w:right="131"/>
              <w:spacing w:after="0" w:line="63" w:lineRule="exact"/>
              <w:rPr>
                <w:sz w:val="20"/>
                <w:szCs w:val="20"/>
                <w:color w:val="auto"/>
              </w:rPr>
            </w:pPr>
            <w:r>
              <w:rPr>
                <w:rFonts w:ascii="Arial" w:cs="Arial" w:eastAsia="Arial" w:hAnsi="Arial"/>
                <w:sz w:val="7"/>
                <w:szCs w:val="7"/>
                <w:color w:val="auto"/>
              </w:rPr>
              <w:t>756,036</w:t>
            </w:r>
          </w:p>
        </w:tc>
        <w:tc>
          <w:tcPr>
            <w:tcW w:w="140" w:type="dxa"/>
            <w:vAlign w:val="bottom"/>
            <w:vMerge w:val="continue"/>
            <w:shd w:val="clear" w:color="auto" w:fill="CCEEFF"/>
          </w:tcPr>
          <w:p>
            <w:pPr>
              <w:spacing w:after="0"/>
              <w:rPr>
                <w:sz w:val="5"/>
                <w:szCs w:val="5"/>
                <w:color w:val="auto"/>
              </w:rPr>
            </w:pPr>
          </w:p>
        </w:tc>
        <w:tc>
          <w:tcPr>
            <w:tcW w:w="940" w:type="dxa"/>
            <w:vAlign w:val="bottom"/>
            <w:gridSpan w:val="2"/>
            <w:shd w:val="clear" w:color="auto" w:fill="CCEEFF"/>
          </w:tcPr>
          <w:p>
            <w:pPr>
              <w:jc w:val="right"/>
              <w:ind w:right="50"/>
              <w:spacing w:after="0" w:line="63" w:lineRule="exact"/>
              <w:rPr>
                <w:sz w:val="20"/>
                <w:szCs w:val="20"/>
                <w:color w:val="auto"/>
              </w:rPr>
            </w:pPr>
            <w:r>
              <w:rPr>
                <w:rFonts w:ascii="Arial" w:cs="Arial" w:eastAsia="Arial" w:hAnsi="Arial"/>
                <w:sz w:val="7"/>
                <w:szCs w:val="7"/>
                <w:color w:val="auto"/>
              </w:rPr>
              <w:t>(4,106)</w:t>
            </w:r>
          </w:p>
        </w:tc>
        <w:tc>
          <w:tcPr>
            <w:tcW w:w="120" w:type="dxa"/>
            <w:vAlign w:val="bottom"/>
            <w:vMerge w:val="continue"/>
            <w:shd w:val="clear" w:color="auto" w:fill="CCEEFF"/>
          </w:tcPr>
          <w:p>
            <w:pPr>
              <w:spacing w:after="0"/>
              <w:rPr>
                <w:sz w:val="5"/>
                <w:szCs w:val="5"/>
                <w:color w:val="auto"/>
              </w:rPr>
            </w:pPr>
          </w:p>
        </w:tc>
        <w:tc>
          <w:tcPr>
            <w:tcW w:w="980" w:type="dxa"/>
            <w:vAlign w:val="bottom"/>
            <w:gridSpan w:val="2"/>
            <w:shd w:val="clear" w:color="auto" w:fill="CCEEFF"/>
          </w:tcPr>
          <w:p>
            <w:pPr>
              <w:jc w:val="right"/>
              <w:ind w:right="70"/>
              <w:spacing w:after="0" w:line="63" w:lineRule="exact"/>
              <w:rPr>
                <w:sz w:val="20"/>
                <w:szCs w:val="20"/>
                <w:color w:val="auto"/>
              </w:rPr>
            </w:pPr>
            <w:r>
              <w:rPr>
                <w:rFonts w:ascii="Arial" w:cs="Arial" w:eastAsia="Arial" w:hAnsi="Arial"/>
                <w:sz w:val="7"/>
                <w:szCs w:val="7"/>
                <w:color w:val="auto"/>
              </w:rPr>
              <w:t>(620,849)</w:t>
            </w:r>
          </w:p>
        </w:tc>
        <w:tc>
          <w:tcPr>
            <w:tcW w:w="14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outstanding and unvested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granted in prior years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760" w:type="dxa"/>
            <w:vAlign w:val="bottom"/>
            <w:tcBorders>
              <w:top w:val="single" w:sz="8" w:color="00C08A"/>
            </w:tcBorders>
            <w:vMerge w:val="restart"/>
          </w:tcPr>
          <w:p>
            <w:pPr>
              <w:ind w:left="180"/>
              <w:spacing w:after="0"/>
              <w:rPr>
                <w:sz w:val="20"/>
                <w:szCs w:val="20"/>
                <w:color w:val="auto"/>
              </w:rPr>
            </w:pPr>
            <w:r>
              <w:rPr>
                <w:rFonts w:ascii="Arial" w:cs="Arial" w:eastAsia="Arial" w:hAnsi="Arial"/>
                <w:sz w:val="18"/>
                <w:szCs w:val="18"/>
                <w:color w:val="auto"/>
              </w:rPr>
              <w:t>Plus (less), year over year change in fair</w:t>
            </w:r>
          </w:p>
        </w:tc>
        <w:tc>
          <w:tcPr>
            <w:tcW w:w="220" w:type="dxa"/>
            <w:vAlign w:val="bottom"/>
            <w:tcBorders>
              <w:top w:val="single" w:sz="8" w:color="00C08A"/>
            </w:tcBorders>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00C08A"/>
            </w:tcBorders>
          </w:tcPr>
          <w:p>
            <w:pPr>
              <w:spacing w:after="0"/>
              <w:rPr>
                <w:sz w:val="13"/>
                <w:szCs w:val="13"/>
                <w:color w:val="auto"/>
              </w:rPr>
            </w:pPr>
          </w:p>
        </w:tc>
        <w:tc>
          <w:tcPr>
            <w:tcW w:w="20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4,997</w:t>
            </w:r>
          </w:p>
        </w:tc>
        <w:tc>
          <w:tcPr>
            <w:tcW w:w="220" w:type="dxa"/>
            <w:vAlign w:val="bottom"/>
            <w:tcBorders>
              <w:top w:val="single" w:sz="8" w:color="00C08A"/>
            </w:tcBorders>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117,898</w:t>
            </w:r>
          </w:p>
        </w:tc>
        <w:tc>
          <w:tcPr>
            <w:tcW w:w="220" w:type="dxa"/>
            <w:vAlign w:val="bottom"/>
            <w:tcBorders>
              <w:top w:val="single" w:sz="8" w:color="00C08A"/>
            </w:tcBorders>
          </w:tcPr>
          <w:p>
            <w:pPr>
              <w:spacing w:after="0" w:line="15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C08A"/>
            </w:tcBorders>
            <w:vMerge w:val="restart"/>
          </w:tcPr>
          <w:p>
            <w:pPr>
              <w:jc w:val="right"/>
              <w:spacing w:after="0"/>
              <w:rPr>
                <w:sz w:val="20"/>
                <w:szCs w:val="20"/>
                <w:color w:val="auto"/>
              </w:rPr>
            </w:pPr>
            <w:r>
              <w:rPr>
                <w:rFonts w:ascii="Arial" w:cs="Arial" w:eastAsia="Arial" w:hAnsi="Arial"/>
                <w:sz w:val="18"/>
                <w:szCs w:val="18"/>
                <w:color w:val="auto"/>
              </w:rPr>
              <w:t>224,850</w:t>
            </w:r>
          </w:p>
        </w:tc>
        <w:tc>
          <w:tcPr>
            <w:tcW w:w="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3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60" w:type="dxa"/>
            <w:vAlign w:val="bottom"/>
          </w:tcPr>
          <w:p>
            <w:pPr>
              <w:jc w:val="right"/>
              <w:ind w:right="71"/>
              <w:spacing w:after="0" w:line="63" w:lineRule="exact"/>
              <w:rPr>
                <w:sz w:val="20"/>
                <w:szCs w:val="20"/>
                <w:color w:val="auto"/>
              </w:rPr>
            </w:pPr>
            <w:r>
              <w:rPr>
                <w:rFonts w:ascii="Arial" w:cs="Arial" w:eastAsia="Arial" w:hAnsi="Arial"/>
                <w:sz w:val="7"/>
                <w:szCs w:val="7"/>
                <w:color w:val="auto"/>
              </w:rPr>
              <w:t>(158,812)</w:t>
            </w:r>
          </w:p>
        </w:tc>
        <w:tc>
          <w:tcPr>
            <w:tcW w:w="140" w:type="dxa"/>
            <w:vAlign w:val="bottom"/>
            <w:vMerge w:val="continue"/>
          </w:tcPr>
          <w:p>
            <w:pPr>
              <w:spacing w:after="0"/>
              <w:rPr>
                <w:sz w:val="5"/>
                <w:szCs w:val="5"/>
                <w:color w:val="auto"/>
              </w:rPr>
            </w:pPr>
          </w:p>
        </w:tc>
        <w:tc>
          <w:tcPr>
            <w:tcW w:w="940" w:type="dxa"/>
            <w:vAlign w:val="bottom"/>
            <w:gridSpan w:val="2"/>
          </w:tcPr>
          <w:p>
            <w:pPr>
              <w:jc w:val="right"/>
              <w:ind w:right="50"/>
              <w:spacing w:after="0" w:line="63" w:lineRule="exact"/>
              <w:rPr>
                <w:sz w:val="20"/>
                <w:szCs w:val="20"/>
                <w:color w:val="auto"/>
              </w:rPr>
            </w:pPr>
            <w:r>
              <w:rPr>
                <w:rFonts w:ascii="Arial" w:cs="Arial" w:eastAsia="Arial" w:hAnsi="Arial"/>
                <w:sz w:val="7"/>
                <w:szCs w:val="7"/>
                <w:color w:val="auto"/>
              </w:rPr>
              <w:t>(56,921)</w:t>
            </w:r>
          </w:p>
        </w:tc>
        <w:tc>
          <w:tcPr>
            <w:tcW w:w="1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value of equity awards granted in prior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that vested in the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00" w:type="dxa"/>
            <w:vAlign w:val="bottom"/>
            <w:tcBorders>
              <w:bottom w:val="single" w:sz="8" w:color="00C08A"/>
            </w:tcBorders>
          </w:tcPr>
          <w:p>
            <w:pPr>
              <w:spacing w:after="0"/>
              <w:rPr>
                <w:sz w:val="2"/>
                <w:szCs w:val="2"/>
                <w:color w:val="auto"/>
              </w:rPr>
            </w:pPr>
          </w:p>
        </w:tc>
        <w:tc>
          <w:tcPr>
            <w:tcW w:w="96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40" w:type="dxa"/>
            <w:vAlign w:val="bottom"/>
            <w:tcBorders>
              <w:bottom w:val="single" w:sz="8" w:color="00C08A"/>
            </w:tcBorders>
          </w:tcPr>
          <w:p>
            <w:pPr>
              <w:spacing w:after="0"/>
              <w:rPr>
                <w:sz w:val="2"/>
                <w:szCs w:val="2"/>
                <w:color w:val="auto"/>
              </w:rPr>
            </w:pPr>
          </w:p>
        </w:tc>
        <w:tc>
          <w:tcPr>
            <w:tcW w:w="20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40" w:type="dxa"/>
            <w:vAlign w:val="bottom"/>
            <w:tcBorders>
              <w:bottom w:val="single" w:sz="8" w:color="00C08A"/>
            </w:tcBorders>
          </w:tcPr>
          <w:p>
            <w:pPr>
              <w:spacing w:after="0"/>
              <w:rPr>
                <w:sz w:val="2"/>
                <w:szCs w:val="2"/>
                <w:color w:val="auto"/>
              </w:rPr>
            </w:pPr>
          </w:p>
        </w:tc>
        <w:tc>
          <w:tcPr>
            <w:tcW w:w="720" w:type="dxa"/>
            <w:vAlign w:val="bottom"/>
            <w:tcBorders>
              <w:bottom w:val="single" w:sz="8" w:color="00C08A"/>
            </w:tcBorders>
          </w:tcPr>
          <w:p>
            <w:pPr>
              <w:spacing w:after="0"/>
              <w:rPr>
                <w:sz w:val="2"/>
                <w:szCs w:val="2"/>
                <w:color w:val="auto"/>
              </w:rPr>
            </w:pPr>
          </w:p>
        </w:tc>
        <w:tc>
          <w:tcPr>
            <w:tcW w:w="220" w:type="dxa"/>
            <w:vAlign w:val="bottom"/>
            <w:tcBorders>
              <w:bottom w:val="single" w:sz="8" w:color="00C08A"/>
            </w:tcBorders>
          </w:tcPr>
          <w:p>
            <w:pPr>
              <w:spacing w:after="0"/>
              <w:rPr>
                <w:sz w:val="2"/>
                <w:szCs w:val="2"/>
                <w:color w:val="auto"/>
              </w:rPr>
            </w:pPr>
          </w:p>
        </w:tc>
        <w:tc>
          <w:tcPr>
            <w:tcW w:w="120" w:type="dxa"/>
            <w:vAlign w:val="bottom"/>
            <w:tcBorders>
              <w:bottom w:val="single" w:sz="8" w:color="00C08A"/>
            </w:tcBorders>
          </w:tcPr>
          <w:p>
            <w:pPr>
              <w:spacing w:after="0"/>
              <w:rPr>
                <w:sz w:val="2"/>
                <w:szCs w:val="2"/>
                <w:color w:val="auto"/>
              </w:rPr>
            </w:pPr>
          </w:p>
        </w:tc>
        <w:tc>
          <w:tcPr>
            <w:tcW w:w="760" w:type="dxa"/>
            <w:vAlign w:val="bottom"/>
            <w:tcBorders>
              <w:bottom w:val="single" w:sz="8" w:color="00C08A"/>
            </w:tcBorders>
          </w:tcPr>
          <w:p>
            <w:pPr>
              <w:spacing w:after="0"/>
              <w:rPr>
                <w:sz w:val="2"/>
                <w:szCs w:val="2"/>
                <w:color w:val="auto"/>
              </w:rPr>
            </w:pPr>
          </w:p>
        </w:tc>
        <w:tc>
          <w:tcPr>
            <w:tcW w:w="60" w:type="dxa"/>
            <w:vAlign w:val="bottom"/>
            <w:vMerge w:val="restart"/>
          </w:tcPr>
          <w:p>
            <w:pPr>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7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Less, fair value of awards granted prior to</w:t>
            </w:r>
          </w:p>
        </w:tc>
        <w:tc>
          <w:tcPr>
            <w:tcW w:w="22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rPr>
              <w:t>​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(315,799</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60" w:type="dxa"/>
            <w:vAlign w:val="bottom"/>
            <w:shd w:val="clear" w:color="auto" w:fill="CCEEFF"/>
          </w:tcPr>
          <w:p>
            <w:pPr>
              <w:jc w:val="right"/>
              <w:ind w:right="131"/>
              <w:spacing w:after="0" w:line="63" w:lineRule="exact"/>
              <w:rPr>
                <w:sz w:val="20"/>
                <w:szCs w:val="20"/>
                <w:color w:val="auto"/>
              </w:rPr>
            </w:pPr>
            <w:r>
              <w:rPr>
                <w:rFonts w:ascii="Arial" w:cs="Arial" w:eastAsia="Arial" w:hAnsi="Arial"/>
                <w:sz w:val="7"/>
                <w:szCs w:val="7"/>
                <w:color w:val="auto"/>
              </w:rPr>
              <w:t>—</w:t>
            </w:r>
          </w:p>
        </w:tc>
        <w:tc>
          <w:tcPr>
            <w:tcW w:w="14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60" w:type="dxa"/>
            <w:vAlign w:val="bottom"/>
          </w:tcPr>
          <w:p>
            <w:pPr>
              <w:spacing w:after="0" w:line="63"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covered year that were forfeited during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covered year</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tcBorders>
              <w:top w:val="single" w:sz="8" w:color="00C08A"/>
            </w:tcBorders>
          </w:tcPr>
          <w:p>
            <w:pPr>
              <w:ind w:left="180"/>
              <w:spacing w:after="0"/>
              <w:rPr>
                <w:sz w:val="20"/>
                <w:szCs w:val="20"/>
                <w:color w:val="auto"/>
              </w:rPr>
            </w:pPr>
            <w:r>
              <w:rPr>
                <w:rFonts w:ascii="Arial" w:cs="Arial" w:eastAsia="Arial" w:hAnsi="Arial"/>
                <w:sz w:val="18"/>
                <w:szCs w:val="18"/>
                <w:color w:val="auto"/>
                <w:w w:val="99"/>
              </w:rPr>
              <w:t>Plus, dividends or other earnings paid during</w:t>
            </w:r>
          </w:p>
        </w:tc>
        <w:tc>
          <w:tcPr>
            <w:tcW w:w="32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tcBorders>
              <w:top w:val="single" w:sz="8" w:color="00C08A"/>
            </w:tcBorders>
            <w:gridSpan w:val="2"/>
          </w:tcPr>
          <w:p>
            <w:pPr>
              <w:jc w:val="right"/>
              <w:spacing w:after="0"/>
              <w:rPr>
                <w:sz w:val="20"/>
                <w:szCs w:val="20"/>
                <w:color w:val="auto"/>
              </w:rPr>
            </w:pPr>
            <w:r>
              <w:rPr>
                <w:rFonts w:ascii="Arial" w:cs="Arial" w:eastAsia="Arial" w:hAnsi="Arial"/>
                <w:sz w:val="18"/>
                <w:szCs w:val="18"/>
                <w:color w:val="auto"/>
              </w:rPr>
              <w:t>117,054​​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111,276​​ ​​</w:t>
            </w:r>
          </w:p>
        </w:tc>
        <w:tc>
          <w:tcPr>
            <w:tcW w:w="112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101,362​​ ​​</w:t>
            </w:r>
          </w:p>
        </w:tc>
        <w:tc>
          <w:tcPr>
            <w:tcW w:w="1060" w:type="dxa"/>
            <w:vAlign w:val="bottom"/>
            <w:tcBorders>
              <w:top w:val="single" w:sz="8" w:color="00C08A"/>
            </w:tcBorders>
            <w:gridSpan w:val="3"/>
          </w:tcPr>
          <w:p>
            <w:pPr>
              <w:jc w:val="right"/>
              <w:spacing w:after="0"/>
              <w:rPr>
                <w:sz w:val="20"/>
                <w:szCs w:val="20"/>
                <w:color w:val="auto"/>
              </w:rPr>
            </w:pPr>
            <w:r>
              <w:rPr>
                <w:rFonts w:ascii="Arial" w:cs="Arial" w:eastAsia="Arial" w:hAnsi="Arial"/>
                <w:sz w:val="18"/>
                <w:szCs w:val="18"/>
                <w:color w:val="auto"/>
              </w:rPr>
              <w:t>137,112​​ ​​</w:t>
            </w:r>
          </w:p>
        </w:tc>
        <w:tc>
          <w:tcPr>
            <w:tcW w:w="760" w:type="dxa"/>
            <w:vAlign w:val="bottom"/>
            <w:tcBorders>
              <w:top w:val="single" w:sz="8" w:color="00C08A"/>
            </w:tcBorders>
          </w:tcPr>
          <w:p>
            <w:pPr>
              <w:jc w:val="right"/>
              <w:spacing w:after="0"/>
              <w:rPr>
                <w:sz w:val="20"/>
                <w:szCs w:val="20"/>
                <w:color w:val="auto"/>
              </w:rPr>
            </w:pPr>
            <w:r>
              <w:rPr>
                <w:rFonts w:ascii="Arial" w:cs="Arial" w:eastAsia="Arial" w:hAnsi="Arial"/>
                <w:sz w:val="18"/>
                <w:szCs w:val="18"/>
                <w:color w:val="auto"/>
              </w:rPr>
              <w:t>128,129</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covered year, prior to vesting date of award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760"/>
        <w:spacing w:after="0" w:line="327" w:lineRule="auto"/>
        <w:rPr>
          <w:sz w:val="20"/>
          <w:szCs w:val="20"/>
          <w:color w:val="auto"/>
        </w:rPr>
      </w:pPr>
      <w:r>
        <w:rPr>
          <w:rFonts w:ascii="Arial" w:cs="Arial" w:eastAsia="Arial" w:hAnsi="Arial"/>
          <w:sz w:val="18"/>
          <w:szCs w:val="18"/>
          <w:b w:val="1"/>
          <w:bCs w:val="1"/>
          <w:color w:val="auto"/>
        </w:rPr>
        <w:t xml:space="preserve">Average Compensation “Actually Paid” to </w:t>
      </w:r>
      <w:r>
        <w:rPr>
          <w:rFonts w:ascii="Arial" w:cs="Arial" w:eastAsia="Arial" w:hAnsi="Arial"/>
          <w:sz w:val="18"/>
          <w:szCs w:val="18"/>
          <w:color w:val="auto"/>
        </w:rPr>
        <w:t>​ ​​5,200,672​​ ​​3,564,802​​ ​​1,959,138​​ ​​3,033,721​​ ​​5,679,546​</w:t>
      </w:r>
      <w:r>
        <w:rPr>
          <w:rFonts w:ascii="Arial" w:cs="Arial" w:eastAsia="Arial" w:hAnsi="Arial"/>
          <w:sz w:val="18"/>
          <w:szCs w:val="18"/>
          <w:b w:val="1"/>
          <w:bCs w:val="1"/>
          <w:color w:val="auto"/>
        </w:rPr>
        <w:t xml:space="preserve"> Non-CEO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-354330</wp:posOffset>
            </wp:positionV>
            <wp:extent cx="5829300" cy="3257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0" cy="325755"/>
                    </a:xfrm>
                    <a:prstGeom prst="rect">
                      <a:avLst/>
                    </a:prstGeom>
                    <a:noFill/>
                  </pic:spPr>
                </pic:pic>
              </a:graphicData>
            </a:graphic>
          </wp:anchor>
        </w:drawing>
      </w:r>
    </w:p>
    <w:p>
      <w:pPr>
        <w:ind w:left="980" w:right="80" w:hanging="218"/>
        <w:spacing w:after="0" w:line="305"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Assumes $100 was invested in our Class A Common Stock on December 31, 2019, and that dividends were reinvested on the date of payment without payment of any commissions or consideration of income taxes.</w:t>
      </w:r>
    </w:p>
    <w:p>
      <w:pPr>
        <w:spacing w:after="0" w:line="76" w:lineRule="exact"/>
        <w:rPr>
          <w:rFonts w:ascii="Arial" w:cs="Arial" w:eastAsia="Arial" w:hAnsi="Arial"/>
          <w:sz w:val="14"/>
          <w:szCs w:val="14"/>
          <w:color w:val="auto"/>
        </w:rPr>
      </w:pPr>
    </w:p>
    <w:p>
      <w:pPr>
        <w:ind w:left="980" w:right="120" w:hanging="218"/>
        <w:spacing w:after="0" w:line="283"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peer group indices used by the Company consists of the NYSE Arca Securities Broker/Dealer Index. The calculation assumes $100 was invested in our Class A Common Stock on December 31, 2019, and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193040</wp:posOffset>
            </wp:positionV>
            <wp:extent cx="754380"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980" w:right="80" w:hanging="218"/>
        <w:spacing w:after="0" w:line="273"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“EBITDA” and “Adjusted EBITDA” are non-GAAP financial measures of financial performance. “EBITDA”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measures our operating performance by further adjusting EBITDA to exclude severance, transaction advisory fees and expenses, termination of office leases, charges related to share-based compensation and other expenses, which includes reserves for legal matters, COVID-19 one-time costs and donations for 2020, 2021 and 2022 and Other, net, which includes gains and losses from strategic investments and the sales of businesses. Reconciliations of Net Income to EBITDA and Adjusted EBITDA are available at https://ir.virtu.com/financials-and-filings/quarterly-results/default.aspx.</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Relationship Between “Compensation Actually Paid” and Performance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charts that follow depict the relationship of “compensation actually paid” (“CAP”)​ to our CEO and other NEOs to</w:t>
      </w:r>
    </w:p>
    <w:p>
      <w:pPr>
        <w:spacing w:after="0" w:line="27" w:lineRule="exact"/>
        <w:rPr>
          <w:sz w:val="20"/>
          <w:szCs w:val="20"/>
          <w:color w:val="auto"/>
        </w:rPr>
      </w:pPr>
    </w:p>
    <w:p>
      <w:pPr>
        <w:ind w:left="760" w:right="340" w:firstLine="2"/>
        <w:spacing w:after="0" w:line="266"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TSR of the Company and its peer group (as described in Footnote 6 above), (ii) the Company’s net income, and (iii) the Company’s annual Adjusted EBITDA:</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Total Shareholder Return</w:t>
      </w:r>
    </w:p>
    <w:p>
      <w:pPr>
        <w:spacing w:after="0" w:line="115"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TSR. This is primarily due to the Company’s use of annual and long-term equity incentives, the value of which are tied directly to stock price performance and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68580</wp:posOffset>
            </wp:positionV>
            <wp:extent cx="5220335" cy="3660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2033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Net Income</w:t>
      </w:r>
    </w:p>
    <w:p>
      <w:pPr>
        <w:spacing w:after="0" w:line="115" w:lineRule="exact"/>
        <w:rPr>
          <w:sz w:val="20"/>
          <w:szCs w:val="20"/>
          <w:color w:val="auto"/>
        </w:rPr>
      </w:pPr>
    </w:p>
    <w:p>
      <w:pPr>
        <w:ind w:left="760" w:right="32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Net Income. This is primarily due to the Company’s use of quantitative financial performance metrics in determining annual bonus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77470</wp:posOffset>
            </wp:positionV>
            <wp:extent cx="5220335" cy="3463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20335" cy="34632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7012305</wp:posOffset>
            </wp:positionV>
            <wp:extent cx="754380" cy="240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CAP versus Annual Adjusted EBITDA</w:t>
      </w:r>
    </w:p>
    <w:p>
      <w:pPr>
        <w:spacing w:after="0" w:line="115" w:lineRule="exact"/>
        <w:rPr>
          <w:sz w:val="20"/>
          <w:szCs w:val="20"/>
          <w:color w:val="auto"/>
        </w:rPr>
      </w:pPr>
    </w:p>
    <w:p>
      <w:pPr>
        <w:jc w:val="both"/>
        <w:ind w:left="760" w:right="660"/>
        <w:spacing w:after="0" w:line="268" w:lineRule="auto"/>
        <w:rPr>
          <w:sz w:val="20"/>
          <w:szCs w:val="20"/>
          <w:color w:val="auto"/>
        </w:rPr>
      </w:pPr>
      <w:r>
        <w:rPr>
          <w:rFonts w:ascii="Arial" w:cs="Arial" w:eastAsia="Arial" w:hAnsi="Arial"/>
          <w:sz w:val="18"/>
          <w:szCs w:val="18"/>
          <w:color w:val="auto"/>
        </w:rPr>
        <w:t>The chart below shows the relationship between the CEO and other NEOs’ CAP amounts and the Company’s Adjusted EBITDA. This is primarily due to the Company’s use of quantitative financial performance metrics in determining annual bonus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77470</wp:posOffset>
            </wp:positionV>
            <wp:extent cx="5220335" cy="3463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2033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Most Important Financial Performance Measures</w:t>
      </w:r>
    </w:p>
    <w:p>
      <w:pPr>
        <w:spacing w:after="0" w:line="115"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color w:val="auto"/>
        </w:rPr>
        <w:t>The following provides a list of the financial performance measures that we believe are the most important financial performance measures used to link the compensation awarded to our named executive officers to the Company’s performance. For more information, please see the “Executive Compensation — Compensation Discussion and Analysis” section above.</w:t>
      </w:r>
    </w:p>
    <w:p>
      <w:pPr>
        <w:spacing w:after="0" w:line="68" w:lineRule="exact"/>
        <w:rPr>
          <w:sz w:val="20"/>
          <w:szCs w:val="20"/>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Adjusted EBITDA</w:t>
      </w:r>
    </w:p>
    <w:p>
      <w:pPr>
        <w:spacing w:after="0" w:line="117" w:lineRule="exact"/>
        <w:rPr>
          <w:rFonts w:ascii="Arial" w:cs="Arial" w:eastAsia="Arial" w:hAnsi="Arial"/>
          <w:sz w:val="18"/>
          <w:szCs w:val="18"/>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Trading Income</w:t>
      </w:r>
    </w:p>
    <w:p>
      <w:pPr>
        <w:spacing w:after="0" w:line="117" w:lineRule="exact"/>
        <w:rPr>
          <w:rFonts w:ascii="Arial" w:cs="Arial" w:eastAsia="Arial" w:hAnsi="Arial"/>
          <w:sz w:val="18"/>
          <w:szCs w:val="18"/>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Trading Income from Growth Initiatives</w:t>
      </w:r>
    </w:p>
    <w:p>
      <w:pPr>
        <w:spacing w:after="0" w:line="117" w:lineRule="exact"/>
        <w:rPr>
          <w:rFonts w:ascii="Arial" w:cs="Arial" w:eastAsia="Arial" w:hAnsi="Arial"/>
          <w:sz w:val="18"/>
          <w:szCs w:val="18"/>
          <w:color w:val="auto"/>
        </w:rPr>
      </w:pPr>
    </w:p>
    <w:p>
      <w:pPr>
        <w:ind w:left="1340" w:hanging="2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Operating Expenses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Cifu</w:t>
      </w:r>
    </w:p>
    <w:p>
      <w:pPr>
        <w:spacing w:after="0" w:line="115" w:lineRule="exact"/>
        <w:rPr>
          <w:sz w:val="20"/>
          <w:szCs w:val="20"/>
          <w:color w:val="auto"/>
        </w:rPr>
      </w:pPr>
    </w:p>
    <w:p>
      <w:pPr>
        <w:ind w:left="760" w:right="100"/>
        <w:spacing w:after="0" w:line="272" w:lineRule="auto"/>
        <w:rPr>
          <w:sz w:val="20"/>
          <w:szCs w:val="20"/>
          <w:color w:val="auto"/>
        </w:rPr>
      </w:pPr>
      <w:r>
        <w:rPr>
          <w:rFonts w:ascii="Arial" w:cs="Arial" w:eastAsia="Arial" w:hAnsi="Arial"/>
          <w:sz w:val="17"/>
          <w:szCs w:val="17"/>
          <w:color w:val="auto"/>
        </w:rPr>
        <w:t>On April 29, 2022, we entered into a new employment agreement (the “</w:t>
      </w:r>
      <w:r>
        <w:rPr>
          <w:rFonts w:ascii="Arial" w:cs="Arial" w:eastAsia="Arial" w:hAnsi="Arial"/>
          <w:sz w:val="17"/>
          <w:szCs w:val="17"/>
          <w:b w:val="1"/>
          <w:bCs w:val="1"/>
          <w:color w:val="auto"/>
        </w:rPr>
        <w:t>New CEO Employment Agreement</w:t>
      </w:r>
      <w:r>
        <w:rPr>
          <w:rFonts w:ascii="Arial" w:cs="Arial" w:eastAsia="Arial" w:hAnsi="Arial"/>
          <w:sz w:val="17"/>
          <w:szCs w:val="17"/>
          <w:color w:val="auto"/>
        </w:rPr>
        <w:t>”) with Mr. Cifu, which amended and restated the terms of his prior employment agreement dated November 15, 2017 (the “</w:t>
      </w:r>
      <w:r>
        <w:rPr>
          <w:rFonts w:ascii="Arial" w:cs="Arial" w:eastAsia="Arial" w:hAnsi="Arial"/>
          <w:sz w:val="17"/>
          <w:szCs w:val="17"/>
          <w:b w:val="1"/>
          <w:bCs w:val="1"/>
          <w:color w:val="auto"/>
        </w:rPr>
        <w:t>Prior CEO Employment Agreement</w:t>
      </w:r>
      <w:r>
        <w:rPr>
          <w:rFonts w:ascii="Arial" w:cs="Arial" w:eastAsia="Arial" w:hAnsi="Arial"/>
          <w:sz w:val="17"/>
          <w:szCs w:val="17"/>
          <w:color w:val="auto"/>
        </w:rPr>
        <w:t>”), pursuant to which Mr. Cifu will continue to serve as our Chief Executive Officer and report to our board of directors. Mr. Cifu’s duties, responsibilities and permitted activities are substantially identical to his prior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w:t>
      </w:r>
    </w:p>
    <w:p>
      <w:pPr>
        <w:spacing w:after="0" w:line="26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 The New CEO Employment Agreement has an initial term ending on February 28, 2028, extended from November 22, 2022 under the Prior CEO Employment Agreement, with automatic renewals for successive one-year terms thereafter unless either the Company or Mr. Cifu provides notice of non-renewal at least ninety days in advance of the expiration of the then 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82"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Under the New CEO Employment Agreement, Mr. Cifu’s base salary is $1,200,000, as compared to $1,000,000 under the Prior CEO Employment Agreement, and Mr. Cifu is eligible to earn an annual bonus with a target bonus opportunity equal to $3,000,000 and a maximum bonus opportunity equal to $6,000,000, as compared to a target bonus opportunity of $2,500,000 and a maximum bonus opportunity equal to $5,000,000 under the Prior CEO Employment Agreement. 50% of the annual bonus will be based on the achievement of quantitative targets composed of specific components of the Company’s annual budget and 50% of the annual bonus will be based on the achievement of qualitative goals, as compared to 80% based on the achievement of quantitative targets and 20% based on the achievement of qualitative targets under the Prior CEO Employment Agreement.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deferred share units (“</w:t>
      </w:r>
      <w:r>
        <w:rPr>
          <w:rFonts w:ascii="Arial" w:cs="Arial" w:eastAsia="Arial" w:hAnsi="Arial"/>
          <w:sz w:val="18"/>
          <w:szCs w:val="18"/>
          <w:b w:val="1"/>
          <w:bCs w:val="1"/>
          <w:color w:val="auto"/>
        </w:rPr>
        <w:t>DSUs</w:t>
      </w:r>
      <w:r>
        <w:rPr>
          <w:rFonts w:ascii="Arial" w:cs="Arial" w:eastAsia="Arial" w:hAnsi="Arial"/>
          <w:sz w:val="18"/>
          <w:szCs w:val="18"/>
          <w:color w:val="auto"/>
        </w:rPr>
        <w:t>”), which is consistent with the Prior CEO Employment Agreement.</w:t>
      </w:r>
    </w:p>
    <w:p>
      <w:pPr>
        <w:spacing w:after="0" w:line="71"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Consistent with the Prior CEO Employment Agreement, the New CEO Employment Agreement provides that, Mr. Cifu is eligible to receive an equity award at the beginning of each calendar year during the term (each such award to any executive, an “</w:t>
      </w:r>
      <w:r>
        <w:rPr>
          <w:rFonts w:ascii="Arial" w:cs="Arial" w:eastAsia="Arial" w:hAnsi="Arial"/>
          <w:sz w:val="18"/>
          <w:szCs w:val="18"/>
          <w:b w:val="1"/>
          <w:bCs w:val="1"/>
          <w:color w:val="auto"/>
        </w:rPr>
        <w:t>annual equity grant</w:t>
      </w:r>
      <w:r>
        <w:rPr>
          <w:rFonts w:ascii="Arial" w:cs="Arial" w:eastAsia="Arial" w:hAnsi="Arial"/>
          <w:sz w:val="18"/>
          <w:szCs w:val="18"/>
          <w:color w:val="auto"/>
        </w:rPr>
        <w:t>”). It is our board of directors’ current intention that the annual equity grant will be in the form of 150,000 restricted stock units of Class A common stock that are subject to performance and service conditions. The number of shares earned under each annual equity grant under the New CEO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Cifu’s continued employment through each applicable vesting date and in each case subject to the terms of the applicable award agreement.</w:t>
      </w:r>
    </w:p>
    <w:p>
      <w:pPr>
        <w:spacing w:after="0" w:line="82" w:lineRule="exact"/>
        <w:rPr>
          <w:sz w:val="20"/>
          <w:szCs w:val="20"/>
          <w:color w:val="auto"/>
        </w:rPr>
      </w:pPr>
    </w:p>
    <w:p>
      <w:pPr>
        <w:ind w:left="760" w:right="180"/>
        <w:spacing w:after="0" w:line="259" w:lineRule="auto"/>
        <w:rPr>
          <w:sz w:val="20"/>
          <w:szCs w:val="20"/>
          <w:color w:val="auto"/>
        </w:rPr>
      </w:pPr>
      <w:r>
        <w:rPr>
          <w:rFonts w:ascii="Arial" w:cs="Arial" w:eastAsia="Arial" w:hAnsi="Arial"/>
          <w:sz w:val="18"/>
          <w:szCs w:val="18"/>
          <w:color w:val="auto"/>
        </w:rPr>
        <w:t>Consistent with the Prior CEO Employment Agreement, the New CEO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71"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Consistent with the Prior CEO Employment Agreement, the New CEO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Consistent with the Prior CEO Employment Agreement, the New CEO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196215</wp:posOffset>
            </wp:positionV>
            <wp:extent cx="754380"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80"/>
        <w:spacing w:after="0" w:line="261" w:lineRule="auto"/>
        <w:rPr>
          <w:sz w:val="20"/>
          <w:szCs w:val="20"/>
          <w:color w:val="auto"/>
        </w:rPr>
      </w:pPr>
      <w:r>
        <w:rPr>
          <w:rFonts w:ascii="Arial" w:cs="Arial" w:eastAsia="Arial" w:hAnsi="Arial"/>
          <w:sz w:val="18"/>
          <w:szCs w:val="18"/>
          <w:color w:val="auto"/>
        </w:rPr>
        <w:t>Finally, consistent with the Prior CEO Employment Agreement, the New CEO Employment Agreement provides for severance upon certain terminations of employment as described below under “Potential Payments Upon Termination of Employment or Change in Control.”</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Molluso</w:t>
      </w:r>
    </w:p>
    <w:p>
      <w:pPr>
        <w:spacing w:after="0" w:line="115"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Virtu East entered into a new employment agreement with Mr. Molluso on December 1, 2022 (the “</w:t>
      </w:r>
      <w:r>
        <w:rPr>
          <w:rFonts w:ascii="Arial" w:cs="Arial" w:eastAsia="Arial" w:hAnsi="Arial"/>
          <w:sz w:val="18"/>
          <w:szCs w:val="18"/>
          <w:b w:val="1"/>
          <w:bCs w:val="1"/>
          <w:color w:val="auto"/>
        </w:rPr>
        <w:t>New Molluso</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restated the terms of his prior employment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2020 (the “</w:t>
      </w:r>
      <w:r>
        <w:rPr>
          <w:rFonts w:ascii="Arial" w:cs="Arial" w:eastAsia="Arial" w:hAnsi="Arial"/>
          <w:sz w:val="18"/>
          <w:szCs w:val="18"/>
          <w:b w:val="1"/>
          <w:bCs w:val="1"/>
          <w:color w:val="auto"/>
        </w:rPr>
        <w:t>Prior Molluso Employment Agreement</w:t>
      </w:r>
      <w:r>
        <w:rPr>
          <w:rFonts w:ascii="Arial" w:cs="Arial" w:eastAsia="Arial" w:hAnsi="Arial"/>
          <w:sz w:val="18"/>
          <w:szCs w:val="18"/>
          <w:color w:val="auto"/>
        </w:rPr>
        <w:t>”), pursuant to which Mr. Molluso will continue to serve as our Co-President and Co-Chief Operating Officer, reporting to our Chief Executive Officer. The New Molluso Employment Agreement, consistent with the Prior Molluso Employment Agreement, further provides that to the extent such activities do not significantly interfere with the performance of his duties, service and responsibilities,</w:t>
      </w:r>
    </w:p>
    <w:p>
      <w:pPr>
        <w:spacing w:after="0" w:line="3" w:lineRule="exact"/>
        <w:rPr>
          <w:sz w:val="20"/>
          <w:szCs w:val="20"/>
          <w:color w:val="auto"/>
        </w:rPr>
      </w:pPr>
    </w:p>
    <w:p>
      <w:pPr>
        <w:ind w:left="760" w:right="320"/>
        <w:spacing w:after="0" w:line="279" w:lineRule="auto"/>
        <w:rPr>
          <w:sz w:val="20"/>
          <w:szCs w:val="20"/>
          <w:color w:val="auto"/>
        </w:rPr>
      </w:pPr>
      <w:r>
        <w:rPr>
          <w:rFonts w:ascii="Arial" w:cs="Arial" w:eastAsia="Arial" w:hAnsi="Arial"/>
          <w:sz w:val="17"/>
          <w:szCs w:val="17"/>
          <w:color w:val="auto"/>
        </w:rPr>
        <w:t>Mr. Molluso is permitted to manage his personal, financial and legal affairs, serve on civic or charitable boards and committees and, to the extent approved by our board of directors, serve on corporate boards and committees.</w:t>
      </w:r>
    </w:p>
    <w:p>
      <w:pPr>
        <w:spacing w:after="0" w:line="54"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On February 26, 2025, the Company amended the New Molluso Employment Agreement employment agreement to extend the initial termination date from ending on April 30, 2026, until February 28, 2028, with automatic renewals for successive one-year terms thereafter unless either we or Mr. Molluso provides notice of non-renewal at least ninety days in advance of the expiration of the then current term. All other terms of the New Molluso Employment Agreement remain in full force.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5" w:lineRule="exact"/>
        <w:rPr>
          <w:sz w:val="20"/>
          <w:szCs w:val="20"/>
          <w:color w:val="auto"/>
        </w:rPr>
      </w:pPr>
    </w:p>
    <w:p>
      <w:pPr>
        <w:ind w:left="760" w:right="100"/>
        <w:spacing w:after="0" w:line="269" w:lineRule="auto"/>
        <w:rPr>
          <w:sz w:val="20"/>
          <w:szCs w:val="20"/>
          <w:color w:val="auto"/>
        </w:rPr>
      </w:pPr>
      <w:r>
        <w:rPr>
          <w:rFonts w:ascii="Arial" w:cs="Arial" w:eastAsia="Arial" w:hAnsi="Arial"/>
          <w:sz w:val="17"/>
          <w:szCs w:val="17"/>
          <w:color w:val="auto"/>
        </w:rPr>
        <w:t>Under the New Molluso Employment Agreement, Mr. Molluso’s base salary is $600,000, as compared to $500,000 under the Prior Molluso Employment Agreement, and Mr. Molluso is eligible to earn an annual bonus with a target amount of $2,000,000 and a maximum bonus opportunity equal to $3,000,000. Under the Prior Molluso Employment Agreement, Mr. Molluso was entitled to an annual bonus with a minimum amount of $2,500,000 with respect to the fiscal year ended December 31, 2020, and $1,500,000 with respect to the fiscal years ended December 31, 2021 and December 31, 2022, and a maximum bonus opportunity equal to $2,500,000 for such periods. Under the New Molluso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Molluso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New Molluso Employment Agreement provides that Mr. Molluso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Molluso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Molluso’s continued employment through each applicable vesting date and in each case subject to the terms of the applicable award agreement.</w:t>
      </w:r>
    </w:p>
    <w:p>
      <w:pPr>
        <w:spacing w:after="0" w:line="74"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The Prior Molluso Employment Agreement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60" w:lineRule="auto"/>
        <w:rPr>
          <w:sz w:val="20"/>
          <w:szCs w:val="20"/>
          <w:color w:val="auto"/>
        </w:rPr>
      </w:pPr>
      <w:r>
        <w:rPr>
          <w:rFonts w:ascii="Arial" w:cs="Arial" w:eastAsia="Arial" w:hAnsi="Arial"/>
          <w:sz w:val="17"/>
          <w:szCs w:val="17"/>
          <w:color w:val="auto"/>
        </w:rPr>
        <w:t>Consistent with the Prior Molluso Employment Agreement, the New Molluso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Molluso ceases to be an officer or employee of the Company. Consistent with the Prior Molluso Employment Agreement, the New Molluso Employment Agreement provides for severance upon certain terminations of employment as described below under “Potential Payments Upon Termination of Employment or Change in Control.”</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Fairclough</w:t>
      </w:r>
    </w:p>
    <w:p>
      <w:pPr>
        <w:spacing w:after="0" w:line="115"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Virtu East entered into a new employment agreement with Mr. Fairclough on December 1, 2022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Fairclough Employment Agreement”) </w:t>
      </w:r>
      <w:r>
        <w:rPr>
          <w:rFonts w:ascii="Arial" w:cs="Arial" w:eastAsia="Arial" w:hAnsi="Arial"/>
          <w:sz w:val="18"/>
          <w:szCs w:val="18"/>
          <w:color w:val="auto"/>
        </w:rPr>
        <w:t>which amended and restated the terms of his prior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February 26, 2020 (the “</w:t>
      </w:r>
      <w:r>
        <w:rPr>
          <w:rFonts w:ascii="Arial" w:cs="Arial" w:eastAsia="Arial" w:hAnsi="Arial"/>
          <w:sz w:val="18"/>
          <w:szCs w:val="18"/>
          <w:b w:val="1"/>
          <w:bCs w:val="1"/>
          <w:color w:val="auto"/>
        </w:rPr>
        <w:t>Prior Fairclough Employment Agreement</w:t>
      </w:r>
      <w:r>
        <w:rPr>
          <w:rFonts w:ascii="Arial" w:cs="Arial" w:eastAsia="Arial" w:hAnsi="Arial"/>
          <w:sz w:val="18"/>
          <w:szCs w:val="18"/>
          <w:color w:val="auto"/>
        </w:rPr>
        <w:t>”), pursuant to which Mr. Fairclough continues to serve as our Co-President &amp; Co-Chief Operating Officer, reporting to our Chief Executive Officer. Consistent with the Prior Fairclough Employment Agreement, the New Fairclough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p>
    <w:p>
      <w:pPr>
        <w:spacing w:after="0" w:line="73"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color w:val="auto"/>
        </w:rPr>
        <w:t>The New Fairclough Employment Agreement has an initial term ending on February 26, 2027, extended from February 26, 2024 under the Prior Fairclough Employment Agreement, with automatic renewals for successive one-year terms thereafter unless either we or Mr. Fairclough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New Fairclough Employment Agreement, Mr. Fairclough’s base salary is $600,000, as compared to</w:t>
      </w:r>
    </w:p>
    <w:p>
      <w:pPr>
        <w:spacing w:after="0" w:line="27" w:lineRule="exact"/>
        <w:rPr>
          <w:sz w:val="20"/>
          <w:szCs w:val="20"/>
          <w:color w:val="auto"/>
        </w:rPr>
      </w:pPr>
    </w:p>
    <w:p>
      <w:pPr>
        <w:ind w:left="760" w:right="120"/>
        <w:spacing w:after="0" w:line="268" w:lineRule="auto"/>
        <w:rPr>
          <w:sz w:val="20"/>
          <w:szCs w:val="20"/>
          <w:color w:val="auto"/>
        </w:rPr>
      </w:pPr>
      <w:r>
        <w:rPr>
          <w:rFonts w:ascii="Arial" w:cs="Arial" w:eastAsia="Arial" w:hAnsi="Arial"/>
          <w:sz w:val="17"/>
          <w:szCs w:val="17"/>
          <w:color w:val="auto"/>
        </w:rPr>
        <w:t>$500,000 under the Prior Fairclough Employment Agreement, and Mr. Fairclough is eligible to earn an annual bonus with a target bonus opportunity equal to $2,000,000 and a maximum bonus opportunity equal to $3,000,000, as compared to a target bonus opportunity of $1,500,000 and a maximum bonus opportunity of $2,500,000 under the Prior Fairclough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targets and 20% based on the achievement of qualitative targets under the Prior Fairclough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5" w:lineRule="exact"/>
        <w:rPr>
          <w:sz w:val="20"/>
          <w:szCs w:val="20"/>
          <w:color w:val="auto"/>
        </w:rPr>
      </w:pPr>
    </w:p>
    <w:p>
      <w:pPr>
        <w:ind w:left="760" w:right="80"/>
        <w:spacing w:after="0" w:line="270" w:lineRule="auto"/>
        <w:rPr>
          <w:sz w:val="20"/>
          <w:szCs w:val="20"/>
          <w:color w:val="auto"/>
        </w:rPr>
      </w:pPr>
      <w:r>
        <w:rPr>
          <w:rFonts w:ascii="Arial" w:cs="Arial" w:eastAsia="Arial" w:hAnsi="Arial"/>
          <w:sz w:val="17"/>
          <w:szCs w:val="17"/>
          <w:color w:val="auto"/>
        </w:rPr>
        <w:t>The New Fairclough Employment Agreement provides that Mr. Fairclough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Fairclough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Fairclough’s continued employment through each applicable vesting date and in each case subject to the terms of the applicable award agreement.</w:t>
      </w:r>
    </w:p>
    <w:p>
      <w:pPr>
        <w:spacing w:after="0" w:line="65" w:lineRule="exact"/>
        <w:rPr>
          <w:sz w:val="20"/>
          <w:szCs w:val="20"/>
          <w:color w:val="auto"/>
        </w:rPr>
      </w:pPr>
    </w:p>
    <w:p>
      <w:pPr>
        <w:ind w:left="760" w:right="360"/>
        <w:spacing w:after="0" w:line="318" w:lineRule="auto"/>
        <w:rPr>
          <w:sz w:val="20"/>
          <w:szCs w:val="20"/>
          <w:color w:val="auto"/>
        </w:rPr>
      </w:pPr>
      <w:r>
        <w:rPr>
          <w:rFonts w:ascii="Arial" w:cs="Arial" w:eastAsia="Arial" w:hAnsi="Arial"/>
          <w:sz w:val="17"/>
          <w:szCs w:val="17"/>
          <w:color w:val="auto"/>
        </w:rPr>
        <w:t>Consistent with the Prior Fairclough Employment Agreement, the New Fairclough Employment Agreement further provides that Mr. Fairclough is entitled to participate in all of the Company’s benefit plans and programs,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171450</wp:posOffset>
            </wp:positionV>
            <wp:extent cx="754380" cy="2317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line="38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40"/>
        <w:spacing w:after="0" w:line="287" w:lineRule="auto"/>
        <w:rPr>
          <w:sz w:val="20"/>
          <w:szCs w:val="20"/>
          <w:color w:val="auto"/>
        </w:rPr>
      </w:pPr>
      <w:r>
        <w:rPr>
          <w:rFonts w:ascii="Arial" w:cs="Arial" w:eastAsia="Arial" w:hAnsi="Arial"/>
          <w:sz w:val="18"/>
          <w:szCs w:val="18"/>
          <w:color w:val="auto"/>
        </w:rPr>
        <w:t>receive perquisites, commensurate with his position, that are provided by the Company from time to time to senior executives generally, and to receive director and officer indemnification and insurance protection.</w:t>
      </w:r>
    </w:p>
    <w:p>
      <w:pPr>
        <w:spacing w:after="0" w:line="45" w:lineRule="exact"/>
        <w:rPr>
          <w:sz w:val="20"/>
          <w:szCs w:val="20"/>
          <w:color w:val="auto"/>
        </w:rPr>
      </w:pPr>
    </w:p>
    <w:p>
      <w:pPr>
        <w:ind w:left="760" w:right="80"/>
        <w:spacing w:after="0" w:line="255" w:lineRule="auto"/>
        <w:rPr>
          <w:sz w:val="20"/>
          <w:szCs w:val="20"/>
          <w:color w:val="auto"/>
        </w:rPr>
      </w:pPr>
      <w:r>
        <w:rPr>
          <w:rFonts w:ascii="Arial" w:cs="Arial" w:eastAsia="Arial" w:hAnsi="Arial"/>
          <w:sz w:val="18"/>
          <w:szCs w:val="18"/>
          <w:color w:val="auto"/>
        </w:rPr>
        <w:t>Finally, and consistent with the Prior Fairclough Employment Agreement, the New Fairclough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Fairclough ceases to be an officer or employee of the Company. Consistent with the Prior Fairclough Employment Agreement, the New Fairclough Employment Agreement provides for severance upon certain terminations of employment as described below under “Potential Payments Upon Termination of Employment or Change in Control.”</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Cavoli</w:t>
      </w:r>
    </w:p>
    <w:p>
      <w:pPr>
        <w:spacing w:after="0" w:line="115"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Virtu East entered into a new employment agreement with Mr. Cavoli on December 1, 2022 (the “</w:t>
      </w:r>
      <w:r>
        <w:rPr>
          <w:rFonts w:ascii="Arial" w:cs="Arial" w:eastAsia="Arial" w:hAnsi="Arial"/>
          <w:sz w:val="18"/>
          <w:szCs w:val="18"/>
          <w:b w:val="1"/>
          <w:bCs w:val="1"/>
          <w:color w:val="auto"/>
        </w:rPr>
        <w:t>New Cavoli</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amended and restated the terms of his prior employment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26, 2020 (the “</w:t>
      </w:r>
      <w:r>
        <w:rPr>
          <w:rFonts w:ascii="Arial" w:cs="Arial" w:eastAsia="Arial" w:hAnsi="Arial"/>
          <w:sz w:val="18"/>
          <w:szCs w:val="18"/>
          <w:b w:val="1"/>
          <w:bCs w:val="1"/>
          <w:color w:val="auto"/>
        </w:rPr>
        <w:t>Prior Cavoli Employment Agreement</w:t>
      </w:r>
      <w:r>
        <w:rPr>
          <w:rFonts w:ascii="Arial" w:cs="Arial" w:eastAsia="Arial" w:hAnsi="Arial"/>
          <w:sz w:val="18"/>
          <w:szCs w:val="18"/>
          <w:color w:val="auto"/>
        </w:rPr>
        <w:t>”), pursuant to which Mr. Cavoli will continue to serve as our Executive Vice President, Markets and report to our Chief Executive Officer. Consistent with the Prior Cavoli Employment Agreement, the New Cavoli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p>
    <w:p>
      <w:pPr>
        <w:spacing w:after="0" w:line="77"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On February 26, 2025, the Company amended the New Cavoli Employment Agreement to extend the initial termination date from ending on April 30, 2026, until February 28, 2028, with automatic renewals for successive one-year terms thereafter unless either we or Mr. Cavoli provides notice of non-renewal at least ninety days in advance of the expiration of the then current term. All other terms of the New Cavoli Employment Agreement remain in full force.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5" w:lineRule="exact"/>
        <w:rPr>
          <w:sz w:val="20"/>
          <w:szCs w:val="20"/>
          <w:color w:val="auto"/>
        </w:rPr>
      </w:pPr>
    </w:p>
    <w:p>
      <w:pPr>
        <w:ind w:left="760" w:right="60"/>
        <w:spacing w:after="0" w:line="270" w:lineRule="auto"/>
        <w:rPr>
          <w:sz w:val="20"/>
          <w:szCs w:val="20"/>
          <w:color w:val="auto"/>
        </w:rPr>
      </w:pPr>
      <w:r>
        <w:rPr>
          <w:rFonts w:ascii="Arial" w:cs="Arial" w:eastAsia="Arial" w:hAnsi="Arial"/>
          <w:sz w:val="17"/>
          <w:szCs w:val="17"/>
          <w:color w:val="auto"/>
        </w:rPr>
        <w:t>Under the New Cavoli Employment Agreement, Mr. Cavoli’s base salary is $600,000, as compared to $500,000 under the Prior Cavoli Employment Agreement, and Mr. Cavoli is eligible to earn an annual bonus with a target bonus opportunity equal to $2,000,000 and a maximum bonus opportunity equal to $3,000,000, as compared to a target bonus opportunity equal to $1,500,000 and a maximum bonus opportunity equal to $2,500,000 under the Prior Cavoli Employment Agreement. 50% of the annual bonus will be based on the achievement of quantitative targets set by the Company’s Chief Executive Officer together with the Compensation Committee and 50% of the annual bonus will be based on the achievement of qualitative goals set by the Company’s Chief Executive Officer together with the Compensation Committee, as compared to 80% based on the achievement of quantitative goals and 20% based on the achievement of qualitative goals under the Prior Cavoli Employment Agreement. To the extent earned,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 or DSUs.</w:t>
      </w:r>
    </w:p>
    <w:p>
      <w:pPr>
        <w:spacing w:after="0" w:line="61"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New Cavoli Employment Agreement provides that Mr. Cavoli will be eligible to receive an annual equity grant at the beginning of each calendar year. It is our board of directors’ current intention that the annual equity grant will be in the form of 75,000 restricted stock units of Class A common stock that are subject to performance and service conditions. The number of shares earned under each annual equity grant under the New Cavoli Employment Agreement will be based on the percentage of budgeted EBITDA achieved in the applicable calendar year, with a 100% of shares earned upon at least 65% achievement, and a number of shares, which may be zero, vesting at the discretion of the Compensation Committee in the event than less than 65% is achieved. To the extent any shares of Class A common stock are earned with respect to an applicable annual equity grant, 50% of such shares will vest on or about the end of the calendar year to which such award relates and the remaining 50% will vest on or about the end of the subsequent calendar year, subject to Mr. Cavoli’s continued employment through each applicable vesting date and in each case subject to the terms of the applicable award agreement.</w:t>
      </w:r>
    </w:p>
    <w:p>
      <w:pPr>
        <w:spacing w:after="0" w:line="74" w:lineRule="exact"/>
        <w:rPr>
          <w:sz w:val="20"/>
          <w:szCs w:val="20"/>
          <w:color w:val="auto"/>
        </w:rPr>
      </w:pPr>
    </w:p>
    <w:p>
      <w:pPr>
        <w:ind w:left="760" w:right="60"/>
        <w:spacing w:after="0" w:line="318" w:lineRule="auto"/>
        <w:rPr>
          <w:sz w:val="20"/>
          <w:szCs w:val="20"/>
          <w:color w:val="auto"/>
        </w:rPr>
      </w:pPr>
      <w:r>
        <w:rPr>
          <w:rFonts w:ascii="Arial" w:cs="Arial" w:eastAsia="Arial" w:hAnsi="Arial"/>
          <w:sz w:val="17"/>
          <w:szCs w:val="17"/>
          <w:color w:val="auto"/>
        </w:rPr>
        <w:t>Consistent with the Prior Cavoli Employment Agreement, the New Cavoli Employment Agreement further provides that Mr. Cavoli is entitled to participate in all of the Company’s benefit plans and programs, and to receive perquisites,</w:t>
      </w:r>
    </w:p>
    <w:p>
      <w:pPr>
        <w:spacing w:after="0" w:line="22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20"/>
        <w:spacing w:after="0" w:line="287" w:lineRule="auto"/>
        <w:rPr>
          <w:sz w:val="20"/>
          <w:szCs w:val="20"/>
          <w:color w:val="auto"/>
        </w:rPr>
      </w:pPr>
      <w:r>
        <w:rPr>
          <w:rFonts w:ascii="Arial" w:cs="Arial" w:eastAsia="Arial" w:hAnsi="Arial"/>
          <w:sz w:val="18"/>
          <w:szCs w:val="18"/>
          <w:color w:val="auto"/>
        </w:rPr>
        <w:t>commensurate with his position, that are provided by the Company from time to time to senior executives generally, and to receive director and officer indemnification and insurance protection.</w:t>
      </w:r>
    </w:p>
    <w:p>
      <w:pPr>
        <w:spacing w:after="0" w:line="45" w:lineRule="exact"/>
        <w:rPr>
          <w:sz w:val="20"/>
          <w:szCs w:val="20"/>
          <w:color w:val="auto"/>
        </w:rPr>
      </w:pPr>
    </w:p>
    <w:p>
      <w:pPr>
        <w:ind w:left="760" w:right="260"/>
        <w:spacing w:after="0" w:line="259" w:lineRule="auto"/>
        <w:rPr>
          <w:sz w:val="20"/>
          <w:szCs w:val="20"/>
          <w:color w:val="auto"/>
        </w:rPr>
      </w:pPr>
      <w:r>
        <w:rPr>
          <w:rFonts w:ascii="Arial" w:cs="Arial" w:eastAsia="Arial" w:hAnsi="Arial"/>
          <w:sz w:val="18"/>
          <w:szCs w:val="18"/>
          <w:color w:val="auto"/>
        </w:rPr>
        <w:t>Finally, and consistent with the Prior Cavoli Employment Agreement, the New Cavoli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71" w:lineRule="exact"/>
        <w:rPr>
          <w:sz w:val="20"/>
          <w:szCs w:val="20"/>
          <w:color w:val="auto"/>
        </w:rPr>
      </w:pPr>
    </w:p>
    <w:p>
      <w:pPr>
        <w:ind w:left="760" w:right="620"/>
        <w:spacing w:after="0" w:line="268" w:lineRule="auto"/>
        <w:rPr>
          <w:sz w:val="20"/>
          <w:szCs w:val="20"/>
          <w:color w:val="auto"/>
        </w:rPr>
      </w:pPr>
      <w:r>
        <w:rPr>
          <w:rFonts w:ascii="Arial" w:cs="Arial" w:eastAsia="Arial" w:hAnsi="Arial"/>
          <w:sz w:val="18"/>
          <w:szCs w:val="18"/>
          <w:color w:val="auto"/>
        </w:rPr>
        <w:t>Consistent with the Prior Cavoli Employment Agreement, the New Cavoli Employment Agreement provides for severance upon certain terminations of employment as described below under “Potential Payments Upon Termination of Employment or Change in Control.”</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Ms. Lee</w:t>
      </w:r>
    </w:p>
    <w:p>
      <w:pPr>
        <w:spacing w:after="0" w:line="115" w:lineRule="exact"/>
        <w:rPr>
          <w:sz w:val="20"/>
          <w:szCs w:val="20"/>
          <w:color w:val="auto"/>
        </w:rPr>
      </w:pPr>
    </w:p>
    <w:p>
      <w:pPr>
        <w:ind w:left="760" w:right="60"/>
        <w:spacing w:after="0" w:line="267" w:lineRule="auto"/>
        <w:rPr>
          <w:sz w:val="20"/>
          <w:szCs w:val="20"/>
          <w:color w:val="auto"/>
        </w:rPr>
      </w:pPr>
      <w:r>
        <w:rPr>
          <w:rFonts w:ascii="Arial" w:cs="Arial" w:eastAsia="Arial" w:hAnsi="Arial"/>
          <w:sz w:val="17"/>
          <w:szCs w:val="17"/>
          <w:color w:val="auto"/>
        </w:rPr>
        <w:t>In connection with Ms. Lee’s appointment as Chief Financial Officer, the Company entered into an employment letter agreement with Ms. Lee on April 29, 2024 (the “Lee Employment Agreement”) pursuant to which Ms. Lee will be employed by the Company’s subsidiary, Virtu Financial Operating LLC (“Virtu Operating”) on an “at will” employment basis. Under the Lee Employment Agreement, Ms. Lee’s annual base salary is $400,000 per year, and she was eligible to receive an annual bonus of not less than $700,000 for the year ended December 31, 2024, payable in cash and equity awards in accordance with the Company’s incentive and equity plans as in effect from time to time and subject to Ms. Lee’s continued employment through the date on which bonuses for such period are paid. Ms. Lee will be eligible in subsequent years to receive an annual bonus and equity award in accordance with the Company’s incentive and equity plans as in effect from time to time and annual equity grants on terms and conditions determined by the Company. Ms. Lee will also receive a special long-term equity award under the Lee Employment Agreement and in connection with the commencement of her employment as Chief Financial Officer of 35,000 restricted</w:t>
      </w:r>
    </w:p>
    <w:p>
      <w:pPr>
        <w:spacing w:after="0" w:line="2"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stock units (the “Sign-On RSUs”), subject to the terms and conditions of the Company’s 2015 Plan and the terms of a separate award agreement, the form of which has previously been filed with the SEC (the “RSU Award Agreement”). The Sign-On RSUs will vest in three equal annual installments on the first three anniversaries of the date of grant. In connection with the Lee Employment Agreement, Ms. Lee entered into a restrictive covenant agreement that provides for confidentiality and non-disparagement restrictions and that provides that she will not engage in any business that competes with the Company or its affiliates, and that she will not solicit or hire employees, consultants or members of Virtu Operating, its subsidiaries or its affiliates, during her employment and for a period of 12 months thereafter.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Galvin</w:t>
      </w:r>
    </w:p>
    <w:p>
      <w:pPr>
        <w:spacing w:after="0" w:line="115" w:lineRule="exact"/>
        <w:rPr>
          <w:sz w:val="20"/>
          <w:szCs w:val="20"/>
          <w:color w:val="auto"/>
        </w:rPr>
      </w:pPr>
    </w:p>
    <w:p>
      <w:pPr>
        <w:ind w:left="760" w:right="100"/>
        <w:spacing w:after="0" w:line="272" w:lineRule="auto"/>
        <w:rPr>
          <w:sz w:val="20"/>
          <w:szCs w:val="20"/>
          <w:color w:val="auto"/>
        </w:rPr>
      </w:pPr>
      <w:r>
        <w:rPr>
          <w:rFonts w:ascii="Arial" w:cs="Arial" w:eastAsia="Arial" w:hAnsi="Arial"/>
          <w:sz w:val="17"/>
          <w:szCs w:val="17"/>
          <w:color w:val="auto"/>
        </w:rPr>
        <w:t>Virtu East entered into an employment agreement with Mr. Galvin on August 7, 2020, on an “at will” employment basis. The employment agreement provides for a salary of $250,000 per year, which was increased to $300,000 in fiscal year 2021. In addition, the employment agreement provides for eligibility to earn an annual bonus payable in cash and stock, as determined at the sole discretion of Virtu East, except that such bonus was specified in the amount of $450,000 for the year ended December 31, 2020. The employment agreement also provided for a grant of restricted stock units with the number of restricted stock units to be granted determined by dividing $300,000 by the applicable issue price of the Company’s Class A common stock following Mr. Galvin’s start date, and provided that Mr. Galvin is eligible to participate in all benefit programs of Virtu East available to similarly situated employees.</w:t>
      </w:r>
    </w:p>
    <w:p>
      <w:pPr>
        <w:spacing w:after="0" w:line="64" w:lineRule="exact"/>
        <w:rPr>
          <w:sz w:val="20"/>
          <w:szCs w:val="20"/>
          <w:color w:val="auto"/>
        </w:rPr>
      </w:pPr>
    </w:p>
    <w:p>
      <w:pPr>
        <w:jc w:val="both"/>
        <w:ind w:left="760" w:right="80"/>
        <w:spacing w:after="0" w:line="262" w:lineRule="auto"/>
        <w:rPr>
          <w:sz w:val="20"/>
          <w:szCs w:val="20"/>
          <w:color w:val="auto"/>
        </w:rPr>
      </w:pPr>
      <w:r>
        <w:rPr>
          <w:rFonts w:ascii="Arial" w:cs="Arial" w:eastAsia="Arial" w:hAnsi="Arial"/>
          <w:sz w:val="18"/>
          <w:szCs w:val="18"/>
          <w:color w:val="auto"/>
        </w:rPr>
        <w:t>In connection with his employment agreement, Mr. Galvin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12 months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1255395</wp:posOffset>
            </wp:positionV>
            <wp:extent cx="754380"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29"/>
          <w:szCs w:val="29"/>
          <w:color w:val="00C08A"/>
        </w:rPr>
        <w:t>OUTSTANDING EQUITY AWARDS AT END OF FISCAL YEAR 2024</w:t>
      </w:r>
    </w:p>
    <w:p>
      <w:pPr>
        <w:spacing w:after="0" w:line="112" w:lineRule="exact"/>
        <w:rPr>
          <w:sz w:val="20"/>
          <w:szCs w:val="20"/>
          <w:color w:val="auto"/>
        </w:rPr>
      </w:pPr>
    </w:p>
    <w:p>
      <w:pPr>
        <w:ind w:left="760" w:right="300"/>
        <w:spacing w:after="0" w:line="287" w:lineRule="auto"/>
        <w:rPr>
          <w:sz w:val="20"/>
          <w:szCs w:val="20"/>
          <w:color w:val="auto"/>
        </w:rPr>
      </w:pPr>
      <w:r>
        <w:rPr>
          <w:rFonts w:ascii="Arial" w:cs="Arial" w:eastAsia="Arial" w:hAnsi="Arial"/>
          <w:sz w:val="18"/>
          <w:szCs w:val="18"/>
          <w:color w:val="auto"/>
        </w:rPr>
        <w:t>The following table provides information about each of the outstanding awards of options to purchase our common stock and restricted stock units held by each named executive officer as of December 31, 2024.</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Arial" w:cs="Arial" w:eastAsia="Arial" w:hAnsi="Arial"/>
                <w:sz w:val="14"/>
                <w:szCs w:val="14"/>
                <w:b w:val="1"/>
                <w:bCs w:val="1"/>
                <w:color w:val="002453"/>
              </w:rPr>
              <w:t>​</w:t>
            </w:r>
          </w:p>
        </w:tc>
        <w:tc>
          <w:tcPr>
            <w:tcW w:w="740" w:type="dxa"/>
            <w:vAlign w:val="bottom"/>
            <w:gridSpan w:val="2"/>
          </w:tcPr>
          <w:p>
            <w:pPr>
              <w:ind w:left="600"/>
              <w:spacing w:after="0"/>
              <w:rPr>
                <w:sz w:val="20"/>
                <w:szCs w:val="20"/>
                <w:color w:val="auto"/>
              </w:rPr>
            </w:pPr>
            <w:r>
              <w:rPr>
                <w:rFonts w:ascii="Arial" w:cs="Arial" w:eastAsia="Arial" w:hAnsi="Arial"/>
                <w:sz w:val="14"/>
                <w:szCs w:val="14"/>
                <w:b w:val="1"/>
                <w:bCs w:val="1"/>
                <w:color w:val="002453"/>
              </w:rPr>
              <w:t>​ ​</w:t>
            </w:r>
          </w:p>
        </w:tc>
        <w:tc>
          <w:tcPr>
            <w:tcW w:w="540" w:type="dxa"/>
            <w:vAlign w:val="bottom"/>
            <w:tcBorders>
              <w:bottom w:val="single" w:sz="8" w:color="00C08A"/>
            </w:tcBorders>
          </w:tcPr>
          <w:p>
            <w:pPr>
              <w:spacing w:after="0"/>
              <w:rPr>
                <w:sz w:val="17"/>
                <w:szCs w:val="17"/>
                <w:color w:val="auto"/>
              </w:rPr>
            </w:pPr>
          </w:p>
        </w:tc>
        <w:tc>
          <w:tcPr>
            <w:tcW w:w="320" w:type="dxa"/>
            <w:vAlign w:val="bottom"/>
            <w:tcBorders>
              <w:bottom w:val="single" w:sz="8" w:color="00C08A"/>
            </w:tcBorders>
          </w:tcPr>
          <w:p>
            <w:pPr>
              <w:spacing w:after="0"/>
              <w:rPr>
                <w:sz w:val="17"/>
                <w:szCs w:val="17"/>
                <w:color w:val="auto"/>
              </w:rPr>
            </w:pPr>
          </w:p>
        </w:tc>
        <w:tc>
          <w:tcPr>
            <w:tcW w:w="260" w:type="dxa"/>
            <w:vAlign w:val="bottom"/>
            <w:tcBorders>
              <w:bottom w:val="single" w:sz="8" w:color="00C08A"/>
            </w:tcBorders>
          </w:tcPr>
          <w:p>
            <w:pPr>
              <w:spacing w:after="0"/>
              <w:rPr>
                <w:sz w:val="17"/>
                <w:szCs w:val="17"/>
                <w:color w:val="auto"/>
              </w:rPr>
            </w:pPr>
          </w:p>
        </w:tc>
        <w:tc>
          <w:tcPr>
            <w:tcW w:w="1800" w:type="dxa"/>
            <w:vAlign w:val="bottom"/>
            <w:tcBorders>
              <w:bottom w:val="single" w:sz="8" w:color="00C08A"/>
            </w:tcBorders>
            <w:gridSpan w:val="3"/>
          </w:tcPr>
          <w:p>
            <w:pPr>
              <w:ind w:left="320"/>
              <w:spacing w:after="0"/>
              <w:rPr>
                <w:sz w:val="20"/>
                <w:szCs w:val="20"/>
                <w:color w:val="auto"/>
              </w:rPr>
            </w:pPr>
            <w:r>
              <w:rPr>
                <w:rFonts w:ascii="Arial" w:cs="Arial" w:eastAsia="Arial" w:hAnsi="Arial"/>
                <w:sz w:val="14"/>
                <w:szCs w:val="14"/>
                <w:b w:val="1"/>
                <w:bCs w:val="1"/>
                <w:color w:val="002453"/>
              </w:rPr>
              <w:t>Option Awards</w:t>
            </w:r>
          </w:p>
        </w:tc>
        <w:tc>
          <w:tcPr>
            <w:tcW w:w="240" w:type="dxa"/>
            <w:vAlign w:val="bottom"/>
            <w:tcBorders>
              <w:bottom w:val="single" w:sz="8" w:color="00C08A"/>
            </w:tcBorders>
          </w:tcPr>
          <w:p>
            <w:pPr>
              <w:spacing w:after="0"/>
              <w:rPr>
                <w:sz w:val="17"/>
                <w:szCs w:val="17"/>
                <w:color w:val="auto"/>
              </w:rPr>
            </w:pPr>
          </w:p>
        </w:tc>
        <w:tc>
          <w:tcPr>
            <w:tcW w:w="720" w:type="dxa"/>
            <w:vAlign w:val="bottom"/>
            <w:tcBorders>
              <w:bottom w:val="single" w:sz="8" w:color="00C08A"/>
            </w:tcBorders>
          </w:tcPr>
          <w:p>
            <w:pPr>
              <w:spacing w:after="0"/>
              <w:rPr>
                <w:sz w:val="17"/>
                <w:szCs w:val="17"/>
                <w:color w:val="auto"/>
              </w:rPr>
            </w:pPr>
          </w:p>
        </w:tc>
        <w:tc>
          <w:tcPr>
            <w:tcW w:w="20" w:type="dxa"/>
            <w:vAlign w:val="bottom"/>
            <w:tcBorders>
              <w:bottom w:val="single" w:sz="8" w:color="00C08A"/>
            </w:tcBorders>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002453"/>
              </w:rPr>
              <w:t>​ ​</w:t>
            </w:r>
          </w:p>
        </w:tc>
        <w:tc>
          <w:tcPr>
            <w:tcW w:w="220" w:type="dxa"/>
            <w:vAlign w:val="bottom"/>
            <w:tcBorders>
              <w:bottom w:val="single" w:sz="8" w:color="00C08A"/>
            </w:tcBorders>
          </w:tcPr>
          <w:p>
            <w:pPr>
              <w:spacing w:after="0"/>
              <w:rPr>
                <w:sz w:val="17"/>
                <w:szCs w:val="17"/>
                <w:color w:val="auto"/>
              </w:rPr>
            </w:pPr>
          </w:p>
        </w:tc>
        <w:tc>
          <w:tcPr>
            <w:tcW w:w="2120" w:type="dxa"/>
            <w:vAlign w:val="bottom"/>
            <w:tcBorders>
              <w:bottom w:val="single" w:sz="8" w:color="00C08A"/>
            </w:tcBorders>
            <w:gridSpan w:val="5"/>
          </w:tcPr>
          <w:p>
            <w:pPr>
              <w:jc w:val="right"/>
              <w:ind w:right="612"/>
              <w:spacing w:after="0"/>
              <w:rPr>
                <w:sz w:val="20"/>
                <w:szCs w:val="20"/>
                <w:color w:val="auto"/>
              </w:rPr>
            </w:pPr>
            <w:r>
              <w:rPr>
                <w:rFonts w:ascii="Arial" w:cs="Arial" w:eastAsia="Arial" w:hAnsi="Arial"/>
                <w:sz w:val="14"/>
                <w:szCs w:val="14"/>
                <w:b w:val="1"/>
                <w:bCs w:val="1"/>
                <w:color w:val="002453"/>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002453"/>
                <w:w w:val="99"/>
              </w:rPr>
              <w:t>Number of</w:t>
            </w:r>
          </w:p>
        </w:tc>
        <w:tc>
          <w:tcPr>
            <w:tcW w:w="26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Arial" w:cs="Arial" w:eastAsia="Arial" w:hAnsi="Arial"/>
                <w:sz w:val="14"/>
                <w:szCs w:val="14"/>
                <w:b w:val="1"/>
                <w:bCs w:val="1"/>
                <w:color w:val="002453"/>
              </w:rPr>
              <w:t>Number of</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Securities</w:t>
            </w:r>
          </w:p>
        </w:tc>
        <w:tc>
          <w:tcPr>
            <w:tcW w:w="26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Securities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Underlying</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6"/>
              <w:spacing w:after="0"/>
              <w:rPr>
                <w:sz w:val="20"/>
                <w:szCs w:val="20"/>
                <w:color w:val="auto"/>
              </w:rPr>
            </w:pPr>
            <w:r>
              <w:rPr>
                <w:rFonts w:ascii="Arial" w:cs="Arial" w:eastAsia="Arial" w:hAnsi="Arial"/>
                <w:sz w:val="14"/>
                <w:szCs w:val="14"/>
                <w:b w:val="1"/>
                <w:bCs w:val="1"/>
                <w:color w:val="002453"/>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Market 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Unexercised</w:t>
            </w:r>
          </w:p>
        </w:tc>
        <w:tc>
          <w:tcPr>
            <w:tcW w:w="26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Unexercised</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Option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Exercise</w:t>
            </w: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002453"/>
              </w:rPr>
              <w:t>Unvested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002453"/>
              </w:rPr>
              <w:t>Unvested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Exercisable</w:t>
            </w:r>
          </w:p>
        </w:tc>
        <w:tc>
          <w:tcPr>
            <w:tcW w:w="1220" w:type="dxa"/>
            <w:vAlign w:val="bottom"/>
            <w:gridSpan w:val="2"/>
          </w:tcPr>
          <w:p>
            <w:pPr>
              <w:jc w:val="center"/>
              <w:ind w:left="112"/>
              <w:spacing w:after="0" w:line="139" w:lineRule="exact"/>
              <w:rPr>
                <w:sz w:val="20"/>
                <w:szCs w:val="20"/>
                <w:color w:val="auto"/>
              </w:rPr>
            </w:pPr>
            <w:r>
              <w:rPr>
                <w:rFonts w:ascii="Arial" w:cs="Arial" w:eastAsia="Arial" w:hAnsi="Arial"/>
                <w:sz w:val="14"/>
                <w:szCs w:val="14"/>
                <w:b w:val="1"/>
                <w:bCs w:val="1"/>
                <w:color w:val="002453"/>
              </w:rPr>
              <w:t>Unexercisable</w:t>
            </w:r>
          </w:p>
        </w:tc>
        <w:tc>
          <w:tcPr>
            <w:tcW w:w="22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Price</w:t>
            </w:r>
          </w:p>
        </w:tc>
        <w:tc>
          <w:tcPr>
            <w:tcW w:w="24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Expiration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Stock Awards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Stock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740" w:type="dxa"/>
            <w:vAlign w:val="bottom"/>
            <w:tcBorders>
              <w:bottom w:val="single" w:sz="8" w:color="00C08A"/>
            </w:tcBorders>
            <w:gridSpan w:val="2"/>
          </w:tcPr>
          <w:p>
            <w:pPr>
              <w:ind w:left="600"/>
              <w:spacing w:after="0"/>
              <w:rPr>
                <w:sz w:val="20"/>
                <w:szCs w:val="20"/>
                <w:color w:val="auto"/>
              </w:rPr>
            </w:pPr>
            <w:r>
              <w:rPr>
                <w:rFonts w:ascii="Arial" w:cs="Arial" w:eastAsia="Arial" w:hAnsi="Arial"/>
                <w:sz w:val="14"/>
                <w:szCs w:val="14"/>
                <w:b w:val="1"/>
                <w:bCs w:val="1"/>
                <w:color w:val="002453"/>
              </w:rPr>
              <w:t>​ ​</w:t>
            </w:r>
          </w:p>
        </w:tc>
        <w:tc>
          <w:tcPr>
            <w:tcW w:w="86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w:t>
            </w:r>
          </w:p>
        </w:tc>
        <w:tc>
          <w:tcPr>
            <w:tcW w:w="26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9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6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3"/>
              </w:rPr>
              <w:t>($)</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72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8"/>
              </w:rPr>
              <w:t>Date</w:t>
            </w:r>
          </w:p>
        </w:tc>
        <w:tc>
          <w:tcPr>
            <w:tcW w:w="20" w:type="dxa"/>
            <w:vAlign w:val="bottom"/>
            <w:tcBorders>
              <w:bottom w:val="single" w:sz="8" w:color="00C08A"/>
            </w:tcBorders>
          </w:tcPr>
          <w:p>
            <w:pPr>
              <w:spacing w:after="0"/>
              <w:rPr>
                <w:sz w:val="16"/>
                <w:szCs w:val="16"/>
                <w:color w:val="auto"/>
              </w:rPr>
            </w:pPr>
          </w:p>
        </w:tc>
        <w:tc>
          <w:tcPr>
            <w:tcW w:w="220" w:type="dxa"/>
            <w:vAlign w:val="bottom"/>
            <w:tcBorders>
              <w:bottom w:val="single" w:sz="8" w:color="00C08A"/>
            </w:tcBorders>
          </w:tcPr>
          <w:p>
            <w:pPr>
              <w:ind w:left="60"/>
              <w:spacing w:after="0"/>
              <w:rPr>
                <w:sz w:val="20"/>
                <w:szCs w:val="20"/>
                <w:color w:val="auto"/>
              </w:rPr>
            </w:pPr>
            <w:r>
              <w:rPr>
                <w:rFonts w:ascii="Arial" w:cs="Arial" w:eastAsia="Arial" w:hAnsi="Arial"/>
                <w:sz w:val="14"/>
                <w:szCs w:val="14"/>
                <w:b w:val="1"/>
                <w:bCs w:val="1"/>
                <w:color w:val="002453"/>
              </w:rPr>
              <w:t>​ ​</w:t>
            </w:r>
          </w:p>
        </w:tc>
        <w:tc>
          <w:tcPr>
            <w:tcW w:w="220" w:type="dxa"/>
            <w:vAlign w:val="bottom"/>
            <w:tcBorders>
              <w:bottom w:val="single" w:sz="8" w:color="00C08A"/>
            </w:tcBorders>
          </w:tcPr>
          <w:p>
            <w:pPr>
              <w:spacing w:after="0"/>
              <w:rPr>
                <w:sz w:val="16"/>
                <w:szCs w:val="16"/>
                <w:color w:val="auto"/>
              </w:rPr>
            </w:pPr>
          </w:p>
        </w:tc>
        <w:tc>
          <w:tcPr>
            <w:tcW w:w="740" w:type="dxa"/>
            <w:vAlign w:val="bottom"/>
            <w:tcBorders>
              <w:bottom w:val="single" w:sz="8" w:color="00C08A"/>
            </w:tcBorders>
          </w:tcPr>
          <w:p>
            <w:pPr>
              <w:jc w:val="center"/>
              <w:ind w:right="166"/>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200" w:type="dxa"/>
            <w:vAlign w:val="bottom"/>
            <w:tcBorders>
              <w:bottom w:val="single" w:sz="8" w:color="00C08A"/>
            </w:tcBorders>
          </w:tcPr>
          <w:p>
            <w:pPr>
              <w:spacing w:after="0"/>
              <w:rPr>
                <w:sz w:val="16"/>
                <w:szCs w:val="16"/>
                <w:color w:val="auto"/>
              </w:rPr>
            </w:pPr>
          </w:p>
        </w:tc>
        <w:tc>
          <w:tcPr>
            <w:tcW w:w="900" w:type="dxa"/>
            <w:vAlign w:val="bottom"/>
            <w:tcBorders>
              <w:bottom w:val="single" w:sz="8" w:color="00C08A"/>
            </w:tcBorders>
          </w:tcPr>
          <w:p>
            <w:pPr>
              <w:jc w:val="center"/>
              <w:ind w:right="112"/>
              <w:spacing w:after="0"/>
              <w:rPr>
                <w:sz w:val="20"/>
                <w:szCs w:val="20"/>
                <w:color w:val="auto"/>
              </w:rPr>
            </w:pPr>
            <w:r>
              <w:rPr>
                <w:rFonts w:ascii="Arial" w:cs="Arial" w:eastAsia="Arial" w:hAnsi="Arial"/>
                <w:sz w:val="14"/>
                <w:szCs w:val="14"/>
                <w:b w:val="1"/>
                <w:bCs w:val="1"/>
                <w:color w:val="002453"/>
                <w:w w:val="99"/>
              </w:rPr>
              <w:t>($)(1)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49"/>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640" w:type="dxa"/>
            <w:vAlign w:val="bottom"/>
            <w:shd w:val="clear" w:color="auto" w:fill="CCEEFF"/>
          </w:tcPr>
          <w:p>
            <w:pPr>
              <w:ind w:left="600"/>
              <w:spacing w:after="0" w:line="14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960" w:type="dxa"/>
            <w:vAlign w:val="bottom"/>
            <w:shd w:val="clear" w:color="auto" w:fill="CCEEFF"/>
          </w:tcPr>
          <w:p>
            <w:pPr>
              <w:ind w:left="360"/>
              <w:spacing w:after="0" w:line="14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62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ind w:left="260"/>
              <w:spacing w:after="0" w:line="149" w:lineRule="exact"/>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 ​  ​</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7"/>
                <w:szCs w:val="17"/>
                <w:color w:val="auto"/>
              </w:rPr>
              <w:t>​  ​</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580,192</w:t>
            </w:r>
          </w:p>
        </w:tc>
        <w:tc>
          <w:tcPr>
            <w:tcW w:w="60" w:type="dxa"/>
            <w:vAlign w:val="bottom"/>
          </w:tcPr>
          <w:p>
            <w:pPr>
              <w:jc w:val="right"/>
              <w:spacing w:after="0" w:line="14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89"/>
        </w:trPr>
        <w:tc>
          <w:tcPr>
            <w:tcW w:w="198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gridSpan w:val="2"/>
            <w:shd w:val="clear" w:color="auto" w:fill="CCEEFF"/>
          </w:tcPr>
          <w:p>
            <w:pPr>
              <w:ind w:left="340"/>
              <w:spacing w:after="0" w:line="90"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ind w:left="380"/>
              <w:spacing w:after="0" w:line="90"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ind w:left="220"/>
              <w:spacing w:after="0" w:line="90"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ind w:left="260"/>
              <w:spacing w:after="0" w:line="90"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gridSpan w:val="3"/>
            <w:shd w:val="clear" w:color="auto" w:fill="CCEEFF"/>
          </w:tcPr>
          <w:p>
            <w:pPr>
              <w:jc w:val="right"/>
              <w:ind w:right="12"/>
              <w:spacing w:after="0" w:line="90" w:lineRule="exact"/>
              <w:rPr>
                <w:sz w:val="20"/>
                <w:szCs w:val="20"/>
                <w:color w:val="auto"/>
              </w:rPr>
            </w:pPr>
            <w:r>
              <w:rPr>
                <w:rFonts w:ascii="Arial" w:cs="Arial" w:eastAsia="Arial" w:hAnsi="Arial"/>
                <w:sz w:val="10"/>
                <w:szCs w:val="10"/>
                <w:color w:val="auto"/>
              </w:rPr>
              <w:t>​ 16,261(2)</w:t>
            </w: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ind w:left="140"/>
              <w:spacing w:after="0" w:line="90"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75,000(3)</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1,837,627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51,503(5)</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2,601,036</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72,899(6)</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5,352,000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540" w:type="dxa"/>
            <w:vAlign w:val="bottom"/>
            <w:tcBorders>
              <w:bottom w:val="single" w:sz="8" w:color="00C08A"/>
            </w:tcBorders>
            <w:shd w:val="clear" w:color="auto" w:fill="CCEEFF"/>
          </w:tcPr>
          <w:p>
            <w:pPr>
              <w:spacing w:after="0"/>
              <w:rPr>
                <w:sz w:val="7"/>
                <w:szCs w:val="7"/>
                <w:color w:val="auto"/>
              </w:rPr>
            </w:pPr>
          </w:p>
        </w:tc>
        <w:tc>
          <w:tcPr>
            <w:tcW w:w="320" w:type="dxa"/>
            <w:vAlign w:val="bottom"/>
            <w:tcBorders>
              <w:bottom w:val="single" w:sz="8" w:color="00C08A"/>
            </w:tcBorders>
            <w:shd w:val="clear" w:color="auto" w:fill="CCEEFF"/>
          </w:tcPr>
          <w:p>
            <w:pPr>
              <w:spacing w:after="0"/>
              <w:rPr>
                <w:sz w:val="7"/>
                <w:szCs w:val="7"/>
                <w:color w:val="auto"/>
              </w:rPr>
            </w:pPr>
          </w:p>
        </w:tc>
        <w:tc>
          <w:tcPr>
            <w:tcW w:w="260" w:type="dxa"/>
            <w:vAlign w:val="bottom"/>
            <w:tcBorders>
              <w:bottom w:val="single" w:sz="8" w:color="00C08A"/>
            </w:tcBorders>
            <w:shd w:val="clear" w:color="auto" w:fill="CCEEFF"/>
          </w:tcPr>
          <w:p>
            <w:pPr>
              <w:spacing w:after="0"/>
              <w:rPr>
                <w:sz w:val="7"/>
                <w:szCs w:val="7"/>
                <w:color w:val="auto"/>
              </w:rPr>
            </w:pPr>
          </w:p>
        </w:tc>
        <w:tc>
          <w:tcPr>
            <w:tcW w:w="96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620" w:type="dxa"/>
            <w:vAlign w:val="bottom"/>
            <w:tcBorders>
              <w:bottom w:val="single" w:sz="8" w:color="00C08A"/>
            </w:tcBorders>
            <w:shd w:val="clear" w:color="auto" w:fill="CCEEFF"/>
          </w:tcPr>
          <w:p>
            <w:pPr>
              <w:spacing w:after="0"/>
              <w:rPr>
                <w:sz w:val="7"/>
                <w:szCs w:val="7"/>
                <w:color w:val="auto"/>
              </w:rPr>
            </w:pPr>
          </w:p>
        </w:tc>
        <w:tc>
          <w:tcPr>
            <w:tcW w:w="240" w:type="dxa"/>
            <w:vAlign w:val="bottom"/>
            <w:tcBorders>
              <w:bottom w:val="single" w:sz="8" w:color="00C08A"/>
            </w:tcBorders>
            <w:shd w:val="clear" w:color="auto" w:fill="CCEEFF"/>
          </w:tcPr>
          <w:p>
            <w:pPr>
              <w:spacing w:after="0"/>
              <w:rPr>
                <w:sz w:val="7"/>
                <w:szCs w:val="7"/>
                <w:color w:val="auto"/>
              </w:rPr>
            </w:pPr>
          </w:p>
        </w:tc>
        <w:tc>
          <w:tcPr>
            <w:tcW w:w="720" w:type="dxa"/>
            <w:vAlign w:val="bottom"/>
            <w:tcBorders>
              <w:bottom w:val="single" w:sz="8" w:color="00C08A"/>
            </w:tcBorders>
            <w:shd w:val="clear" w:color="auto" w:fill="CCEEFF"/>
          </w:tcPr>
          <w:p>
            <w:pPr>
              <w:spacing w:after="0"/>
              <w:rPr>
                <w:sz w:val="7"/>
                <w:szCs w:val="7"/>
                <w:color w:val="auto"/>
              </w:rPr>
            </w:pPr>
          </w:p>
        </w:tc>
        <w:tc>
          <w:tcPr>
            <w:tcW w:w="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1140" w:type="dxa"/>
            <w:vAlign w:val="bottom"/>
            <w:tcBorders>
              <w:bottom w:val="single" w:sz="8" w:color="00C08A"/>
            </w:tcBorders>
            <w:gridSpan w:val="3"/>
            <w:shd w:val="clear" w:color="auto" w:fill="CCEEFF"/>
          </w:tcPr>
          <w:p>
            <w:pPr>
              <w:jc w:val="right"/>
              <w:ind w:right="12"/>
              <w:spacing w:after="0" w:line="81" w:lineRule="exact"/>
              <w:rPr>
                <w:sz w:val="20"/>
                <w:szCs w:val="20"/>
                <w:color w:val="auto"/>
              </w:rPr>
            </w:pPr>
            <w:r>
              <w:rPr>
                <w:rFonts w:ascii="Arial" w:cs="Arial" w:eastAsia="Arial" w:hAnsi="Arial"/>
                <w:sz w:val="9"/>
                <w:szCs w:val="9"/>
                <w:b w:val="1"/>
                <w:bCs w:val="1"/>
                <w:color w:val="auto"/>
              </w:rPr>
              <w:t>​</w:t>
            </w:r>
            <w:r>
              <w:rPr>
                <w:rFonts w:ascii="Arial" w:cs="Arial" w:eastAsia="Arial" w:hAnsi="Arial"/>
                <w:sz w:val="9"/>
                <w:szCs w:val="9"/>
                <w:color w:val="auto"/>
              </w:rPr>
              <w:t>150,000(7)</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Joseph Molluso</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290,078</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ind w:left="340"/>
              <w:spacing w:after="0" w:line="76"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ind w:left="220"/>
              <w:spacing w:after="0" w:line="76"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2"/>
              <w:spacing w:after="0" w:line="76" w:lineRule="exact"/>
              <w:rPr>
                <w:sz w:val="20"/>
                <w:szCs w:val="20"/>
                <w:color w:val="auto"/>
              </w:rPr>
            </w:pPr>
            <w:r>
              <w:rPr>
                <w:rFonts w:ascii="Arial" w:cs="Arial" w:eastAsia="Arial" w:hAnsi="Arial"/>
                <w:sz w:val="8"/>
                <w:szCs w:val="8"/>
                <w:color w:val="auto"/>
              </w:rPr>
              <w:t>8,130(2)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1,338,000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37,500(4)</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826,920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23,176(5)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1,198,063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33,578(6)</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260" w:type="dxa"/>
            <w:vAlign w:val="bottom"/>
            <w:tcBorders>
              <w:bottom w:val="single" w:sz="8" w:color="00C08A"/>
            </w:tcBorders>
          </w:tcPr>
          <w:p>
            <w:pPr>
              <w:spacing w:after="0"/>
              <w:rPr>
                <w:sz w:val="7"/>
                <w:szCs w:val="7"/>
                <w:color w:val="auto"/>
              </w:rPr>
            </w:pPr>
          </w:p>
        </w:tc>
        <w:tc>
          <w:tcPr>
            <w:tcW w:w="9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62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720" w:type="dxa"/>
            <w:vAlign w:val="bottom"/>
            <w:tcBorders>
              <w:bottom w:val="single" w:sz="8" w:color="00C08A"/>
            </w:tcBorders>
          </w:tcPr>
          <w:p>
            <w:pPr>
              <w:spacing w:after="0"/>
              <w:rPr>
                <w:sz w:val="7"/>
                <w:szCs w:val="7"/>
                <w:color w:val="auto"/>
              </w:rPr>
            </w:pPr>
          </w:p>
        </w:tc>
        <w:tc>
          <w:tcPr>
            <w:tcW w:w="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vMerge w:val="continue"/>
          </w:tcPr>
          <w:p>
            <w:pPr>
              <w:spacing w:after="0"/>
              <w:rPr>
                <w:sz w:val="7"/>
                <w:szCs w:val="7"/>
                <w:color w:val="auto"/>
              </w:rPr>
            </w:pPr>
          </w:p>
        </w:tc>
        <w:tc>
          <w:tcPr>
            <w:tcW w:w="920" w:type="dxa"/>
            <w:vAlign w:val="bottom"/>
            <w:tcBorders>
              <w:bottom w:val="single" w:sz="8" w:color="00C08A"/>
            </w:tcBorders>
            <w:gridSpan w:val="2"/>
          </w:tcPr>
          <w:p>
            <w:pPr>
              <w:jc w:val="right"/>
              <w:ind w:right="12"/>
              <w:spacing w:after="0" w:line="81" w:lineRule="exact"/>
              <w:rPr>
                <w:sz w:val="20"/>
                <w:szCs w:val="20"/>
                <w:color w:val="auto"/>
              </w:rPr>
            </w:pPr>
            <w:r>
              <w:rPr>
                <w:rFonts w:ascii="Arial" w:cs="Arial" w:eastAsia="Arial" w:hAnsi="Arial"/>
                <w:sz w:val="9"/>
                <w:szCs w:val="9"/>
                <w:color w:val="auto"/>
              </w:rPr>
              <w:t>75,000(9)</w:t>
            </w:r>
          </w:p>
        </w:tc>
        <w:tc>
          <w:tcPr>
            <w:tcW w:w="100" w:type="dxa"/>
            <w:vAlign w:val="bottom"/>
            <w:tcBorders>
              <w:bottom w:val="single" w:sz="8" w:color="00C08A"/>
            </w:tcBorders>
          </w:tcPr>
          <w:p>
            <w:pPr>
              <w:spacing w:after="0"/>
              <w:rPr>
                <w:sz w:val="7"/>
                <w:szCs w:val="7"/>
                <w:color w:val="auto"/>
              </w:rPr>
            </w:pPr>
          </w:p>
        </w:tc>
        <w:tc>
          <w:tcPr>
            <w:tcW w:w="1100" w:type="dxa"/>
            <w:vAlign w:val="bottom"/>
            <w:tcBorders>
              <w:bottom w:val="single" w:sz="8" w:color="00C08A"/>
            </w:tcBorders>
            <w:gridSpan w:val="2"/>
            <w:vMerge w:val="continue"/>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6"/>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640" w:type="dxa"/>
            <w:vAlign w:val="bottom"/>
            <w:shd w:val="clear" w:color="auto" w:fill="CCEEFF"/>
          </w:tcPr>
          <w:p>
            <w:pPr>
              <w:ind w:left="600"/>
              <w:spacing w:after="0" w:line="15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290,078</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920" w:type="dxa"/>
            <w:vAlign w:val="bottom"/>
            <w:gridSpan w:val="2"/>
            <w:shd w:val="clear" w:color="auto" w:fill="CCEEFF"/>
          </w:tcPr>
          <w:p>
            <w:pPr>
              <w:jc w:val="right"/>
              <w:ind w:right="12"/>
              <w:spacing w:after="0" w:line="63" w:lineRule="exact"/>
              <w:rPr>
                <w:sz w:val="20"/>
                <w:szCs w:val="20"/>
                <w:color w:val="auto"/>
              </w:rPr>
            </w:pPr>
            <w:r>
              <w:rPr>
                <w:rFonts w:ascii="Arial" w:cs="Arial" w:eastAsia="Arial" w:hAnsi="Arial"/>
                <w:sz w:val="7"/>
                <w:szCs w:val="7"/>
                <w:color w:val="auto"/>
              </w:rPr>
              <w:t>8,130(2)</w:t>
            </w: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1,338,000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37,500(4)</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826,920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23,176(5)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1,198,063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33,578(6)</w:t>
            </w:r>
          </w:p>
        </w:tc>
        <w:tc>
          <w:tcPr>
            <w:tcW w:w="100" w:type="dxa"/>
            <w:vAlign w:val="bottom"/>
            <w:shd w:val="clear" w:color="auto" w:fill="CCEEFF"/>
          </w:tcPr>
          <w:p>
            <w:pPr>
              <w:spacing w:after="0"/>
              <w:rPr>
                <w:sz w:val="4"/>
                <w:szCs w:val="4"/>
                <w:color w:val="auto"/>
              </w:rPr>
            </w:pPr>
          </w:p>
        </w:tc>
        <w:tc>
          <w:tcPr>
            <w:tcW w:w="110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540" w:type="dxa"/>
            <w:vAlign w:val="bottom"/>
            <w:tcBorders>
              <w:bottom w:val="single" w:sz="8" w:color="00C08A"/>
            </w:tcBorders>
            <w:shd w:val="clear" w:color="auto" w:fill="CCEEFF"/>
          </w:tcPr>
          <w:p>
            <w:pPr>
              <w:spacing w:after="0"/>
              <w:rPr>
                <w:sz w:val="7"/>
                <w:szCs w:val="7"/>
                <w:color w:val="auto"/>
              </w:rPr>
            </w:pPr>
          </w:p>
        </w:tc>
        <w:tc>
          <w:tcPr>
            <w:tcW w:w="320" w:type="dxa"/>
            <w:vAlign w:val="bottom"/>
            <w:tcBorders>
              <w:bottom w:val="single" w:sz="8" w:color="00C08A"/>
            </w:tcBorders>
            <w:shd w:val="clear" w:color="auto" w:fill="CCEEFF"/>
          </w:tcPr>
          <w:p>
            <w:pPr>
              <w:spacing w:after="0"/>
              <w:rPr>
                <w:sz w:val="7"/>
                <w:szCs w:val="7"/>
                <w:color w:val="auto"/>
              </w:rPr>
            </w:pPr>
          </w:p>
        </w:tc>
        <w:tc>
          <w:tcPr>
            <w:tcW w:w="260" w:type="dxa"/>
            <w:vAlign w:val="bottom"/>
            <w:tcBorders>
              <w:bottom w:val="single" w:sz="8" w:color="00C08A"/>
            </w:tcBorders>
            <w:shd w:val="clear" w:color="auto" w:fill="CCEEFF"/>
          </w:tcPr>
          <w:p>
            <w:pPr>
              <w:spacing w:after="0"/>
              <w:rPr>
                <w:sz w:val="7"/>
                <w:szCs w:val="7"/>
                <w:color w:val="auto"/>
              </w:rPr>
            </w:pPr>
          </w:p>
        </w:tc>
        <w:tc>
          <w:tcPr>
            <w:tcW w:w="96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620" w:type="dxa"/>
            <w:vAlign w:val="bottom"/>
            <w:tcBorders>
              <w:bottom w:val="single" w:sz="8" w:color="00C08A"/>
            </w:tcBorders>
            <w:shd w:val="clear" w:color="auto" w:fill="CCEEFF"/>
          </w:tcPr>
          <w:p>
            <w:pPr>
              <w:spacing w:after="0"/>
              <w:rPr>
                <w:sz w:val="7"/>
                <w:szCs w:val="7"/>
                <w:color w:val="auto"/>
              </w:rPr>
            </w:pPr>
          </w:p>
        </w:tc>
        <w:tc>
          <w:tcPr>
            <w:tcW w:w="240" w:type="dxa"/>
            <w:vAlign w:val="bottom"/>
            <w:tcBorders>
              <w:bottom w:val="single" w:sz="8" w:color="00C08A"/>
            </w:tcBorders>
            <w:shd w:val="clear" w:color="auto" w:fill="CCEEFF"/>
          </w:tcPr>
          <w:p>
            <w:pPr>
              <w:spacing w:after="0"/>
              <w:rPr>
                <w:sz w:val="7"/>
                <w:szCs w:val="7"/>
                <w:color w:val="auto"/>
              </w:rPr>
            </w:pPr>
          </w:p>
        </w:tc>
        <w:tc>
          <w:tcPr>
            <w:tcW w:w="720" w:type="dxa"/>
            <w:vAlign w:val="bottom"/>
            <w:tcBorders>
              <w:bottom w:val="single" w:sz="8" w:color="00C08A"/>
            </w:tcBorders>
            <w:shd w:val="clear" w:color="auto" w:fill="CCEEFF"/>
          </w:tcPr>
          <w:p>
            <w:pPr>
              <w:spacing w:after="0"/>
              <w:rPr>
                <w:sz w:val="7"/>
                <w:szCs w:val="7"/>
                <w:color w:val="auto"/>
              </w:rPr>
            </w:pPr>
          </w:p>
        </w:tc>
        <w:tc>
          <w:tcPr>
            <w:tcW w:w="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2"/>
              <w:spacing w:after="0" w:line="81" w:lineRule="exact"/>
              <w:rPr>
                <w:sz w:val="20"/>
                <w:szCs w:val="20"/>
                <w:color w:val="auto"/>
              </w:rPr>
            </w:pPr>
            <w:r>
              <w:rPr>
                <w:rFonts w:ascii="Arial" w:cs="Arial" w:eastAsia="Arial" w:hAnsi="Arial"/>
                <w:sz w:val="9"/>
                <w:szCs w:val="9"/>
                <w:color w:val="auto"/>
              </w:rPr>
              <w:t>75,000(9)</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Stephen Cavoli</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290,078</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ind w:left="340"/>
              <w:spacing w:after="0" w:line="76"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ind w:left="220"/>
              <w:spacing w:after="0" w:line="76"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2"/>
              <w:spacing w:after="0" w:line="76" w:lineRule="exact"/>
              <w:rPr>
                <w:sz w:val="20"/>
                <w:szCs w:val="20"/>
                <w:color w:val="auto"/>
              </w:rPr>
            </w:pPr>
            <w:r>
              <w:rPr>
                <w:rFonts w:ascii="Arial" w:cs="Arial" w:eastAsia="Arial" w:hAnsi="Arial"/>
                <w:sz w:val="8"/>
                <w:szCs w:val="8"/>
                <w:color w:val="auto"/>
              </w:rPr>
              <w:t>8,130(2)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1,338,000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37,500(4)</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826,920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23,176(5)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1,103,475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30,927(6)</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2,676,000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tcPr>
          <w:p>
            <w:pPr>
              <w:spacing w:after="0"/>
              <w:rPr>
                <w:sz w:val="7"/>
                <w:szCs w:val="7"/>
                <w:color w:val="auto"/>
              </w:rPr>
            </w:pPr>
          </w:p>
        </w:tc>
        <w:tc>
          <w:tcPr>
            <w:tcW w:w="640" w:type="dxa"/>
            <w:vAlign w:val="bottom"/>
            <w:tcBorders>
              <w:bottom w:val="single" w:sz="8" w:color="00C08A"/>
            </w:tcBorders>
          </w:tcPr>
          <w:p>
            <w:pPr>
              <w:spacing w:after="0"/>
              <w:rPr>
                <w:sz w:val="7"/>
                <w:szCs w:val="7"/>
                <w:color w:val="auto"/>
              </w:rPr>
            </w:pPr>
          </w:p>
        </w:tc>
        <w:tc>
          <w:tcPr>
            <w:tcW w:w="100" w:type="dxa"/>
            <w:vAlign w:val="bottom"/>
            <w:tcBorders>
              <w:bottom w:val="single" w:sz="8" w:color="00C08A"/>
            </w:tcBorders>
          </w:tcPr>
          <w:p>
            <w:pPr>
              <w:spacing w:after="0"/>
              <w:rPr>
                <w:sz w:val="7"/>
                <w:szCs w:val="7"/>
                <w:color w:val="auto"/>
              </w:rPr>
            </w:pPr>
          </w:p>
        </w:tc>
        <w:tc>
          <w:tcPr>
            <w:tcW w:w="540" w:type="dxa"/>
            <w:vAlign w:val="bottom"/>
            <w:tcBorders>
              <w:bottom w:val="single" w:sz="8" w:color="00C08A"/>
            </w:tcBorders>
          </w:tcPr>
          <w:p>
            <w:pPr>
              <w:spacing w:after="0"/>
              <w:rPr>
                <w:sz w:val="7"/>
                <w:szCs w:val="7"/>
                <w:color w:val="auto"/>
              </w:rPr>
            </w:pPr>
          </w:p>
        </w:tc>
        <w:tc>
          <w:tcPr>
            <w:tcW w:w="320" w:type="dxa"/>
            <w:vAlign w:val="bottom"/>
            <w:tcBorders>
              <w:bottom w:val="single" w:sz="8" w:color="00C08A"/>
            </w:tcBorders>
          </w:tcPr>
          <w:p>
            <w:pPr>
              <w:spacing w:after="0"/>
              <w:rPr>
                <w:sz w:val="7"/>
                <w:szCs w:val="7"/>
                <w:color w:val="auto"/>
              </w:rPr>
            </w:pPr>
          </w:p>
        </w:tc>
        <w:tc>
          <w:tcPr>
            <w:tcW w:w="260" w:type="dxa"/>
            <w:vAlign w:val="bottom"/>
            <w:tcBorders>
              <w:bottom w:val="single" w:sz="8" w:color="00C08A"/>
            </w:tcBorders>
          </w:tcPr>
          <w:p>
            <w:pPr>
              <w:spacing w:after="0"/>
              <w:rPr>
                <w:sz w:val="7"/>
                <w:szCs w:val="7"/>
                <w:color w:val="auto"/>
              </w:rPr>
            </w:pPr>
          </w:p>
        </w:tc>
        <w:tc>
          <w:tcPr>
            <w:tcW w:w="96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620" w:type="dxa"/>
            <w:vAlign w:val="bottom"/>
            <w:tcBorders>
              <w:bottom w:val="single" w:sz="8" w:color="00C08A"/>
            </w:tcBorders>
          </w:tcPr>
          <w:p>
            <w:pPr>
              <w:spacing w:after="0"/>
              <w:rPr>
                <w:sz w:val="7"/>
                <w:szCs w:val="7"/>
                <w:color w:val="auto"/>
              </w:rPr>
            </w:pPr>
          </w:p>
        </w:tc>
        <w:tc>
          <w:tcPr>
            <w:tcW w:w="240" w:type="dxa"/>
            <w:vAlign w:val="bottom"/>
            <w:tcBorders>
              <w:bottom w:val="single" w:sz="8" w:color="00C08A"/>
            </w:tcBorders>
          </w:tcPr>
          <w:p>
            <w:pPr>
              <w:spacing w:after="0"/>
              <w:rPr>
                <w:sz w:val="7"/>
                <w:szCs w:val="7"/>
                <w:color w:val="auto"/>
              </w:rPr>
            </w:pPr>
          </w:p>
        </w:tc>
        <w:tc>
          <w:tcPr>
            <w:tcW w:w="720" w:type="dxa"/>
            <w:vAlign w:val="bottom"/>
            <w:tcBorders>
              <w:bottom w:val="single" w:sz="8" w:color="00C08A"/>
            </w:tcBorders>
          </w:tcPr>
          <w:p>
            <w:pPr>
              <w:spacing w:after="0"/>
              <w:rPr>
                <w:sz w:val="7"/>
                <w:szCs w:val="7"/>
                <w:color w:val="auto"/>
              </w:rPr>
            </w:pPr>
          </w:p>
        </w:tc>
        <w:tc>
          <w:tcPr>
            <w:tcW w:w="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tcPr>
          <w:p>
            <w:pPr>
              <w:spacing w:after="0"/>
              <w:rPr>
                <w:sz w:val="7"/>
                <w:szCs w:val="7"/>
                <w:color w:val="auto"/>
              </w:rPr>
            </w:pPr>
          </w:p>
        </w:tc>
        <w:tc>
          <w:tcPr>
            <w:tcW w:w="220" w:type="dxa"/>
            <w:vAlign w:val="bottom"/>
            <w:tcBorders>
              <w:bottom w:val="single" w:sz="8" w:color="00C08A"/>
            </w:tcBorders>
            <w:vMerge w:val="continue"/>
          </w:tcPr>
          <w:p>
            <w:pPr>
              <w:spacing w:after="0"/>
              <w:rPr>
                <w:sz w:val="7"/>
                <w:szCs w:val="7"/>
                <w:color w:val="auto"/>
              </w:rPr>
            </w:pPr>
          </w:p>
        </w:tc>
        <w:tc>
          <w:tcPr>
            <w:tcW w:w="920" w:type="dxa"/>
            <w:vAlign w:val="bottom"/>
            <w:tcBorders>
              <w:bottom w:val="single" w:sz="8" w:color="00C08A"/>
            </w:tcBorders>
            <w:gridSpan w:val="2"/>
          </w:tcPr>
          <w:p>
            <w:pPr>
              <w:jc w:val="right"/>
              <w:ind w:right="12"/>
              <w:spacing w:after="0" w:line="81" w:lineRule="exact"/>
              <w:rPr>
                <w:sz w:val="20"/>
                <w:szCs w:val="20"/>
                <w:color w:val="auto"/>
              </w:rPr>
            </w:pPr>
            <w:r>
              <w:rPr>
                <w:rFonts w:ascii="Arial" w:cs="Arial" w:eastAsia="Arial" w:hAnsi="Arial"/>
                <w:sz w:val="9"/>
                <w:szCs w:val="9"/>
                <w:color w:val="auto"/>
              </w:rPr>
              <w:t>75,000(9)</w:t>
            </w:r>
          </w:p>
        </w:tc>
        <w:tc>
          <w:tcPr>
            <w:tcW w:w="100" w:type="dxa"/>
            <w:vAlign w:val="bottom"/>
            <w:tcBorders>
              <w:bottom w:val="single" w:sz="8" w:color="00C08A"/>
            </w:tcBorders>
          </w:tcPr>
          <w:p>
            <w:pPr>
              <w:spacing w:after="0"/>
              <w:rPr>
                <w:sz w:val="7"/>
                <w:szCs w:val="7"/>
                <w:color w:val="auto"/>
              </w:rPr>
            </w:pPr>
          </w:p>
        </w:tc>
        <w:tc>
          <w:tcPr>
            <w:tcW w:w="1100" w:type="dxa"/>
            <w:vAlign w:val="bottom"/>
            <w:tcBorders>
              <w:bottom w:val="single" w:sz="8" w:color="00C08A"/>
            </w:tcBorders>
            <w:gridSpan w:val="2"/>
            <w:vMerge w:val="continue"/>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5"/>
        </w:trPr>
        <w:tc>
          <w:tcPr>
            <w:tcW w:w="1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Cindy Lee</w:t>
            </w:r>
          </w:p>
        </w:tc>
        <w:tc>
          <w:tcPr>
            <w:tcW w:w="640" w:type="dxa"/>
            <w:vAlign w:val="bottom"/>
            <w:shd w:val="clear" w:color="auto" w:fill="CCEEFF"/>
          </w:tcPr>
          <w:p>
            <w:pPr>
              <w:ind w:left="600"/>
              <w:spacing w:after="0" w:line="15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69,612</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920" w:type="dxa"/>
            <w:vAlign w:val="bottom"/>
            <w:gridSpan w:val="2"/>
            <w:shd w:val="clear" w:color="auto" w:fill="CCEEFF"/>
          </w:tcPr>
          <w:p>
            <w:pPr>
              <w:jc w:val="right"/>
              <w:ind w:right="12"/>
              <w:spacing w:after="0" w:line="63" w:lineRule="exact"/>
              <w:rPr>
                <w:sz w:val="20"/>
                <w:szCs w:val="20"/>
                <w:color w:val="auto"/>
              </w:rPr>
            </w:pPr>
            <w:r>
              <w:rPr>
                <w:rFonts w:ascii="Arial" w:cs="Arial" w:eastAsia="Arial" w:hAnsi="Arial"/>
                <w:sz w:val="7"/>
                <w:szCs w:val="7"/>
                <w:color w:val="auto"/>
              </w:rPr>
              <w:t>1,951(2)</w:t>
            </w: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0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237,843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6,666(2)</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220,502</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6,180(5)</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294,217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4"/>
                <w:szCs w:val="4"/>
                <w:color w:val="auto"/>
              </w:rPr>
              <w:t>8,246(6)</w:t>
            </w: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90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1,248,800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80" w:type="dxa"/>
            <w:vAlign w:val="bottom"/>
            <w:tcBorders>
              <w:bottom w:val="single" w:sz="8" w:color="00C08A"/>
            </w:tcBorders>
            <w:shd w:val="clear" w:color="auto" w:fill="CCEEFF"/>
          </w:tcPr>
          <w:p>
            <w:pPr>
              <w:spacing w:after="0"/>
              <w:rPr>
                <w:sz w:val="7"/>
                <w:szCs w:val="7"/>
                <w:color w:val="auto"/>
              </w:rPr>
            </w:pPr>
          </w:p>
        </w:tc>
        <w:tc>
          <w:tcPr>
            <w:tcW w:w="640" w:type="dxa"/>
            <w:vAlign w:val="bottom"/>
            <w:tcBorders>
              <w:bottom w:val="single" w:sz="8" w:color="00C08A"/>
            </w:tcBorders>
            <w:shd w:val="clear" w:color="auto" w:fill="CCEEFF"/>
          </w:tcPr>
          <w:p>
            <w:pPr>
              <w:spacing w:after="0"/>
              <w:rPr>
                <w:sz w:val="7"/>
                <w:szCs w:val="7"/>
                <w:color w:val="auto"/>
              </w:rPr>
            </w:pPr>
          </w:p>
        </w:tc>
        <w:tc>
          <w:tcPr>
            <w:tcW w:w="100" w:type="dxa"/>
            <w:vAlign w:val="bottom"/>
            <w:tcBorders>
              <w:bottom w:val="single" w:sz="8" w:color="00C08A"/>
            </w:tcBorders>
            <w:shd w:val="clear" w:color="auto" w:fill="CCEEFF"/>
          </w:tcPr>
          <w:p>
            <w:pPr>
              <w:spacing w:after="0"/>
              <w:rPr>
                <w:sz w:val="7"/>
                <w:szCs w:val="7"/>
                <w:color w:val="auto"/>
              </w:rPr>
            </w:pPr>
          </w:p>
        </w:tc>
        <w:tc>
          <w:tcPr>
            <w:tcW w:w="540" w:type="dxa"/>
            <w:vAlign w:val="bottom"/>
            <w:tcBorders>
              <w:bottom w:val="single" w:sz="8" w:color="00C08A"/>
            </w:tcBorders>
            <w:shd w:val="clear" w:color="auto" w:fill="CCEEFF"/>
          </w:tcPr>
          <w:p>
            <w:pPr>
              <w:spacing w:after="0"/>
              <w:rPr>
                <w:sz w:val="7"/>
                <w:szCs w:val="7"/>
                <w:color w:val="auto"/>
              </w:rPr>
            </w:pPr>
          </w:p>
        </w:tc>
        <w:tc>
          <w:tcPr>
            <w:tcW w:w="320" w:type="dxa"/>
            <w:vAlign w:val="bottom"/>
            <w:tcBorders>
              <w:bottom w:val="single" w:sz="8" w:color="00C08A"/>
            </w:tcBorders>
            <w:shd w:val="clear" w:color="auto" w:fill="CCEEFF"/>
          </w:tcPr>
          <w:p>
            <w:pPr>
              <w:spacing w:after="0"/>
              <w:rPr>
                <w:sz w:val="7"/>
                <w:szCs w:val="7"/>
                <w:color w:val="auto"/>
              </w:rPr>
            </w:pPr>
          </w:p>
        </w:tc>
        <w:tc>
          <w:tcPr>
            <w:tcW w:w="260" w:type="dxa"/>
            <w:vAlign w:val="bottom"/>
            <w:tcBorders>
              <w:bottom w:val="single" w:sz="8" w:color="00C08A"/>
            </w:tcBorders>
            <w:shd w:val="clear" w:color="auto" w:fill="CCEEFF"/>
          </w:tcPr>
          <w:p>
            <w:pPr>
              <w:spacing w:after="0"/>
              <w:rPr>
                <w:sz w:val="7"/>
                <w:szCs w:val="7"/>
                <w:color w:val="auto"/>
              </w:rPr>
            </w:pPr>
          </w:p>
        </w:tc>
        <w:tc>
          <w:tcPr>
            <w:tcW w:w="96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620" w:type="dxa"/>
            <w:vAlign w:val="bottom"/>
            <w:tcBorders>
              <w:bottom w:val="single" w:sz="8" w:color="00C08A"/>
            </w:tcBorders>
            <w:shd w:val="clear" w:color="auto" w:fill="CCEEFF"/>
          </w:tcPr>
          <w:p>
            <w:pPr>
              <w:spacing w:after="0"/>
              <w:rPr>
                <w:sz w:val="7"/>
                <w:szCs w:val="7"/>
                <w:color w:val="auto"/>
              </w:rPr>
            </w:pPr>
          </w:p>
        </w:tc>
        <w:tc>
          <w:tcPr>
            <w:tcW w:w="240" w:type="dxa"/>
            <w:vAlign w:val="bottom"/>
            <w:tcBorders>
              <w:bottom w:val="single" w:sz="8" w:color="00C08A"/>
            </w:tcBorders>
            <w:shd w:val="clear" w:color="auto" w:fill="CCEEFF"/>
          </w:tcPr>
          <w:p>
            <w:pPr>
              <w:spacing w:after="0"/>
              <w:rPr>
                <w:sz w:val="7"/>
                <w:szCs w:val="7"/>
                <w:color w:val="auto"/>
              </w:rPr>
            </w:pPr>
          </w:p>
        </w:tc>
        <w:tc>
          <w:tcPr>
            <w:tcW w:w="720" w:type="dxa"/>
            <w:vAlign w:val="bottom"/>
            <w:tcBorders>
              <w:bottom w:val="single" w:sz="8" w:color="00C08A"/>
            </w:tcBorders>
            <w:shd w:val="clear" w:color="auto" w:fill="CCEEFF"/>
          </w:tcPr>
          <w:p>
            <w:pPr>
              <w:spacing w:after="0"/>
              <w:rPr>
                <w:sz w:val="7"/>
                <w:szCs w:val="7"/>
                <w:color w:val="auto"/>
              </w:rPr>
            </w:pPr>
          </w:p>
        </w:tc>
        <w:tc>
          <w:tcPr>
            <w:tcW w:w="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shd w:val="clear" w:color="auto" w:fill="CCEEFF"/>
          </w:tcPr>
          <w:p>
            <w:pPr>
              <w:spacing w:after="0"/>
              <w:rPr>
                <w:sz w:val="7"/>
                <w:szCs w:val="7"/>
                <w:color w:val="auto"/>
              </w:rPr>
            </w:pPr>
          </w:p>
        </w:tc>
        <w:tc>
          <w:tcPr>
            <w:tcW w:w="220" w:type="dxa"/>
            <w:vAlign w:val="bottom"/>
            <w:tcBorders>
              <w:bottom w:val="single" w:sz="8" w:color="00C08A"/>
            </w:tcBorders>
            <w:vMerge w:val="continue"/>
            <w:shd w:val="clear" w:color="auto" w:fill="CCEEFF"/>
          </w:tcPr>
          <w:p>
            <w:pPr>
              <w:spacing w:after="0"/>
              <w:rPr>
                <w:sz w:val="7"/>
                <w:szCs w:val="7"/>
                <w:color w:val="auto"/>
              </w:rPr>
            </w:pPr>
          </w:p>
        </w:tc>
        <w:tc>
          <w:tcPr>
            <w:tcW w:w="920" w:type="dxa"/>
            <w:vAlign w:val="bottom"/>
            <w:tcBorders>
              <w:bottom w:val="single" w:sz="8" w:color="00C08A"/>
            </w:tcBorders>
            <w:gridSpan w:val="2"/>
            <w:shd w:val="clear" w:color="auto" w:fill="CCEEFF"/>
          </w:tcPr>
          <w:p>
            <w:pPr>
              <w:jc w:val="right"/>
              <w:ind w:right="12"/>
              <w:spacing w:after="0" w:line="81" w:lineRule="exact"/>
              <w:rPr>
                <w:sz w:val="20"/>
                <w:szCs w:val="20"/>
                <w:color w:val="auto"/>
              </w:rPr>
            </w:pPr>
            <w:r>
              <w:rPr>
                <w:rFonts w:ascii="Arial" w:cs="Arial" w:eastAsia="Arial" w:hAnsi="Arial"/>
                <w:sz w:val="9"/>
                <w:szCs w:val="9"/>
                <w:color w:val="auto"/>
              </w:rPr>
              <w:t>35,000(8)</w:t>
            </w:r>
          </w:p>
        </w:tc>
        <w:tc>
          <w:tcPr>
            <w:tcW w:w="100" w:type="dxa"/>
            <w:vAlign w:val="bottom"/>
            <w:tcBorders>
              <w:bottom w:val="single" w:sz="8" w:color="00C08A"/>
            </w:tcBorders>
            <w:shd w:val="clear" w:color="auto" w:fill="CCEEFF"/>
          </w:tcPr>
          <w:p>
            <w:pPr>
              <w:spacing w:after="0"/>
              <w:rPr>
                <w:sz w:val="7"/>
                <w:szCs w:val="7"/>
                <w:color w:val="auto"/>
              </w:rPr>
            </w:pPr>
          </w:p>
        </w:tc>
        <w:tc>
          <w:tcPr>
            <w:tcW w:w="1100" w:type="dxa"/>
            <w:vAlign w:val="bottom"/>
            <w:tcBorders>
              <w:bottom w:val="single" w:sz="8" w:color="00C08A"/>
              <w:right w:val="single" w:sz="8" w:color="CCEEFF"/>
            </w:tcBorders>
            <w:gridSpan w:val="2"/>
            <w:vMerge w:val="continue"/>
            <w:shd w:val="clear" w:color="auto" w:fill="CCEEFF"/>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Sean P. Galvin</w:t>
            </w:r>
          </w:p>
        </w:tc>
        <w:tc>
          <w:tcPr>
            <w:tcW w:w="7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4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535,200</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ind w:left="340"/>
              <w:spacing w:after="0" w:line="76"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ind w:left="220"/>
              <w:spacing w:after="0" w:line="76" w:lineRule="exact"/>
              <w:rPr>
                <w:sz w:val="20"/>
                <w:szCs w:val="20"/>
                <w:color w:val="auto"/>
              </w:rPr>
            </w:pPr>
            <w:r>
              <w:rPr>
                <w:rFonts w:ascii="Arial" w:cs="Arial" w:eastAsia="Arial" w:hAnsi="Arial"/>
                <w:sz w:val="8"/>
                <w:szCs w:val="8"/>
                <w:color w:val="auto"/>
              </w:rPr>
              <w:t>​—</w:t>
            </w: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gridSpan w:val="2"/>
          </w:tcPr>
          <w:p>
            <w:pPr>
              <w:jc w:val="right"/>
              <w:ind w:right="12"/>
              <w:spacing w:after="0" w:line="76" w:lineRule="exact"/>
              <w:rPr>
                <w:sz w:val="20"/>
                <w:szCs w:val="20"/>
                <w:color w:val="auto"/>
              </w:rPr>
            </w:pPr>
            <w:r>
              <w:rPr>
                <w:rFonts w:ascii="Arial" w:cs="Arial" w:eastAsia="Arial" w:hAnsi="Arial"/>
                <w:sz w:val="8"/>
                <w:szCs w:val="8"/>
                <w:color w:val="auto"/>
              </w:rPr>
              <w:t>15,000(2)</w:t>
            </w: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83,527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2,341(2)</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235,203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
        </w:trPr>
        <w:tc>
          <w:tcPr>
            <w:tcW w:w="1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4"/>
                <w:szCs w:val="4"/>
                <w:color w:val="auto"/>
              </w:rPr>
              <w:t>6,592(5)</w:t>
            </w: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6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spacing w:after="0" w:line="181" w:lineRule="exact"/>
              <w:rPr>
                <w:sz w:val="20"/>
                <w:szCs w:val="20"/>
                <w:color w:val="auto"/>
              </w:rPr>
            </w:pPr>
            <w:r>
              <w:rPr>
                <w:rFonts w:ascii="Arial" w:cs="Arial" w:eastAsia="Arial" w:hAnsi="Arial"/>
                <w:sz w:val="18"/>
                <w:szCs w:val="18"/>
                <w:color w:val="auto"/>
              </w:rPr>
              <w:t>​​ ​</w:t>
            </w:r>
          </w:p>
        </w:tc>
        <w:tc>
          <w:tcPr>
            <w:tcW w:w="2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10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283,727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gridSpan w:val="2"/>
          </w:tcPr>
          <w:p>
            <w:pPr>
              <w:jc w:val="right"/>
              <w:ind w:right="12"/>
              <w:spacing w:after="0" w:line="181" w:lineRule="exact"/>
              <w:rPr>
                <w:sz w:val="20"/>
                <w:szCs w:val="20"/>
                <w:color w:val="auto"/>
              </w:rPr>
            </w:pPr>
            <w:r>
              <w:rPr>
                <w:rFonts w:ascii="Arial" w:cs="Arial" w:eastAsia="Arial" w:hAnsi="Arial"/>
                <w:sz w:val="18"/>
                <w:szCs w:val="18"/>
                <w:color w:val="auto"/>
              </w:rPr>
              <w:t>7,952(6)</w:t>
            </w: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-45085</wp:posOffset>
            </wp:positionV>
            <wp:extent cx="58293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980" w:right="260" w:hanging="218"/>
        <w:spacing w:after="0" w:line="304"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our Class A common stock on December 31, 2023 (the last trading day of fiscal year 2024) equal to $35.68.</w:t>
      </w:r>
    </w:p>
    <w:p>
      <w:pPr>
        <w:spacing w:after="0" w:line="10"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on February 3, 2025.</w:t>
      </w:r>
    </w:p>
    <w:p>
      <w:pPr>
        <w:spacing w:after="0" w:line="95" w:lineRule="exact"/>
        <w:rPr>
          <w:rFonts w:ascii="Arial" w:cs="Arial" w:eastAsia="Arial" w:hAnsi="Arial"/>
          <w:sz w:val="14"/>
          <w:szCs w:val="14"/>
          <w:color w:val="auto"/>
        </w:rPr>
      </w:pPr>
    </w:p>
    <w:p>
      <w:pPr>
        <w:ind w:left="980" w:right="26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as further described above under “Cifu Equity Awards” that will vest on January 31, 2025.</w:t>
      </w:r>
    </w:p>
    <w:p>
      <w:pPr>
        <w:spacing w:after="0" w:line="22"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2025.</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3, 2025, and February 3, 2026.</w:t>
      </w:r>
    </w:p>
    <w:p>
      <w:pPr>
        <w:spacing w:after="0" w:line="82"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2, 2025, February 2, 2026, and February 2, 2027.</w:t>
      </w:r>
    </w:p>
    <w:p>
      <w:pPr>
        <w:spacing w:after="0" w:line="95" w:lineRule="exact"/>
        <w:rPr>
          <w:rFonts w:ascii="Arial" w:cs="Arial" w:eastAsia="Arial" w:hAnsi="Arial"/>
          <w:sz w:val="14"/>
          <w:szCs w:val="14"/>
          <w:color w:val="auto"/>
        </w:rPr>
      </w:pPr>
    </w:p>
    <w:p>
      <w:pPr>
        <w:ind w:left="980" w:right="26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as further described above under “Cifu Equity Awards” that will vest on January 31, 2025 and January 31, 2026.</w:t>
      </w:r>
    </w:p>
    <w:p>
      <w:pPr>
        <w:spacing w:after="0" w:line="22"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August 1, 2025, August 1, 2026, and August 1, 2027.</w:t>
      </w:r>
    </w:p>
    <w:p>
      <w:pPr>
        <w:spacing w:after="0" w:line="95"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that will vest on January 31, 2025 and January 31, 2026.</w:t>
      </w:r>
    </w:p>
    <w:p>
      <w:pPr>
        <w:spacing w:after="0" w:line="31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jc w:val="center"/>
        <w:ind w:right="-619"/>
        <w:spacing w:after="0"/>
        <w:rPr>
          <w:sz w:val="20"/>
          <w:szCs w:val="20"/>
          <w:color w:val="auto"/>
        </w:rPr>
      </w:pPr>
      <w:r>
        <w:rPr>
          <w:rFonts w:ascii="Arial" w:cs="Arial" w:eastAsia="Arial" w:hAnsi="Arial"/>
          <w:sz w:val="29"/>
          <w:szCs w:val="29"/>
          <w:color w:val="00C08A"/>
        </w:rPr>
        <w:t>STOCK VESTED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29"/>
          <w:szCs w:val="29"/>
          <w:color w:val="00C08A"/>
        </w:rPr>
        <w:t>DURING FISCAL YEAR 2024</w:t>
      </w:r>
    </w:p>
    <w:p>
      <w:pPr>
        <w:spacing w:after="0" w:line="84" w:lineRule="exact"/>
        <w:rPr>
          <w:sz w:val="20"/>
          <w:szCs w:val="20"/>
          <w:color w:val="auto"/>
        </w:rPr>
      </w:pPr>
    </w:p>
    <w:p>
      <w:pPr>
        <w:ind w:left="760" w:right="540"/>
        <w:spacing w:after="0" w:line="287" w:lineRule="auto"/>
        <w:rPr>
          <w:sz w:val="20"/>
          <w:szCs w:val="20"/>
          <w:color w:val="auto"/>
        </w:rPr>
      </w:pPr>
      <w:r>
        <w:rPr>
          <w:rFonts w:ascii="Arial" w:cs="Arial" w:eastAsia="Arial" w:hAnsi="Arial"/>
          <w:sz w:val="18"/>
          <w:szCs w:val="18"/>
          <w:color w:val="auto"/>
        </w:rPr>
        <w:t>The following table sets forth as to each of the named executive officers’ information on the vesting of restricted stock units during 2024.</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39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460" w:type="dxa"/>
            <w:vAlign w:val="bottom"/>
          </w:tcPr>
          <w:p>
            <w:pPr>
              <w:ind w:left="2320"/>
              <w:spacing w:after="0"/>
              <w:rPr>
                <w:sz w:val="20"/>
                <w:szCs w:val="20"/>
                <w:color w:val="auto"/>
              </w:rPr>
            </w:pPr>
            <w:r>
              <w:rPr>
                <w:rFonts w:ascii="Arial" w:cs="Arial" w:eastAsia="Arial" w:hAnsi="Arial"/>
                <w:sz w:val="14"/>
                <w:szCs w:val="14"/>
                <w:b w:val="1"/>
                <w:bCs w:val="1"/>
                <w:color w:val="002453"/>
              </w:rPr>
              <w:t>​ ​</w:t>
            </w:r>
          </w:p>
        </w:tc>
        <w:tc>
          <w:tcPr>
            <w:tcW w:w="60" w:type="dxa"/>
            <w:vAlign w:val="bottom"/>
          </w:tcPr>
          <w:p>
            <w:pPr>
              <w:spacing w:after="0"/>
              <w:rPr>
                <w:sz w:val="18"/>
                <w:szCs w:val="18"/>
                <w:color w:val="auto"/>
              </w:rPr>
            </w:pPr>
          </w:p>
        </w:tc>
        <w:tc>
          <w:tcPr>
            <w:tcW w:w="1860" w:type="dxa"/>
            <w:vAlign w:val="bottom"/>
            <w:tcBorders>
              <w:bottom w:val="single" w:sz="8" w:color="00C08A"/>
            </w:tcBorders>
            <w:gridSpan w:val="3"/>
          </w:tcPr>
          <w:p>
            <w:pPr>
              <w:ind w:left="920"/>
              <w:spacing w:after="0"/>
              <w:rPr>
                <w:sz w:val="20"/>
                <w:szCs w:val="20"/>
                <w:color w:val="auto"/>
              </w:rPr>
            </w:pPr>
            <w:r>
              <w:rPr>
                <w:rFonts w:ascii="Arial" w:cs="Arial" w:eastAsia="Arial" w:hAnsi="Arial"/>
                <w:sz w:val="14"/>
                <w:szCs w:val="14"/>
                <w:b w:val="1"/>
                <w:bCs w:val="1"/>
                <w:color w:val="002453"/>
                <w:w w:val="99"/>
              </w:rPr>
              <w:t>Stock Awards</w:t>
            </w:r>
          </w:p>
        </w:tc>
        <w:tc>
          <w:tcPr>
            <w:tcW w:w="900" w:type="dxa"/>
            <w:vAlign w:val="bottom"/>
            <w:tcBorders>
              <w:bottom w:val="single" w:sz="8" w:color="00C08A"/>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453"/>
              </w:rPr>
              <w:t>Number of Shares</w:t>
            </w:r>
          </w:p>
        </w:tc>
        <w:tc>
          <w:tcPr>
            <w:tcW w:w="24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Value Realized 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Acquired on</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w w:val="98"/>
              </w:rPr>
              <w:t>Vesting</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319"/>
              <w:spacing w:after="0" w:line="139" w:lineRule="exact"/>
              <w:rPr>
                <w:sz w:val="20"/>
                <w:szCs w:val="20"/>
                <w:color w:val="auto"/>
              </w:rPr>
            </w:pPr>
            <w:r>
              <w:rPr>
                <w:rFonts w:ascii="Arial" w:cs="Arial" w:eastAsia="Arial" w:hAnsi="Arial"/>
                <w:sz w:val="14"/>
                <w:szCs w:val="14"/>
                <w:b w:val="1"/>
                <w:bCs w:val="1"/>
                <w:color w:val="002453"/>
                <w:w w:val="98"/>
              </w:rPr>
              <w:t>Vesting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9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Name</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4"/>
                <w:szCs w:val="14"/>
                <w:b w:val="1"/>
                <w:bCs w:val="1"/>
                <w:color w:val="002453"/>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w w:val="99"/>
              </w:rPr>
              <w:t>(#)(7)</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360" w:type="dxa"/>
            <w:vAlign w:val="bottom"/>
            <w:tcBorders>
              <w:bottom w:val="single" w:sz="8" w:color="00C08A"/>
            </w:tcBorders>
          </w:tcPr>
          <w:p>
            <w:pPr>
              <w:spacing w:after="0"/>
              <w:rPr>
                <w:sz w:val="18"/>
                <w:szCs w:val="18"/>
                <w:color w:val="auto"/>
              </w:rPr>
            </w:pPr>
          </w:p>
        </w:tc>
        <w:tc>
          <w:tcPr>
            <w:tcW w:w="900" w:type="dxa"/>
            <w:vAlign w:val="bottom"/>
            <w:tcBorders>
              <w:bottom w:val="single" w:sz="8" w:color="00C08A"/>
            </w:tcBorders>
          </w:tcPr>
          <w:p>
            <w:pPr>
              <w:jc w:val="center"/>
              <w:ind w:right="279"/>
              <w:spacing w:after="0"/>
              <w:rPr>
                <w:sz w:val="20"/>
                <w:szCs w:val="20"/>
                <w:color w:val="auto"/>
              </w:rPr>
            </w:pPr>
            <w:r>
              <w:rPr>
                <w:rFonts w:ascii="Arial" w:cs="Arial" w:eastAsia="Arial" w:hAnsi="Arial"/>
                <w:sz w:val="14"/>
                <w:szCs w:val="14"/>
                <w:b w:val="1"/>
                <w:bCs w:val="1"/>
                <w:color w:val="002453"/>
              </w:rPr>
              <w:t>($)</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Douglas A. Cifu(1)</w:t>
            </w:r>
          </w:p>
        </w:tc>
        <w:tc>
          <w:tcPr>
            <w:tcW w:w="2460" w:type="dxa"/>
            <w:vAlign w:val="bottom"/>
            <w:tcBorders>
              <w:bottom w:val="single" w:sz="8" w:color="00C08A"/>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​183,696</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​3,088,788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Joseph Molluso(2)</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88,647</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tcPr>
          <w:p>
            <w:pPr>
              <w:jc w:val="right"/>
              <w:ind w:right="139"/>
              <w:spacing w:after="0"/>
              <w:rPr>
                <w:sz w:val="20"/>
                <w:szCs w:val="20"/>
                <w:color w:val="auto"/>
              </w:rPr>
            </w:pPr>
            <w:r>
              <w:rPr>
                <w:rFonts w:ascii="Arial" w:cs="Arial" w:eastAsia="Arial" w:hAnsi="Arial"/>
                <w:sz w:val="18"/>
                <w:szCs w:val="18"/>
                <w:color w:val="auto"/>
              </w:rPr>
              <w:t>​1,490,457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Fairclough(3)</w:t>
            </w:r>
          </w:p>
        </w:tc>
        <w:tc>
          <w:tcPr>
            <w:tcW w:w="2460" w:type="dxa"/>
            <w:vAlign w:val="bottom"/>
            <w:tcBorders>
              <w:bottom w:val="single" w:sz="8" w:color="00C08A"/>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88,104</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​1,481,368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Stephen Cavoli(4)</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86,336</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gridSpan w:val="2"/>
          </w:tcPr>
          <w:p>
            <w:pPr>
              <w:jc w:val="right"/>
              <w:ind w:right="139"/>
              <w:spacing w:after="0"/>
              <w:rPr>
                <w:sz w:val="20"/>
                <w:szCs w:val="20"/>
                <w:color w:val="auto"/>
              </w:rPr>
            </w:pPr>
            <w:r>
              <w:rPr>
                <w:rFonts w:ascii="Arial" w:cs="Arial" w:eastAsia="Arial" w:hAnsi="Arial"/>
                <w:sz w:val="18"/>
                <w:szCs w:val="18"/>
                <w:color w:val="auto"/>
              </w:rPr>
              <w:t>​1,451,577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Cindy Lee(5)</w:t>
            </w:r>
          </w:p>
        </w:tc>
        <w:tc>
          <w:tcPr>
            <w:tcW w:w="2460" w:type="dxa"/>
            <w:vAlign w:val="bottom"/>
            <w:tcBorders>
              <w:bottom w:val="single" w:sz="8" w:color="00C08A"/>
            </w:tcBorders>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17,206</w:t>
            </w:r>
          </w:p>
        </w:tc>
        <w:tc>
          <w:tcPr>
            <w:tcW w:w="24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C08A"/>
            </w:tcBorders>
            <w:shd w:val="clear" w:color="auto" w:fill="CCEEFF"/>
          </w:tcPr>
          <w:p>
            <w:pPr>
              <w:jc w:val="right"/>
              <w:ind w:right="139"/>
              <w:spacing w:after="0"/>
              <w:rPr>
                <w:sz w:val="20"/>
                <w:szCs w:val="20"/>
                <w:color w:val="auto"/>
              </w:rPr>
            </w:pPr>
            <w:r>
              <w:rPr>
                <w:rFonts w:ascii="Arial" w:cs="Arial" w:eastAsia="Arial" w:hAnsi="Arial"/>
                <w:sz w:val="18"/>
                <w:szCs w:val="18"/>
                <w:color w:val="auto"/>
              </w:rPr>
              <w:t>289,921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C08A"/>
            </w:tcBorders>
          </w:tcPr>
          <w:p>
            <w:pPr>
              <w:spacing w:after="0"/>
              <w:rPr>
                <w:sz w:val="20"/>
                <w:szCs w:val="20"/>
                <w:color w:val="auto"/>
              </w:rPr>
            </w:pPr>
            <w:r>
              <w:rPr>
                <w:rFonts w:ascii="Arial" w:cs="Arial" w:eastAsia="Arial" w:hAnsi="Arial"/>
                <w:sz w:val="18"/>
                <w:szCs w:val="18"/>
                <w:b w:val="1"/>
                <w:bCs w:val="1"/>
                <w:color w:val="auto"/>
              </w:rPr>
              <w:t>Sean P. Galvin(6)</w:t>
            </w:r>
          </w:p>
        </w:tc>
        <w:tc>
          <w:tcPr>
            <w:tcW w:w="2460" w:type="dxa"/>
            <w:vAlign w:val="bottom"/>
            <w:tcBorders>
              <w:bottom w:val="single" w:sz="8" w:color="00C08A"/>
            </w:tcBorders>
          </w:tcPr>
          <w:p>
            <w:pPr>
              <w:ind w:left="2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00C08A"/>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8"/>
                <w:szCs w:val="18"/>
                <w:color w:val="auto"/>
              </w:rPr>
              <w:t>​ 25,940</w:t>
            </w:r>
          </w:p>
        </w:tc>
        <w:tc>
          <w:tcPr>
            <w:tcW w:w="2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C08A"/>
            </w:tcBorders>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C08A"/>
            </w:tcBorders>
          </w:tcPr>
          <w:p>
            <w:pPr>
              <w:jc w:val="right"/>
              <w:ind w:right="139"/>
              <w:spacing w:after="0"/>
              <w:rPr>
                <w:sz w:val="20"/>
                <w:szCs w:val="20"/>
                <w:color w:val="auto"/>
              </w:rPr>
            </w:pPr>
            <w:r>
              <w:rPr>
                <w:rFonts w:ascii="Arial" w:cs="Arial" w:eastAsia="Arial" w:hAnsi="Arial"/>
                <w:sz w:val="18"/>
                <w:szCs w:val="18"/>
                <w:color w:val="auto"/>
              </w:rPr>
              <w:t>437,089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980" w:right="140" w:hanging="218"/>
        <w:spacing w:after="0" w:line="282"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Cifu, this includes the vesting of 18,084 RSUs on February 1, 2024, at a closing price of $16.74, 75,000 RSUs on January 31, 2024, at a closing price of $16.79, 48,600 RSUs on February 2, 2024, at a closing price of $16.85, 16,261 RSUs on February 2, 2024 at a closing price of $16.85 and 25,751 RSUs on February 3, 2024 at a closing price of $16.85, the latter two of which awards were subject to a deferral election under the DCP.</w:t>
      </w:r>
    </w:p>
    <w:p>
      <w:pPr>
        <w:spacing w:after="0" w:line="80"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Molluso, this includes the vesting of 37,500 RSUs on January 31, 2024, at a closing price of $16.79, 9,042 RSUs on February 1, 2024, at a closing price of $16.74, 22,386 RSUs on February 2, 2024, at a closing price of $16.85, 8,131 RSUs on February 4, 2024, at a closing price of $16.85 and 11,588 RSUs on February 3, 2024, at a closing price of $16.85, the latter two were subject to a deferral election under the DCP.</w:t>
      </w:r>
    </w:p>
    <w:p>
      <w:pPr>
        <w:spacing w:after="0" w:line="66" w:lineRule="exact"/>
        <w:rPr>
          <w:rFonts w:ascii="Arial" w:cs="Arial" w:eastAsia="Arial" w:hAnsi="Arial"/>
          <w:sz w:val="14"/>
          <w:szCs w:val="14"/>
          <w:color w:val="auto"/>
        </w:rPr>
      </w:pPr>
    </w:p>
    <w:p>
      <w:pPr>
        <w:ind w:left="980" w:right="6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Fairclough, this includes the vesting of 8,499 RSUs on February 1, 2024, at a closing price of $16.74, 8,131 RSUs on February 3, 2024, at a closing price of $16.85, 37,500 RSUs on January 31, 2024, at a closing price of $16.79, 11,588 RSUs on February 3, 2024, at a closing price of $16.85 and 22,386 RSUs on February 2, 2024, at a closing price of $16.85.</w:t>
      </w:r>
    </w:p>
    <w:p>
      <w:pPr>
        <w:spacing w:after="0" w:line="58" w:lineRule="exact"/>
        <w:rPr>
          <w:rFonts w:ascii="Arial" w:cs="Arial" w:eastAsia="Arial" w:hAnsi="Arial"/>
          <w:sz w:val="14"/>
          <w:szCs w:val="14"/>
          <w:color w:val="auto"/>
        </w:rPr>
      </w:pPr>
    </w:p>
    <w:p>
      <w:pPr>
        <w:ind w:left="980" w:right="10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Cavoli, this includes the vesting of 8,499 RSUs on February 1, 2024, at a closing price of $16.74, 8,131 RSUs on February 3, 2024, at a closing price of $16.85, 37,500 RSUs on January 31, 2024, at a closing price of $16.79, 11,588 RSUs on February 3, 2024, at a closing price of $16.85 and 20,618 RSUs on February 2, 2024, at a closing price of $16.85.</w:t>
      </w:r>
    </w:p>
    <w:p>
      <w:pPr>
        <w:spacing w:after="0" w:line="58" w:lineRule="exact"/>
        <w:rPr>
          <w:rFonts w:ascii="Arial" w:cs="Arial" w:eastAsia="Arial" w:hAnsi="Arial"/>
          <w:sz w:val="14"/>
          <w:szCs w:val="14"/>
          <w:color w:val="auto"/>
        </w:rPr>
      </w:pPr>
    </w:p>
    <w:p>
      <w:pPr>
        <w:jc w:val="both"/>
        <w:ind w:left="980" w:right="16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Ms. Lee, this includes the vesting of 6,667 RSUs on February 3, 2024, at a closing price of $16.85, 1,951 RSUs on February 3, 2024, at a closing price of $16.85, 3,090 RSUs on February 3, 2024, at a closing price of $16.85 and 5,498 RSUs on February 2, 2024, at a closing price of $16.85.</w:t>
      </w:r>
    </w:p>
    <w:p>
      <w:pPr>
        <w:spacing w:after="0" w:line="58" w:lineRule="exact"/>
        <w:rPr>
          <w:rFonts w:ascii="Arial" w:cs="Arial" w:eastAsia="Arial" w:hAnsi="Arial"/>
          <w:sz w:val="14"/>
          <w:szCs w:val="14"/>
          <w:color w:val="auto"/>
        </w:rPr>
      </w:pPr>
    </w:p>
    <w:p>
      <w:pPr>
        <w:ind w:left="980" w:right="120" w:hanging="218"/>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Mr. Galvin, this includes the vesting of 4,412 RSUs on August 12, 2023, at a closing price of $18.79, 15,000 RSUs on February 3, 2023, at a closing price of $19.41, 2,341 RSUs on February 3, 2023, at a closing price of $19.41 and 6,593 RSUs on February 3, 2023, at a closing price of $19.41.</w:t>
      </w:r>
    </w:p>
    <w:p>
      <w:pPr>
        <w:spacing w:after="0" w:line="58" w:lineRule="exact"/>
        <w:rPr>
          <w:rFonts w:ascii="Arial" w:cs="Arial" w:eastAsia="Arial" w:hAnsi="Arial"/>
          <w:sz w:val="14"/>
          <w:szCs w:val="14"/>
          <w:color w:val="auto"/>
        </w:rPr>
      </w:pPr>
    </w:p>
    <w:p>
      <w:pPr>
        <w:ind w:left="980" w:right="120" w:hanging="218"/>
        <w:spacing w:after="0" w:line="282"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number of shares delivered upon vesting of the executive’s stock awards were reduced by a number of shares with a market value equal to the applicable tax withholding amounts on their awards. As a result, the actual shares acquired by Messrs. Cifu, Molluso, Fairclough, Cavoli, Galvin and Ms. Lee upon the vesting and settlement of their stock awards was 123,237, 51,247, 53,744, 43,649 and 16,586 and 10,270,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1943100</wp:posOffset>
            </wp:positionV>
            <wp:extent cx="754380"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198" w:lineRule="exact"/>
        <w:rPr>
          <w:sz w:val="20"/>
          <w:szCs w:val="20"/>
          <w:color w:val="auto"/>
        </w:rPr>
      </w:pPr>
    </w:p>
    <w:p>
      <w:pPr>
        <w:jc w:val="center"/>
        <w:ind w:right="-639"/>
        <w:spacing w:after="0"/>
        <w:rPr>
          <w:sz w:val="20"/>
          <w:szCs w:val="20"/>
          <w:color w:val="auto"/>
        </w:rPr>
      </w:pPr>
      <w:r>
        <w:rPr>
          <w:rFonts w:ascii="Arial" w:cs="Arial" w:eastAsia="Arial" w:hAnsi="Arial"/>
          <w:sz w:val="29"/>
          <w:szCs w:val="29"/>
          <w:color w:val="00C08A"/>
        </w:rPr>
        <w:t>NONQUALIFIED DEFERRED COMPENSATION</w:t>
      </w:r>
    </w:p>
    <w:p>
      <w:pPr>
        <w:spacing w:after="0" w:line="5" w:lineRule="exact"/>
        <w:rPr>
          <w:sz w:val="20"/>
          <w:szCs w:val="20"/>
          <w:color w:val="auto"/>
        </w:rPr>
      </w:pPr>
    </w:p>
    <w:p>
      <w:pPr>
        <w:jc w:val="center"/>
        <w:ind w:right="-719"/>
        <w:spacing w:after="0"/>
        <w:rPr>
          <w:sz w:val="20"/>
          <w:szCs w:val="20"/>
          <w:color w:val="auto"/>
        </w:rPr>
      </w:pPr>
      <w:r>
        <w:rPr>
          <w:rFonts w:ascii="Arial" w:cs="Arial" w:eastAsia="Arial" w:hAnsi="Arial"/>
          <w:sz w:val="29"/>
          <w:szCs w:val="29"/>
          <w:color w:val="00C08A"/>
        </w:rPr>
        <w:t>DURING FISCAL YEAR 2024</w:t>
      </w:r>
    </w:p>
    <w:p>
      <w:pPr>
        <w:spacing w:after="0" w:line="97" w:lineRule="exact"/>
        <w:rPr>
          <w:sz w:val="20"/>
          <w:szCs w:val="20"/>
          <w:color w:val="auto"/>
        </w:rPr>
      </w:pPr>
    </w:p>
    <w:p>
      <w:pPr>
        <w:jc w:val="both"/>
        <w:ind w:left="760" w:right="220"/>
        <w:spacing w:after="0" w:line="301" w:lineRule="auto"/>
        <w:rPr>
          <w:sz w:val="20"/>
          <w:szCs w:val="20"/>
          <w:color w:val="auto"/>
        </w:rPr>
      </w:pPr>
      <w:r>
        <w:rPr>
          <w:rFonts w:ascii="Arial" w:cs="Arial" w:eastAsia="Arial" w:hAnsi="Arial"/>
          <w:sz w:val="17"/>
          <w:szCs w:val="17"/>
          <w:color w:val="auto"/>
        </w:rPr>
        <w:t>The following table sets forth the information as to each of our named executive officers who participate in our DCP, as discussed in the “Employee Benefits and Perquisites — Compensation Discussion and Analysis” section above.</w:t>
      </w:r>
    </w:p>
    <w:p>
      <w:pPr>
        <w:spacing w:after="0" w:line="23"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In fiscal year 2024, only Mr. Molluso elected to defer a portion of his compensation in the form of deferred stock units. His contributions represent deferred bonus and deferred annual equity awards and are included in the amounts reported for bonus in the Summary Compensation Table for each of them. The compensation amounts for Mr. Cifu represent the vesting of previously awarded compensation in fiscal year 2024, which was subject to a prior deferral election, and which upon vesting was contributed to the DCP and converted to deferred stock units.</w:t>
      </w:r>
    </w:p>
    <w:p>
      <w:pPr>
        <w:spacing w:after="0" w:line="8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Executive</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Registrant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2453"/>
              </w:rPr>
              <w:t>Aggregate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2453"/>
              </w:rPr>
              <w:t>Aggregate</w:t>
            </w:r>
          </w:p>
        </w:tc>
        <w:tc>
          <w:tcPr>
            <w:tcW w:w="3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002453"/>
              </w:rPr>
              <w:t>Aggregate</w:t>
            </w:r>
          </w:p>
        </w:tc>
      </w:tr>
      <w:tr>
        <w:trPr>
          <w:trHeight w:val="139"/>
        </w:trPr>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Contributions</w:t>
            </w:r>
          </w:p>
        </w:tc>
        <w:tc>
          <w:tcPr>
            <w:tcW w:w="22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Contributions</w:t>
            </w: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Earnings in</w:t>
            </w:r>
          </w:p>
        </w:tc>
        <w:tc>
          <w:tcPr>
            <w:tcW w:w="11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002453"/>
              </w:rPr>
              <w:t>Withdrawals/​</w:t>
            </w:r>
          </w:p>
        </w:tc>
        <w:tc>
          <w:tcPr>
            <w:tcW w:w="10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002453"/>
              </w:rPr>
              <w:t>Balance at</w:t>
            </w:r>
          </w:p>
        </w:tc>
      </w:tr>
      <w:tr>
        <w:trPr>
          <w:trHeight w:val="212"/>
        </w:trPr>
        <w:tc>
          <w:tcPr>
            <w:tcW w:w="1720" w:type="dxa"/>
            <w:vAlign w:val="bottom"/>
          </w:tcPr>
          <w:p>
            <w:pPr>
              <w:ind w:left="20"/>
              <w:spacing w:after="0"/>
              <w:rPr>
                <w:sz w:val="20"/>
                <w:szCs w:val="20"/>
                <w:color w:val="auto"/>
              </w:rPr>
            </w:pPr>
            <w:r>
              <w:rPr>
                <w:rFonts w:ascii="Arial" w:cs="Arial" w:eastAsia="Arial" w:hAnsi="Arial"/>
                <w:sz w:val="14"/>
                <w:szCs w:val="14"/>
                <w:b w:val="1"/>
                <w:bCs w:val="1"/>
                <w:color w:val="002453"/>
              </w:rPr>
              <w:t>Name</w:t>
            </w:r>
          </w:p>
        </w:tc>
        <w:tc>
          <w:tcPr>
            <w:tcW w:w="1460" w:type="dxa"/>
            <w:vAlign w:val="bottom"/>
            <w:gridSpan w:val="2"/>
          </w:tcPr>
          <w:p>
            <w:pPr>
              <w:ind w:left="36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in Last FY(1)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453"/>
              </w:rPr>
              <w:t>​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453"/>
              </w:rPr>
              <w:t>in Last FY</w:t>
            </w:r>
          </w:p>
        </w:tc>
        <w:tc>
          <w:tcPr>
            <w:tcW w:w="2560" w:type="dxa"/>
            <w:vAlign w:val="bottom"/>
            <w:gridSpan w:val="3"/>
          </w:tcPr>
          <w:p>
            <w:pPr>
              <w:ind w:left="80"/>
              <w:spacing w:after="0" w:line="212" w:lineRule="exact"/>
              <w:rPr>
                <w:sz w:val="20"/>
                <w:szCs w:val="20"/>
                <w:color w:val="auto"/>
              </w:rPr>
            </w:pP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Last FY(2)  </w:t>
            </w: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Distributions </w:t>
            </w:r>
            <w:r>
              <w:rPr>
                <w:rFonts w:ascii="Arial" w:cs="Arial" w:eastAsia="Arial" w:hAnsi="Arial"/>
                <w:sz w:val="24"/>
                <w:szCs w:val="24"/>
                <w:b w:val="1"/>
                <w:bCs w:val="1"/>
                <w:color w:val="002453"/>
                <w:vertAlign w:val="subscript"/>
              </w:rPr>
              <w:t>​ ​</w:t>
            </w:r>
          </w:p>
        </w:tc>
        <w:tc>
          <w:tcPr>
            <w:tcW w:w="1020" w:type="dxa"/>
            <w:vAlign w:val="bottom"/>
            <w:gridSpan w:val="2"/>
          </w:tcPr>
          <w:p>
            <w:pPr>
              <w:ind w:left="60"/>
              <w:spacing w:after="0" w:line="212" w:lineRule="exact"/>
              <w:rPr>
                <w:sz w:val="20"/>
                <w:szCs w:val="20"/>
                <w:color w:val="auto"/>
              </w:rPr>
            </w:pPr>
            <w:r>
              <w:rPr>
                <w:rFonts w:ascii="Arial" w:cs="Arial" w:eastAsia="Arial" w:hAnsi="Arial"/>
                <w:sz w:val="13"/>
                <w:szCs w:val="13"/>
                <w:b w:val="1"/>
                <w:bCs w:val="1"/>
                <w:color w:val="002453"/>
              </w:rPr>
              <w:t xml:space="preserve">Last FYE(3)  </w:t>
            </w:r>
            <w:r>
              <w:rPr>
                <w:rFonts w:ascii="Arial" w:cs="Arial" w:eastAsia="Arial" w:hAnsi="Arial"/>
                <w:sz w:val="24"/>
                <w:szCs w:val="24"/>
                <w:b w:val="1"/>
                <w:bCs w:val="1"/>
                <w:color w:val="002453"/>
                <w:vertAlign w:val="subscript"/>
              </w:rPr>
              <w:t>​</w:t>
            </w:r>
          </w:p>
        </w:tc>
      </w:tr>
      <w:tr>
        <w:trPr>
          <w:trHeight w:val="263"/>
        </w:trPr>
        <w:tc>
          <w:tcPr>
            <w:tcW w:w="1720" w:type="dxa"/>
            <w:vAlign w:val="bottom"/>
            <w:tcBorders>
              <w:top w:val="single" w:sz="8" w:color="00C08A"/>
              <w:bottom w:val="single" w:sz="8" w:color="00C08A"/>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Douglas A. Cifu</w:t>
            </w:r>
          </w:p>
        </w:tc>
        <w:tc>
          <w:tcPr>
            <w:tcW w:w="500" w:type="dxa"/>
            <w:vAlign w:val="bottom"/>
            <w:tcBorders>
              <w:top w:val="single" w:sz="8" w:color="00C08A"/>
              <w:bottom w:val="single" w:sz="8" w:color="00C08A"/>
            </w:tcBorders>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$707,902</w:t>
            </w:r>
          </w:p>
        </w:tc>
        <w:tc>
          <w:tcPr>
            <w:tcW w:w="2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w w:val="99"/>
              </w:rPr>
              <w:t>​</w:t>
            </w:r>
            <w:r>
              <w:rPr>
                <w:rFonts w:ascii="Arial" w:cs="Arial" w:eastAsia="Arial" w:hAnsi="Arial"/>
                <w:sz w:val="30"/>
                <w:szCs w:val="30"/>
                <w:color w:val="auto"/>
                <w:w w:val="99"/>
                <w:vertAlign w:val="superscript"/>
              </w:rPr>
              <w:t>—</w:t>
            </w:r>
          </w:p>
        </w:tc>
        <w:tc>
          <w:tcPr>
            <w:tcW w:w="138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$7,417,386</w:t>
            </w:r>
            <w:r>
              <w:rPr>
                <w:rFonts w:ascii="Arial" w:cs="Arial" w:eastAsia="Arial" w:hAnsi="Arial"/>
                <w:sz w:val="30"/>
                <w:szCs w:val="30"/>
                <w:color w:val="auto"/>
                <w:vertAlign w:val="subscript"/>
              </w:rPr>
              <w:t>​​ ​</w:t>
            </w:r>
          </w:p>
        </w:tc>
        <w:tc>
          <w:tcPr>
            <w:tcW w:w="84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w w:val="89"/>
              </w:rPr>
              <w:t>​</w:t>
            </w:r>
            <w:r>
              <w:rPr>
                <w:rFonts w:ascii="Arial" w:cs="Arial" w:eastAsia="Arial" w:hAnsi="Arial"/>
                <w:sz w:val="30"/>
                <w:szCs w:val="30"/>
                <w:color w:val="auto"/>
                <w:w w:val="89"/>
                <w:vertAlign w:val="superscript"/>
              </w:rPr>
              <w:t>—</w:t>
            </w:r>
          </w:p>
        </w:tc>
        <w:tc>
          <w:tcPr>
            <w:tcW w:w="1320" w:type="dxa"/>
            <w:vAlign w:val="bottom"/>
            <w:tcBorders>
              <w:top w:val="single" w:sz="8" w:color="00C08A"/>
              <w:bottom w:val="single" w:sz="8" w:color="00C08A"/>
            </w:tcBorders>
            <w:gridSpan w:val="2"/>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$16,661,592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Joseph Molluso</w:t>
            </w:r>
          </w:p>
        </w:tc>
        <w:tc>
          <w:tcPr>
            <w:tcW w:w="500" w:type="dxa"/>
            <w:vAlign w:val="bottom"/>
          </w:tcPr>
          <w:p>
            <w:pPr>
              <w:ind w:left="360"/>
              <w:spacing w:after="0"/>
              <w:rPr>
                <w:sz w:val="20"/>
                <w:szCs w:val="20"/>
                <w:color w:val="auto"/>
              </w:rPr>
            </w:pPr>
            <w:r>
              <w:rPr>
                <w:rFonts w:ascii="Arial" w:cs="Arial" w:eastAsia="Arial" w:hAnsi="Arial"/>
                <w:sz w:val="18"/>
                <w:szCs w:val="18"/>
                <w:color w:val="auto"/>
              </w:rPr>
              <w:t>​ ​</w:t>
            </w:r>
          </w:p>
        </w:tc>
        <w:tc>
          <w:tcPr>
            <w:tcW w:w="96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$332,265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jc w:val="center"/>
              <w:spacing w:after="0" w:line="264" w:lineRule="exact"/>
              <w:rPr>
                <w:sz w:val="20"/>
                <w:szCs w:val="20"/>
                <w:color w:val="auto"/>
              </w:rPr>
            </w:pPr>
            <w:r>
              <w:rPr>
                <w:rFonts w:ascii="Arial" w:cs="Arial" w:eastAsia="Arial" w:hAnsi="Arial"/>
                <w:sz w:val="16"/>
                <w:szCs w:val="16"/>
                <w:color w:val="auto"/>
                <w:w w:val="99"/>
              </w:rPr>
              <w:t>​</w:t>
            </w:r>
            <w:r>
              <w:rPr>
                <w:rFonts w:ascii="Arial" w:cs="Arial" w:eastAsia="Arial" w:hAnsi="Arial"/>
                <w:sz w:val="30"/>
                <w:szCs w:val="30"/>
                <w:color w:val="auto"/>
                <w:w w:val="99"/>
                <w:vertAlign w:val="superscript"/>
              </w:rPr>
              <w:t>—</w:t>
            </w:r>
          </w:p>
        </w:tc>
        <w:tc>
          <w:tcPr>
            <w:tcW w:w="138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$1,173,769</w:t>
            </w:r>
            <w:r>
              <w:rPr>
                <w:rFonts w:ascii="Arial" w:cs="Arial" w:eastAsia="Arial" w:hAnsi="Arial"/>
                <w:sz w:val="30"/>
                <w:szCs w:val="30"/>
                <w:color w:val="auto"/>
                <w:vertAlign w:val="subscript"/>
              </w:rPr>
              <w:t>​​ ​</w:t>
            </w:r>
          </w:p>
        </w:tc>
        <w:tc>
          <w:tcPr>
            <w:tcW w:w="840" w:type="dxa"/>
            <w:vAlign w:val="bottom"/>
          </w:tcPr>
          <w:p>
            <w:pPr>
              <w:jc w:val="center"/>
              <w:spacing w:after="0" w:line="264" w:lineRule="exact"/>
              <w:rPr>
                <w:sz w:val="20"/>
                <w:szCs w:val="20"/>
                <w:color w:val="auto"/>
              </w:rPr>
            </w:pPr>
            <w:r>
              <w:rPr>
                <w:rFonts w:ascii="Arial" w:cs="Arial" w:eastAsia="Arial" w:hAnsi="Arial"/>
                <w:sz w:val="16"/>
                <w:szCs w:val="16"/>
                <w:color w:val="auto"/>
                <w:w w:val="89"/>
              </w:rPr>
              <w:t>​</w:t>
            </w:r>
            <w:r>
              <w:rPr>
                <w:rFonts w:ascii="Arial" w:cs="Arial" w:eastAsia="Arial" w:hAnsi="Arial"/>
                <w:sz w:val="30"/>
                <w:szCs w:val="30"/>
                <w:color w:val="auto"/>
                <w:w w:val="89"/>
                <w:vertAlign w:val="superscript"/>
              </w:rPr>
              <w:t>—</w:t>
            </w:r>
          </w:p>
        </w:tc>
        <w:tc>
          <w:tcPr>
            <w:tcW w:w="136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$ 2,532,964</w:t>
            </w:r>
            <w:r>
              <w:rPr>
                <w:rFonts w:ascii="Arial" w:cs="Arial" w:eastAsia="Arial" w:hAnsi="Arial"/>
                <w:sz w:val="30"/>
                <w:szCs w:val="30"/>
                <w:color w:val="auto"/>
                <w:vertAlign w:val="subscript"/>
              </w:rPr>
              <w:t>​</w:t>
            </w:r>
          </w:p>
        </w:tc>
      </w:tr>
      <w:tr>
        <w:trPr>
          <w:trHeight w:val="20"/>
        </w:trPr>
        <w:tc>
          <w:tcPr>
            <w:tcW w:w="1720" w:type="dxa"/>
            <w:vAlign w:val="bottom"/>
            <w:shd w:val="clear" w:color="auto" w:fill="00C08A"/>
          </w:tcPr>
          <w:p>
            <w:pPr>
              <w:spacing w:after="0" w:line="20" w:lineRule="exact"/>
              <w:rPr>
                <w:sz w:val="1"/>
                <w:szCs w:val="1"/>
                <w:color w:val="auto"/>
              </w:rPr>
            </w:pPr>
          </w:p>
        </w:tc>
        <w:tc>
          <w:tcPr>
            <w:tcW w:w="50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960" w:type="dxa"/>
            <w:vAlign w:val="bottom"/>
            <w:shd w:val="clear" w:color="auto" w:fill="00C08A"/>
          </w:tcPr>
          <w:p>
            <w:pPr>
              <w:spacing w:after="0" w:line="20" w:lineRule="exact"/>
              <w:rPr>
                <w:sz w:val="1"/>
                <w:szCs w:val="1"/>
                <w:color w:val="auto"/>
              </w:rPr>
            </w:pPr>
          </w:p>
        </w:tc>
        <w:tc>
          <w:tcPr>
            <w:tcW w:w="1380" w:type="dxa"/>
            <w:vAlign w:val="bottom"/>
            <w:shd w:val="clear" w:color="auto" w:fill="00C08A"/>
          </w:tcPr>
          <w:p>
            <w:pPr>
              <w:spacing w:after="0" w:line="20" w:lineRule="exact"/>
              <w:rPr>
                <w:sz w:val="1"/>
                <w:szCs w:val="1"/>
                <w:color w:val="auto"/>
              </w:rPr>
            </w:pPr>
          </w:p>
        </w:tc>
        <w:tc>
          <w:tcPr>
            <w:tcW w:w="840" w:type="dxa"/>
            <w:vAlign w:val="bottom"/>
            <w:shd w:val="clear" w:color="auto" w:fill="00C08A"/>
          </w:tcPr>
          <w:p>
            <w:pPr>
              <w:spacing w:after="0" w:line="20" w:lineRule="exact"/>
              <w:rPr>
                <w:sz w:val="1"/>
                <w:szCs w:val="1"/>
                <w:color w:val="auto"/>
              </w:rPr>
            </w:pPr>
          </w:p>
        </w:tc>
        <w:tc>
          <w:tcPr>
            <w:tcW w:w="340" w:type="dxa"/>
            <w:vAlign w:val="bottom"/>
            <w:shd w:val="clear" w:color="auto" w:fill="00C08A"/>
          </w:tcPr>
          <w:p>
            <w:pPr>
              <w:spacing w:after="0" w:line="20" w:lineRule="exact"/>
              <w:rPr>
                <w:sz w:val="1"/>
                <w:szCs w:val="1"/>
                <w:color w:val="auto"/>
              </w:rPr>
            </w:pPr>
          </w:p>
        </w:tc>
        <w:tc>
          <w:tcPr>
            <w:tcW w:w="980" w:type="dxa"/>
            <w:vAlign w:val="bottom"/>
            <w:shd w:val="clear" w:color="auto" w:fill="00C08A"/>
          </w:tcPr>
          <w:p>
            <w:pPr>
              <w:spacing w:after="0" w:line="20" w:lineRule="exact"/>
              <w:rPr>
                <w:sz w:val="1"/>
                <w:szCs w:val="1"/>
                <w:color w:val="auto"/>
              </w:rPr>
            </w:pPr>
          </w:p>
        </w:tc>
        <w:tc>
          <w:tcPr>
            <w:tcW w:w="40" w:type="dxa"/>
            <w:vAlign w:val="bottom"/>
            <w:tcBorders>
              <w:left w:val="single" w:sz="8" w:color="00C08A"/>
            </w:tcBorders>
          </w:tcPr>
          <w:p>
            <w:pPr>
              <w:spacing w:after="0" w:line="20" w:lineRule="exact"/>
              <w:rPr>
                <w:sz w:val="1"/>
                <w:szCs w:val="1"/>
                <w:color w:val="auto"/>
              </w:rPr>
            </w:pPr>
          </w:p>
        </w:tc>
      </w:tr>
    </w:tbl>
    <w:p>
      <w:pPr>
        <w:spacing w:after="0" w:line="45" w:lineRule="exact"/>
        <w:rPr>
          <w:sz w:val="20"/>
          <w:szCs w:val="20"/>
          <w:color w:val="auto"/>
        </w:rPr>
      </w:pPr>
    </w:p>
    <w:p>
      <w:pPr>
        <w:ind w:left="980" w:right="400" w:hanging="218"/>
        <w:spacing w:after="0" w:line="325"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vest date fair value of equity awards which vested during the fiscal year and were subject to a qualifying deferral under the DCP and were issued in the form of DSUs.</w:t>
      </w:r>
    </w:p>
    <w:p>
      <w:pPr>
        <w:spacing w:after="0" w:line="36" w:lineRule="exact"/>
        <w:rPr>
          <w:rFonts w:ascii="Arial" w:cs="Arial" w:eastAsia="Arial" w:hAnsi="Arial"/>
          <w:sz w:val="14"/>
          <w:szCs w:val="14"/>
          <w:color w:val="auto"/>
        </w:rPr>
      </w:pPr>
    </w:p>
    <w:p>
      <w:pPr>
        <w:ind w:left="980" w:right="380" w:hanging="218"/>
        <w:spacing w:after="0" w:line="305"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change in value of DSUs disclosed under “Executive Contributions in Last FY” column from vest date to year end, plus the value of dividend equivalents issued in respect of such DSUs.</w:t>
      </w:r>
    </w:p>
    <w:p>
      <w:pPr>
        <w:spacing w:after="0" w:line="49" w:lineRule="exact"/>
        <w:rPr>
          <w:rFonts w:ascii="Arial" w:cs="Arial" w:eastAsia="Arial" w:hAnsi="Arial"/>
          <w:sz w:val="14"/>
          <w:szCs w:val="14"/>
          <w:color w:val="auto"/>
        </w:rPr>
      </w:pPr>
    </w:p>
    <w:p>
      <w:pPr>
        <w:ind w:left="980" w:hanging="218"/>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aggregate value of all deferred amounts by each participant as of last fiscal year end.</w:t>
      </w:r>
    </w:p>
    <w:p>
      <w:pPr>
        <w:spacing w:after="0" w:line="208" w:lineRule="exact"/>
        <w:rPr>
          <w:sz w:val="20"/>
          <w:szCs w:val="20"/>
          <w:color w:val="auto"/>
        </w:rPr>
      </w:pPr>
    </w:p>
    <w:p>
      <w:pPr>
        <w:jc w:val="center"/>
        <w:ind w:left="1280" w:right="80"/>
        <w:spacing w:after="0" w:line="257" w:lineRule="auto"/>
        <w:rPr>
          <w:sz w:val="20"/>
          <w:szCs w:val="20"/>
          <w:color w:val="auto"/>
        </w:rPr>
      </w:pPr>
      <w:r>
        <w:rPr>
          <w:rFonts w:ascii="Arial" w:cs="Arial" w:eastAsia="Arial" w:hAnsi="Arial"/>
          <w:sz w:val="29"/>
          <w:szCs w:val="29"/>
          <w:color w:val="00C08A"/>
        </w:rPr>
        <w:t>POTENTIAL PAYMENTS UPON TERMINATION OF EMPLOYMENT OR CHANGE IN CONTROL</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w:t>
      </w:r>
    </w:p>
    <w:p>
      <w:pPr>
        <w:spacing w:after="0" w:line="115" w:lineRule="exact"/>
        <w:rPr>
          <w:sz w:val="20"/>
          <w:szCs w:val="20"/>
          <w:color w:val="auto"/>
        </w:rPr>
      </w:pPr>
    </w:p>
    <w:p>
      <w:pPr>
        <w:ind w:left="760" w:right="220"/>
        <w:spacing w:after="0" w:line="257" w:lineRule="auto"/>
        <w:rPr>
          <w:sz w:val="20"/>
          <w:szCs w:val="20"/>
          <w:color w:val="auto"/>
        </w:rPr>
      </w:pPr>
      <w:r>
        <w:rPr>
          <w:rFonts w:ascii="Arial" w:cs="Arial" w:eastAsia="Arial" w:hAnsi="Arial"/>
          <w:sz w:val="17"/>
          <w:szCs w:val="17"/>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Cifu 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(B) continued health, dental, vision and life insurance benefits under the terms of our benefit plans for</w:t>
      </w:r>
    </w:p>
    <w:p>
      <w:pPr>
        <w:spacing w:after="0" w:line="4" w:lineRule="exact"/>
        <w:rPr>
          <w:sz w:val="20"/>
          <w:szCs w:val="20"/>
          <w:color w:val="auto"/>
        </w:rPr>
      </w:pPr>
    </w:p>
    <w:p>
      <w:pPr>
        <w:ind w:left="760" w:right="120" w:firstLine="2"/>
        <w:spacing w:after="0" w:line="255" w:lineRule="auto"/>
        <w:tabs>
          <w:tab w:leader="none" w:pos="10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twelve months or (y) the period from termination of employment through the remainder of the term, whichever is longer (the “</w:t>
      </w:r>
      <w:r>
        <w:rPr>
          <w:rFonts w:ascii="Arial" w:cs="Arial" w:eastAsia="Arial" w:hAnsi="Arial"/>
          <w:sz w:val="17"/>
          <w:szCs w:val="17"/>
          <w:b w:val="1"/>
          <w:bCs w:val="1"/>
          <w:color w:val="auto"/>
        </w:rPr>
        <w:t>Benefits Continuation Period</w:t>
      </w:r>
      <w:r>
        <w:rPr>
          <w:rFonts w:ascii="Arial" w:cs="Arial" w:eastAsia="Arial" w:hAnsi="Arial"/>
          <w:sz w:val="17"/>
          <w:szCs w:val="17"/>
          <w:color w:val="auto"/>
        </w:rPr>
        <w:t>”); and following the Benefits Continuation Period, continued participation in the Company’s health, dental, vision and life insurance until the earlier of (i) Mr. Cifu’s independents reaching the age of 26, (ii) Mr. Cifu or his spouse becoming eligible for Medicare, or (iii) Mr. Cifu becoming eligible for comparable coverage under another employer’s benefit plans, subject to Mr. Cifu’s payment of the full cost of such benefits;</w:t>
      </w:r>
    </w:p>
    <w:p>
      <w:pPr>
        <w:spacing w:after="0" w:line="1" w:lineRule="exact"/>
        <w:rPr>
          <w:rFonts w:ascii="Arial" w:cs="Arial" w:eastAsia="Arial" w:hAnsi="Arial"/>
          <w:sz w:val="17"/>
          <w:szCs w:val="17"/>
          <w:color w:val="auto"/>
        </w:rPr>
      </w:pPr>
    </w:p>
    <w:p>
      <w:pPr>
        <w:ind w:left="760" w:right="280"/>
        <w:spacing w:after="0" w:line="242" w:lineRule="auto"/>
        <w:rPr>
          <w:rFonts w:ascii="Arial" w:cs="Arial" w:eastAsia="Arial" w:hAnsi="Arial"/>
          <w:sz w:val="17"/>
          <w:szCs w:val="17"/>
          <w:color w:val="auto"/>
        </w:rPr>
      </w:pPr>
      <w:r>
        <w:rPr>
          <w:rFonts w:ascii="Arial" w:cs="Arial" w:eastAsia="Arial" w:hAnsi="Arial"/>
          <w:sz w:val="18"/>
          <w:szCs w:val="18"/>
          <w:color w:val="auto"/>
        </w:rPr>
        <w:t>(C)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Cifu Equity Acceleration</w:t>
      </w:r>
      <w:r>
        <w:rPr>
          <w:rFonts w:ascii="Arial" w:cs="Arial" w:eastAsia="Arial" w:hAnsi="Arial"/>
          <w:sz w:val="18"/>
          <w:szCs w:val="18"/>
          <w:color w:val="auto"/>
        </w:rPr>
        <w:t>”); (D) accelerated vesting of any earned but unvested shares of Class A common stock under the annual equity grant granted in the year prior to the year of termination; and (E) 150,000 shares of fully vested Class A common stock or DSUs, if elected.</w:t>
      </w:r>
    </w:p>
    <w:p>
      <w:pPr>
        <w:spacing w:after="0" w:line="72" w:lineRule="exact"/>
        <w:rPr>
          <w:sz w:val="20"/>
          <w:szCs w:val="20"/>
          <w:color w:val="auto"/>
        </w:rPr>
      </w:pPr>
    </w:p>
    <w:p>
      <w:pPr>
        <w:ind w:left="760" w:right="100"/>
        <w:spacing w:after="0" w:line="262" w:lineRule="auto"/>
        <w:rPr>
          <w:sz w:val="20"/>
          <w:szCs w:val="20"/>
          <w:color w:val="auto"/>
        </w:rPr>
      </w:pPr>
      <w:r>
        <w:rPr>
          <w:rFonts w:ascii="Arial" w:cs="Arial" w:eastAsia="Arial" w:hAnsi="Arial"/>
          <w:sz w:val="17"/>
          <w:szCs w:val="17"/>
          <w:color w:val="auto"/>
        </w:rPr>
        <w:t>Under the New Molluso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Molluso</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Molluso will receive any bonus that the Company has definitively</w:t>
      </w:r>
    </w:p>
    <w:p>
      <w:pPr>
        <w:spacing w:after="0" w:line="26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70" w:lineRule="auto"/>
        <w:rPr>
          <w:sz w:val="20"/>
          <w:szCs w:val="20"/>
          <w:color w:val="auto"/>
        </w:rPr>
      </w:pPr>
      <w:r>
        <w:rPr>
          <w:rFonts w:ascii="Arial" w:cs="Arial" w:eastAsia="Arial" w:hAnsi="Arial"/>
          <w:sz w:val="17"/>
          <w:szCs w:val="17"/>
          <w:color w:val="auto"/>
        </w:rPr>
        <w:t>determined to pay Mr. Molluso and which was authorized and approved, but had not yet been paid as of the date of termination; (C) Mr. Molluso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Molluso’s independents reaching the age of 26, (ii) Mr. Molluso or his spouse becoming eligible for Medicare, or (iii) Mr. Molluso becoming eligible for comparable coverage under another employer’s benefit plans, subject to Mr. Molluso’s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7"/>
          <w:szCs w:val="17"/>
          <w:b w:val="1"/>
          <w:bCs w:val="1"/>
          <w:color w:val="auto"/>
        </w:rPr>
        <w:t>Molluso Equity Acceleration</w:t>
      </w:r>
      <w:r>
        <w:rPr>
          <w:rFonts w:ascii="Arial" w:cs="Arial" w:eastAsia="Arial" w:hAnsi="Arial"/>
          <w:sz w:val="17"/>
          <w:szCs w:val="17"/>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65" w:lineRule="exact"/>
        <w:rPr>
          <w:sz w:val="20"/>
          <w:szCs w:val="20"/>
          <w:color w:val="auto"/>
        </w:rPr>
      </w:pPr>
    </w:p>
    <w:p>
      <w:pPr>
        <w:ind w:left="760" w:right="80"/>
        <w:spacing w:after="0" w:line="267" w:lineRule="auto"/>
        <w:rPr>
          <w:sz w:val="20"/>
          <w:szCs w:val="20"/>
          <w:color w:val="auto"/>
        </w:rPr>
      </w:pPr>
      <w:r>
        <w:rPr>
          <w:rFonts w:ascii="Arial" w:cs="Arial" w:eastAsia="Arial" w:hAnsi="Arial"/>
          <w:sz w:val="17"/>
          <w:szCs w:val="17"/>
          <w:color w:val="auto"/>
        </w:rPr>
        <w:t>Under the New Fairclough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Fairclough Severance Amount</w:t>
      </w:r>
      <w:r>
        <w:rPr>
          <w:rFonts w:ascii="Arial" w:cs="Arial" w:eastAsia="Arial" w:hAnsi="Arial"/>
          <w:sz w:val="17"/>
          <w:szCs w:val="17"/>
          <w:color w:val="auto"/>
        </w:rPr>
        <w:t>”); (B) Mr. Fairclough will receive any bonus that the Company has definitively determined to pay Mr. Fairclough and which was authorized and approved, but had not yet been paid as of the date of termination; (C) Mr. Fairclough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w:t>
      </w:r>
    </w:p>
    <w:p>
      <w:pPr>
        <w:ind w:left="760" w:right="120" w:firstLine="2"/>
        <w:spacing w:after="0" w:line="252" w:lineRule="auto"/>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Fairclough’s independents reaching the age of 26, (ii) Mr. Fairclough or his spouse becoming eligible for Medicare, or (iii) Mr. Fairclough becoming eligible for comparable coverage under another employer’s benefit plans, subject to Mr. Fairclough’s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Fairclough Equity</w:t>
      </w:r>
      <w:r>
        <w:rPr>
          <w:rFonts w:ascii="Arial" w:cs="Arial" w:eastAsia="Arial" w:hAnsi="Arial"/>
          <w:sz w:val="18"/>
          <w:szCs w:val="18"/>
          <w:color w:val="auto"/>
        </w:rPr>
        <w:t xml:space="preserve"> </w:t>
      </w:r>
      <w:r>
        <w:rPr>
          <w:rFonts w:ascii="Arial" w:cs="Arial" w:eastAsia="Arial" w:hAnsi="Arial"/>
          <w:sz w:val="18"/>
          <w:szCs w:val="18"/>
          <w:b w:val="1"/>
          <w:bCs w:val="1"/>
          <w:color w:val="auto"/>
        </w:rPr>
        <w:t>Acceleration</w:t>
      </w:r>
      <w:r>
        <w:rPr>
          <w:rFonts w:ascii="Arial" w:cs="Arial" w:eastAsia="Arial" w:hAnsi="Arial"/>
          <w:sz w:val="18"/>
          <w:szCs w:val="18"/>
          <w:color w:val="auto"/>
        </w:rPr>
        <w:t>”); (E) accelerated vesting of any earned but unvested shares of Class A common stock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equity grant granted in the year prior to the year of termination; and (F) 75,000 shares of fully vested Class A common stock or DSUs, if elected.</w:t>
      </w:r>
    </w:p>
    <w:p>
      <w:pPr>
        <w:spacing w:after="0" w:line="79" w:lineRule="exact"/>
        <w:rPr>
          <w:sz w:val="20"/>
          <w:szCs w:val="20"/>
          <w:color w:val="auto"/>
        </w:rPr>
      </w:pPr>
    </w:p>
    <w:p>
      <w:pPr>
        <w:ind w:left="760" w:right="120"/>
        <w:spacing w:after="0" w:line="267" w:lineRule="auto"/>
        <w:rPr>
          <w:sz w:val="20"/>
          <w:szCs w:val="20"/>
          <w:color w:val="auto"/>
        </w:rPr>
      </w:pPr>
      <w:r>
        <w:rPr>
          <w:rFonts w:ascii="Arial" w:cs="Arial" w:eastAsia="Arial" w:hAnsi="Arial"/>
          <w:sz w:val="17"/>
          <w:szCs w:val="17"/>
          <w:color w:val="auto"/>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Cavoli</w:t>
      </w:r>
      <w:r>
        <w:rPr>
          <w:rFonts w:ascii="Arial" w:cs="Arial" w:eastAsia="Arial" w:hAnsi="Arial"/>
          <w:sz w:val="17"/>
          <w:szCs w:val="17"/>
          <w:color w:val="auto"/>
        </w:rPr>
        <w:t xml:space="preserve"> </w:t>
      </w:r>
      <w:r>
        <w:rPr>
          <w:rFonts w:ascii="Arial" w:cs="Arial" w:eastAsia="Arial" w:hAnsi="Arial"/>
          <w:sz w:val="17"/>
          <w:szCs w:val="17"/>
          <w:b w:val="1"/>
          <w:bCs w:val="1"/>
          <w:color w:val="auto"/>
        </w:rPr>
        <w:t>Severance Amount</w:t>
      </w:r>
      <w:r>
        <w:rPr>
          <w:rFonts w:ascii="Arial" w:cs="Arial" w:eastAsia="Arial" w:hAnsi="Arial"/>
          <w:sz w:val="17"/>
          <w:szCs w:val="17"/>
          <w:color w:val="auto"/>
        </w:rPr>
        <w:t>”); (B) Mr. Cavoli will receive any bonus that the Company has definitively determined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Mr. Cavoli and which was authorized and approved, but had not yet been paid as of the date of termination;</w:t>
      </w:r>
    </w:p>
    <w:p>
      <w:pPr>
        <w:spacing w:after="0" w:line="5" w:lineRule="exact"/>
        <w:rPr>
          <w:sz w:val="20"/>
          <w:szCs w:val="20"/>
          <w:color w:val="auto"/>
        </w:rPr>
      </w:pPr>
    </w:p>
    <w:p>
      <w:pPr>
        <w:ind w:left="760" w:right="120" w:firstLine="2"/>
        <w:spacing w:after="0" w:line="252" w:lineRule="auto"/>
        <w:tabs>
          <w:tab w:leader="none" w:pos="10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Cavoli will receive continued health, dental, vision and life insurance benefits under the terms of our benefit plans for the Benefits Continuation Period; and following the Benefits Continuation Period, continued participation in the Company’s health, dental, vision and life insurance until the earlier of (i) Mr. Cavoli’s independents reaching the age of 26, (ii) Mr. Cavoli or his spouse becoming eligible for Medicare, or (iii) Mr. Cavoli becoming eligible for comparable coverage under another employer’s benefit plans, subject to Mr. Cavoli’s payment of the full cost of such benefits; (D)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Cavoli Equity Acceleration</w:t>
      </w:r>
      <w:r>
        <w:rPr>
          <w:rFonts w:ascii="Arial" w:cs="Arial" w:eastAsia="Arial" w:hAnsi="Arial"/>
          <w:sz w:val="18"/>
          <w:szCs w:val="18"/>
          <w:color w:val="auto"/>
        </w:rPr>
        <w:t>”); (E) accelerated vesting of any earned but unvested shares of Class A common stock under the annual equity grant granted in the year prior to the year of termination; and (F) 75,000 shares of fully vested Class A common stock or DSUs, if elected.</w:t>
      </w:r>
    </w:p>
    <w:p>
      <w:pPr>
        <w:spacing w:after="0" w:line="77"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Ms. Lee and Mr. Galvin are not entitled to any payments or benefits in connection with the termination of each of their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 Upon a Change in Control Termination</w:t>
      </w:r>
    </w:p>
    <w:p>
      <w:pPr>
        <w:spacing w:after="0" w:line="115" w:lineRule="exact"/>
        <w:rPr>
          <w:sz w:val="20"/>
          <w:szCs w:val="20"/>
          <w:color w:val="auto"/>
        </w:rPr>
      </w:pPr>
    </w:p>
    <w:p>
      <w:pPr>
        <w:ind w:left="760" w:right="60"/>
        <w:spacing w:after="0" w:line="272" w:lineRule="auto"/>
        <w:rPr>
          <w:sz w:val="20"/>
          <w:szCs w:val="20"/>
          <w:color w:val="auto"/>
        </w:rPr>
      </w:pPr>
      <w:r>
        <w:rPr>
          <w:rFonts w:ascii="Arial" w:cs="Arial" w:eastAsia="Arial" w:hAnsi="Arial"/>
          <w:sz w:val="17"/>
          <w:szCs w:val="17"/>
          <w:color w:val="auto"/>
        </w:rPr>
        <w:t>If Mr. Cifu is terminated at any time within sixty days before, or 24 months following, a change in control, then Mr. Cifu is entitled to the payments and benefits described above, however (1) in lieu of the Cifu Severance Amount, 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 lieu of the Cifu Equity Acceleration, Mr. Cifu will be entitled to a pro rata portion of all of the shares underlying his then current annual equity grant, which shall be deemed vested on the last day of the calendar year to which such award relates.</w:t>
      </w:r>
    </w:p>
    <w:p>
      <w:pPr>
        <w:spacing w:after="0" w:line="64" w:lineRule="exact"/>
        <w:rPr>
          <w:sz w:val="20"/>
          <w:szCs w:val="20"/>
          <w:color w:val="auto"/>
        </w:rPr>
      </w:pPr>
    </w:p>
    <w:p>
      <w:pPr>
        <w:ind w:left="760" w:right="200"/>
        <w:spacing w:after="0" w:line="269" w:lineRule="auto"/>
        <w:rPr>
          <w:sz w:val="20"/>
          <w:szCs w:val="20"/>
          <w:color w:val="auto"/>
        </w:rPr>
      </w:pPr>
      <w:r>
        <w:rPr>
          <w:rFonts w:ascii="Arial" w:cs="Arial" w:eastAsia="Arial" w:hAnsi="Arial"/>
          <w:sz w:val="17"/>
          <w:szCs w:val="17"/>
          <w:color w:val="auto"/>
        </w:rPr>
        <w:t>If Mr. Molluso is terminated at any time in anticipation of, or within 12 months following, a change in control, then Mr. Molluso is entitled to the payments and benefits described above, however (1) in lieu of the Molluso Severance Amount, Mr. Molluso will be entitled to receive two and a half times the sum of (x) his base salary and (y) the annual bonus (including any amounts deferred or satisfied through the grant of equity awards) most recently awarded to Mr. Molluso for a completed fiscal year of the Company; (2) the Benefits Continuation Period will be extended to</w:t>
      </w:r>
    </w:p>
    <w:p>
      <w:pPr>
        <w:spacing w:after="0" w:line="3" w:lineRule="exact"/>
        <w:rPr>
          <w:sz w:val="20"/>
          <w:szCs w:val="20"/>
          <w:color w:val="auto"/>
        </w:rPr>
      </w:pPr>
    </w:p>
    <w:p>
      <w:pPr>
        <w:ind w:left="760" w:right="140" w:firstLine="2"/>
        <w:spacing w:after="0" w:line="255" w:lineRule="auto"/>
        <w:tabs>
          <w:tab w:leader="none" w:pos="10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Molluso Equity Acceleration, Mr. Molluso will be entitled to a pro rata portion of all of the shares underlying his then current annual equity grant, which shall be deemed vested on the last day of the calendar year to which such award relates.</w:t>
      </w:r>
    </w:p>
    <w:p>
      <w:pPr>
        <w:spacing w:after="0" w:line="74" w:lineRule="exact"/>
        <w:rPr>
          <w:sz w:val="20"/>
          <w:szCs w:val="20"/>
          <w:color w:val="auto"/>
        </w:rPr>
      </w:pPr>
    </w:p>
    <w:p>
      <w:pPr>
        <w:ind w:left="760" w:right="220"/>
        <w:spacing w:after="0" w:line="272" w:lineRule="auto"/>
        <w:rPr>
          <w:sz w:val="20"/>
          <w:szCs w:val="20"/>
          <w:color w:val="auto"/>
        </w:rPr>
      </w:pPr>
      <w:r>
        <w:rPr>
          <w:rFonts w:ascii="Arial" w:cs="Arial" w:eastAsia="Arial" w:hAnsi="Arial"/>
          <w:sz w:val="17"/>
          <w:szCs w:val="17"/>
          <w:color w:val="auto"/>
        </w:rPr>
        <w:t>If Mr. Fairclough is terminated at any time in anticipation of, or within 12 months following, a change in control, then Mr. Fairclough is entitled to the payments and benefits described above, however (1) in lieu of the Fairclough Severance Amount, Mr. Fairclough will be entitled to receive two and a half times the sum of (x) his base salary and</w:t>
      </w:r>
    </w:p>
    <w:p>
      <w:pPr>
        <w:spacing w:after="0" w:line="1" w:lineRule="exact"/>
        <w:rPr>
          <w:sz w:val="20"/>
          <w:szCs w:val="20"/>
          <w:color w:val="auto"/>
        </w:rPr>
      </w:pPr>
    </w:p>
    <w:p>
      <w:pPr>
        <w:ind w:left="760" w:right="180" w:firstLine="2"/>
        <w:spacing w:after="0" w:line="253" w:lineRule="auto"/>
        <w:tabs>
          <w:tab w:leader="none" w:pos="10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bonus (including any amounts deferred or satisfied through the grant of equity awards) most recently awarded to Mr. Fairclough for a completed fiscal year of the Company; (2) the Benefits Continuation Period will be extended to (x) 24 months or (y) the period from termination of employment through the remainder of the term, whichever is longer; and (3) in lieu of the Fairclough Equity Acceleration, Mr. Fairclough will be entitled to a pro rata portion of all of the shares underlying his then current annual equity grant, which shall be deemed vested on the last day of the calendar year to which such award relates.</w:t>
      </w:r>
    </w:p>
    <w:p>
      <w:pPr>
        <w:spacing w:after="0" w:line="77" w:lineRule="exact"/>
        <w:rPr>
          <w:sz w:val="20"/>
          <w:szCs w:val="20"/>
          <w:color w:val="auto"/>
        </w:rPr>
      </w:pPr>
    </w:p>
    <w:p>
      <w:pPr>
        <w:ind w:left="760" w:right="320"/>
        <w:spacing w:after="0" w:line="269" w:lineRule="auto"/>
        <w:rPr>
          <w:sz w:val="20"/>
          <w:szCs w:val="20"/>
          <w:color w:val="auto"/>
        </w:rPr>
      </w:pPr>
      <w:r>
        <w:rPr>
          <w:rFonts w:ascii="Arial" w:cs="Arial" w:eastAsia="Arial" w:hAnsi="Arial"/>
          <w:sz w:val="17"/>
          <w:szCs w:val="17"/>
          <w:color w:val="auto"/>
        </w:rPr>
        <w:t>If Mr. Cavoli is terminated at any time in anticipation of, or within 12 months following, a change in control, then Mr. Cavoli is entitled to the payments and benefits described above, however (1) in lieu of the Cavoli Severance Amount, Mr. Cavoli will be entitled to receive two and a half times the sum of (x) his base salary and (y) the annual bonus (including any amounts deferred or satisfied through the grant of equity awards) most recently awarded to Mr. Cavoli for a completed fiscal year of the Company; (2) the Benefits Continuation Period will be extended to</w:t>
      </w:r>
    </w:p>
    <w:p>
      <w:pPr>
        <w:spacing w:after="0" w:line="3" w:lineRule="exact"/>
        <w:rPr>
          <w:sz w:val="20"/>
          <w:szCs w:val="20"/>
          <w:color w:val="auto"/>
        </w:rPr>
      </w:pPr>
    </w:p>
    <w:p>
      <w:pPr>
        <w:ind w:left="760" w:right="140" w:firstLine="2"/>
        <w:spacing w:after="0" w:line="255" w:lineRule="auto"/>
        <w:tabs>
          <w:tab w:leader="none" w:pos="10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 months or (y) the period from termination of employment through the remainder of the term, whichever is longer; and (3) in lieu of the Cavoli Equity Acceleration, Mr. Cavoli will be entitled to a pro rata portion of all of the shares underlying his then current annual equity grant, which shall be deemed vested on the last day of the calendar year to which such award relates.</w:t>
      </w:r>
    </w:p>
    <w:p>
      <w:pPr>
        <w:spacing w:after="0" w:line="74" w:lineRule="exact"/>
        <w:rPr>
          <w:sz w:val="20"/>
          <w:szCs w:val="20"/>
          <w:color w:val="auto"/>
        </w:rPr>
      </w:pPr>
    </w:p>
    <w:p>
      <w:pPr>
        <w:ind w:left="760" w:right="720"/>
        <w:spacing w:after="0" w:line="287" w:lineRule="auto"/>
        <w:rPr>
          <w:sz w:val="20"/>
          <w:szCs w:val="20"/>
          <w:color w:val="auto"/>
        </w:rPr>
      </w:pPr>
      <w:r>
        <w:rPr>
          <w:rFonts w:ascii="Arial" w:cs="Arial" w:eastAsia="Arial" w:hAnsi="Arial"/>
          <w:sz w:val="18"/>
          <w:szCs w:val="18"/>
          <w:color w:val="auto"/>
        </w:rPr>
        <w:t>Ms. Lee and Mr. Galvin are not entitled to any payments or benefits in connection with the termination of their employment in anticipation of, or within 12 months following, a change in control.</w:t>
      </w:r>
    </w:p>
    <w:p>
      <w:pPr>
        <w:spacing w:after="0" w:line="4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For purposes of the employment agreements with Messrs. Cifu, Molluso,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 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28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94" w:lineRule="auto"/>
        <w:rPr>
          <w:sz w:val="20"/>
          <w:szCs w:val="20"/>
          <w:color w:val="auto"/>
        </w:rPr>
      </w:pPr>
      <w:r>
        <w:rPr>
          <w:rFonts w:ascii="Arial" w:cs="Arial" w:eastAsia="Arial" w:hAnsi="Arial"/>
          <w:sz w:val="17"/>
          <w:szCs w:val="17"/>
          <w:color w:val="auto"/>
        </w:rPr>
        <w:t>If any payments to Messrs. Cifu, Molluso, Fairclough, Cavoli, and Galvin and Ms. Lee are determined to be so called “golden parachute” payments subject to the excise tax under Section 4999 of the Code, then such payments will be reduced to the extent such reduction would result in the executive retaining a greater net after tax amount than he would have retained had he received the full amount of the payments and paid the applicable excise tax.</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Estimated Payments Upon Termination of Employment or Change in Control</w:t>
      </w:r>
    </w:p>
    <w:p>
      <w:pPr>
        <w:spacing w:after="0" w:line="117" w:lineRule="exact"/>
        <w:rPr>
          <w:sz w:val="20"/>
          <w:szCs w:val="20"/>
          <w:color w:val="auto"/>
        </w:rPr>
      </w:pPr>
    </w:p>
    <w:p>
      <w:pPr>
        <w:ind w:left="760" w:right="60"/>
        <w:spacing w:after="0" w:line="276" w:lineRule="auto"/>
        <w:rPr>
          <w:sz w:val="20"/>
          <w:szCs w:val="20"/>
          <w:color w:val="auto"/>
        </w:rPr>
      </w:pPr>
      <w:r>
        <w:rPr>
          <w:rFonts w:ascii="Arial" w:cs="Arial" w:eastAsia="Arial" w:hAnsi="Arial"/>
          <w:sz w:val="18"/>
          <w:szCs w:val="18"/>
          <w:color w:val="auto"/>
        </w:rPr>
        <w:t>Assuming each named executive officer’s termination of employment occurred on December 31, 2024, or a change in control occurred on December 31, 2024, the dollar value of the payments and other benefits to be provided to each of the named executive officers are estimated in the table below.</w:t>
      </w:r>
    </w:p>
    <w:p>
      <w:pPr>
        <w:spacing w:after="0" w:line="8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2453"/>
              </w:rPr>
              <w:t>Death,</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Disability,</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w w:val="99"/>
              </w:rPr>
              <w:t>Termination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002453"/>
              </w:rPr>
              <w:t>Non-Renewal</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169"/>
              <w:spacing w:after="0" w:line="139" w:lineRule="exact"/>
              <w:rPr>
                <w:sz w:val="20"/>
                <w:szCs w:val="20"/>
                <w:color w:val="auto"/>
              </w:rPr>
            </w:pPr>
            <w:r>
              <w:rPr>
                <w:rFonts w:ascii="Arial" w:cs="Arial" w:eastAsia="Arial" w:hAnsi="Arial"/>
                <w:sz w:val="14"/>
                <w:szCs w:val="14"/>
                <w:b w:val="1"/>
                <w:bCs w:val="1"/>
                <w:color w:val="002453"/>
              </w:rPr>
              <w:t>Without Cause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267"/>
              <w:spacing w:after="0"/>
              <w:rPr>
                <w:sz w:val="20"/>
                <w:szCs w:val="20"/>
                <w:color w:val="auto"/>
              </w:rPr>
            </w:pPr>
            <w:r>
              <w:rPr>
                <w:rFonts w:ascii="Arial" w:cs="Arial" w:eastAsia="Arial" w:hAnsi="Arial"/>
                <w:sz w:val="14"/>
                <w:szCs w:val="14"/>
                <w:b w:val="1"/>
                <w:bCs w:val="1"/>
                <w:color w:val="002453"/>
              </w:rPr>
              <w:t>Death,</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or for Good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002453"/>
              </w:rPr>
              <w:t>by the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189"/>
              <w:spacing w:after="0" w:line="145" w:lineRule="exact"/>
              <w:rPr>
                <w:sz w:val="20"/>
                <w:szCs w:val="20"/>
                <w:color w:val="auto"/>
              </w:rPr>
            </w:pPr>
            <w:r>
              <w:rPr>
                <w:rFonts w:ascii="Arial" w:cs="Arial" w:eastAsia="Arial" w:hAnsi="Arial"/>
                <w:sz w:val="14"/>
                <w:szCs w:val="14"/>
                <w:b w:val="1"/>
                <w:bCs w:val="1"/>
                <w:color w:val="002453"/>
              </w:rPr>
              <w:t>Reason 60 Days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002453"/>
              </w:rPr>
              <w:t>Company</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7"/>
              <w:spacing w:after="0" w:line="139" w:lineRule="exact"/>
              <w:rPr>
                <w:sz w:val="20"/>
                <w:szCs w:val="20"/>
                <w:color w:val="auto"/>
              </w:rPr>
            </w:pPr>
            <w:r>
              <w:rPr>
                <w:rFonts w:ascii="Arial" w:cs="Arial" w:eastAsia="Arial" w:hAnsi="Arial"/>
                <w:sz w:val="14"/>
                <w:szCs w:val="14"/>
                <w:b w:val="1"/>
                <w:bCs w:val="1"/>
                <w:color w:val="002453"/>
                <w:w w:val="99"/>
              </w:rPr>
              <w:t>Disability,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Prior to or</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002453"/>
              </w:rPr>
              <w:t>60 Days Prior</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7"/>
              <w:spacing w:after="0" w:line="145" w:lineRule="exact"/>
              <w:rPr>
                <w:sz w:val="20"/>
                <w:szCs w:val="20"/>
                <w:color w:val="auto"/>
              </w:rPr>
            </w:pPr>
            <w:r>
              <w:rPr>
                <w:rFonts w:ascii="Arial" w:cs="Arial" w:eastAsia="Arial" w:hAnsi="Arial"/>
                <w:sz w:val="14"/>
                <w:szCs w:val="14"/>
                <w:b w:val="1"/>
                <w:bCs w:val="1"/>
                <w:color w:val="002453"/>
              </w:rPr>
              <w:t>Termination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002453"/>
              </w:rPr>
              <w:t>24 Months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tcPr>
          <w:p>
            <w:pPr>
              <w:jc w:val="center"/>
              <w:ind w:right="149"/>
              <w:spacing w:after="0" w:line="145" w:lineRule="exact"/>
              <w:rPr>
                <w:sz w:val="20"/>
                <w:szCs w:val="20"/>
                <w:color w:val="auto"/>
              </w:rPr>
            </w:pPr>
            <w:r>
              <w:rPr>
                <w:rFonts w:ascii="Arial" w:cs="Arial" w:eastAsia="Arial" w:hAnsi="Arial"/>
                <w:sz w:val="14"/>
                <w:szCs w:val="14"/>
                <w:b w:val="1"/>
                <w:bCs w:val="1"/>
                <w:color w:val="002453"/>
              </w:rPr>
              <w:t>to or 24 Months</w:t>
            </w:r>
          </w:p>
        </w:tc>
        <w:tc>
          <w:tcPr>
            <w:tcW w:w="6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Resignation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67"/>
              <w:spacing w:after="0" w:line="149" w:lineRule="exact"/>
              <w:rPr>
                <w:sz w:val="20"/>
                <w:szCs w:val="20"/>
                <w:color w:val="auto"/>
              </w:rPr>
            </w:pPr>
            <w:r>
              <w:rPr>
                <w:rFonts w:ascii="Arial" w:cs="Arial" w:eastAsia="Arial" w:hAnsi="Arial"/>
                <w:sz w:val="14"/>
                <w:szCs w:val="14"/>
                <w:b w:val="1"/>
                <w:bCs w:val="1"/>
                <w:color w:val="002453"/>
              </w:rPr>
              <w:t>Without Cause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Following a</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002453"/>
              </w:rPr>
              <w:t>Non-Renewal by</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Following a</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7"/>
              <w:spacing w:after="0" w:line="139" w:lineRule="exact"/>
              <w:rPr>
                <w:sz w:val="20"/>
                <w:szCs w:val="20"/>
                <w:color w:val="auto"/>
              </w:rPr>
            </w:pPr>
            <w:r>
              <w:rPr>
                <w:rFonts w:ascii="Arial" w:cs="Arial" w:eastAsia="Arial" w:hAnsi="Arial"/>
                <w:sz w:val="14"/>
                <w:szCs w:val="14"/>
                <w:b w:val="1"/>
                <w:bCs w:val="1"/>
                <w:color w:val="002453"/>
              </w:rPr>
              <w:t>or for Good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002453"/>
              </w:rPr>
              <w:t>Change in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4"/>
              <w:spacing w:after="0" w:line="139" w:lineRule="exact"/>
              <w:rPr>
                <w:sz w:val="20"/>
                <w:szCs w:val="20"/>
                <w:color w:val="auto"/>
              </w:rPr>
            </w:pPr>
            <w:r>
              <w:rPr>
                <w:rFonts w:ascii="Arial" w:cs="Arial" w:eastAsia="Arial" w:hAnsi="Arial"/>
                <w:sz w:val="14"/>
                <w:szCs w:val="14"/>
                <w:b w:val="1"/>
                <w:bCs w:val="1"/>
                <w:color w:val="002453"/>
              </w:rPr>
              <w:t>Change in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without Good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20" w:type="dxa"/>
            <w:vAlign w:val="bottom"/>
            <w:tcBorders>
              <w:bottom w:val="single" w:sz="8" w:color="00C08A"/>
            </w:tcBorders>
            <w:vMerge w:val="continue"/>
          </w:tcPr>
          <w:p>
            <w:pPr>
              <w:spacing w:after="0"/>
              <w:rPr>
                <w:sz w:val="17"/>
                <w:szCs w:val="17"/>
                <w:color w:val="auto"/>
              </w:rPr>
            </w:pPr>
          </w:p>
        </w:tc>
        <w:tc>
          <w:tcPr>
            <w:tcW w:w="640" w:type="dxa"/>
            <w:vAlign w:val="bottom"/>
            <w:tcBorders>
              <w:bottom w:val="single" w:sz="8" w:color="00C08A"/>
            </w:tcBorders>
          </w:tcPr>
          <w:p>
            <w:pPr>
              <w:ind w:left="540"/>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ind w:left="40"/>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spacing w:after="0"/>
              <w:rPr>
                <w:sz w:val="17"/>
                <w:szCs w:val="17"/>
                <w:color w:val="auto"/>
              </w:rPr>
            </w:pPr>
          </w:p>
        </w:tc>
        <w:tc>
          <w:tcPr>
            <w:tcW w:w="1140" w:type="dxa"/>
            <w:vAlign w:val="bottom"/>
            <w:tcBorders>
              <w:bottom w:val="single" w:sz="8" w:color="00C08A"/>
            </w:tcBorders>
          </w:tcPr>
          <w:p>
            <w:pPr>
              <w:jc w:val="right"/>
              <w:ind w:right="7"/>
              <w:spacing w:after="0" w:line="199" w:lineRule="exact"/>
              <w:rPr>
                <w:sz w:val="20"/>
                <w:szCs w:val="20"/>
                <w:color w:val="auto"/>
              </w:rPr>
            </w:pPr>
            <w:r>
              <w:rPr>
                <w:rFonts w:ascii="Arial" w:cs="Arial" w:eastAsia="Arial" w:hAnsi="Arial"/>
                <w:sz w:val="12"/>
                <w:szCs w:val="12"/>
                <w:b w:val="1"/>
                <w:bCs w:val="1"/>
                <w:color w:val="002453"/>
              </w:rPr>
              <w:t xml:space="preserve">Reason ($)   </w:t>
            </w:r>
            <w:r>
              <w:rPr>
                <w:rFonts w:ascii="Arial" w:cs="Arial" w:eastAsia="Arial" w:hAnsi="Arial"/>
                <w:sz w:val="22"/>
                <w:szCs w:val="22"/>
                <w:b w:val="1"/>
                <w:bCs w:val="1"/>
                <w:color w:val="002453"/>
                <w:vertAlign w:val="subscript"/>
              </w:rPr>
              <w:t>​</w:t>
            </w:r>
          </w:p>
        </w:tc>
        <w:tc>
          <w:tcPr>
            <w:tcW w:w="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w:t>
            </w:r>
          </w:p>
        </w:tc>
        <w:tc>
          <w:tcPr>
            <w:tcW w:w="160" w:type="dxa"/>
            <w:vAlign w:val="bottom"/>
            <w:tcBorders>
              <w:bottom w:val="single" w:sz="8" w:color="00C08A"/>
            </w:tcBorders>
          </w:tcPr>
          <w:p>
            <w:pPr>
              <w:spacing w:after="0"/>
              <w:rPr>
                <w:sz w:val="17"/>
                <w:szCs w:val="17"/>
                <w:color w:val="auto"/>
              </w:rPr>
            </w:pPr>
          </w:p>
        </w:tc>
        <w:tc>
          <w:tcPr>
            <w:tcW w:w="88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Control ($)</w:t>
            </w:r>
          </w:p>
        </w:tc>
        <w:tc>
          <w:tcPr>
            <w:tcW w:w="320" w:type="dxa"/>
            <w:vAlign w:val="bottom"/>
            <w:tcBorders>
              <w:bottom w:val="single" w:sz="8" w:color="00C08A"/>
            </w:tcBorders>
          </w:tcPr>
          <w:p>
            <w:pPr>
              <w:jc w:val="right"/>
              <w:ind w:right="29"/>
              <w:spacing w:after="0"/>
              <w:rPr>
                <w:sz w:val="20"/>
                <w:szCs w:val="20"/>
                <w:color w:val="auto"/>
              </w:rPr>
            </w:pPr>
            <w:r>
              <w:rPr>
                <w:rFonts w:ascii="Arial" w:cs="Arial" w:eastAsia="Arial" w:hAnsi="Arial"/>
                <w:sz w:val="14"/>
                <w:szCs w:val="14"/>
                <w:b w:val="1"/>
                <w:bCs w:val="1"/>
                <w:color w:val="002453"/>
              </w:rPr>
              <w:t>​</w:t>
            </w:r>
          </w:p>
        </w:tc>
        <w:tc>
          <w:tcPr>
            <w:tcW w:w="1200" w:type="dxa"/>
            <w:vAlign w:val="bottom"/>
            <w:tcBorders>
              <w:bottom w:val="single" w:sz="8" w:color="00C08A"/>
            </w:tcBorders>
            <w:gridSpan w:val="3"/>
          </w:tcPr>
          <w:p>
            <w:pPr>
              <w:spacing w:after="0" w:line="199" w:lineRule="exact"/>
              <w:rPr>
                <w:sz w:val="20"/>
                <w:szCs w:val="20"/>
                <w:color w:val="auto"/>
              </w:rPr>
            </w:pPr>
            <w:r>
              <w:rPr>
                <w:rFonts w:ascii="Arial" w:cs="Arial" w:eastAsia="Arial" w:hAnsi="Arial"/>
                <w:sz w:val="22"/>
                <w:szCs w:val="22"/>
                <w:b w:val="1"/>
                <w:bCs w:val="1"/>
                <w:color w:val="002453"/>
                <w:vertAlign w:val="subscript"/>
              </w:rPr>
              <w:t>​</w:t>
            </w:r>
            <w:r>
              <w:rPr>
                <w:rFonts w:ascii="Arial" w:cs="Arial" w:eastAsia="Arial" w:hAnsi="Arial"/>
                <w:sz w:val="12"/>
                <w:szCs w:val="12"/>
                <w:b w:val="1"/>
                <w:bCs w:val="1"/>
                <w:color w:val="002453"/>
              </w:rPr>
              <w:t xml:space="preserve"> the Company ($)</w:t>
            </w:r>
          </w:p>
        </w:tc>
        <w:tc>
          <w:tcPr>
            <w:tcW w:w="220" w:type="dxa"/>
            <w:vAlign w:val="bottom"/>
            <w:tcBorders>
              <w:bottom w:val="single" w:sz="8" w:color="00C08A"/>
            </w:tcBorders>
          </w:tcPr>
          <w:p>
            <w:pPr>
              <w:jc w:val="right"/>
              <w:ind w:right="10"/>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80" w:type="dxa"/>
            <w:vAlign w:val="bottom"/>
            <w:tcBorders>
              <w:bottom w:val="single" w:sz="8" w:color="00C08A"/>
            </w:tcBorders>
          </w:tcPr>
          <w:p>
            <w:pPr>
              <w:spacing w:after="0"/>
              <w:rPr>
                <w:sz w:val="17"/>
                <w:szCs w:val="17"/>
                <w:color w:val="auto"/>
              </w:rPr>
            </w:pPr>
          </w:p>
        </w:tc>
        <w:tc>
          <w:tcPr>
            <w:tcW w:w="84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Control ($)</w:t>
            </w:r>
          </w:p>
        </w:tc>
        <w:tc>
          <w:tcPr>
            <w:tcW w:w="300" w:type="dxa"/>
            <w:vAlign w:val="bottom"/>
            <w:tcBorders>
              <w:bottom w:val="single" w:sz="8" w:color="00C08A"/>
            </w:tcBorders>
          </w:tcPr>
          <w:p>
            <w:pPr>
              <w:jc w:val="right"/>
              <w:ind w:right="29"/>
              <w:spacing w:after="0"/>
              <w:rPr>
                <w:sz w:val="20"/>
                <w:szCs w:val="20"/>
                <w:color w:val="auto"/>
              </w:rPr>
            </w:pPr>
            <w:r>
              <w:rPr>
                <w:rFonts w:ascii="Arial" w:cs="Arial" w:eastAsia="Arial" w:hAnsi="Arial"/>
                <w:sz w:val="14"/>
                <w:szCs w:val="14"/>
                <w:b w:val="1"/>
                <w:bCs w:val="1"/>
                <w:color w:val="002453"/>
              </w:rPr>
              <w:t>​</w:t>
            </w:r>
          </w:p>
        </w:tc>
        <w:tc>
          <w:tcPr>
            <w:tcW w:w="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98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Reason</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4,268,219(1)</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​14,260,993(2)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99"/>
              </w:rPr>
              <w:t>4,268,219(1)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9"/>
              <w:spacing w:after="0" w:line="202" w:lineRule="exact"/>
              <w:rPr>
                <w:sz w:val="20"/>
                <w:szCs w:val="20"/>
                <w:color w:val="auto"/>
              </w:rPr>
            </w:pPr>
            <w:r>
              <w:rPr>
                <w:rFonts w:ascii="Arial" w:cs="Arial" w:eastAsia="Arial" w:hAnsi="Arial"/>
                <w:sz w:val="18"/>
                <w:szCs w:val="18"/>
                <w:color w:val="auto"/>
              </w:rPr>
              <w:t>​14,260,993(2)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​10,704,000(3)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​10,704,000(3)</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​10,704,000(3)</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9"/>
              <w:spacing w:after="0" w:line="202" w:lineRule="exact"/>
              <w:rPr>
                <w:sz w:val="20"/>
                <w:szCs w:val="20"/>
                <w:color w:val="auto"/>
              </w:rPr>
            </w:pPr>
            <w:r>
              <w:rPr>
                <w:rFonts w:ascii="Arial" w:cs="Arial" w:eastAsia="Arial" w:hAnsi="Arial"/>
                <w:sz w:val="18"/>
                <w:szCs w:val="18"/>
                <w:color w:val="auto"/>
              </w:rPr>
              <w:t>​10,704,000(3)</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Joseph Molluso</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00C08A"/>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896,918(4)</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
              <w:spacing w:after="0" w:line="202" w:lineRule="exact"/>
              <w:rPr>
                <w:sz w:val="20"/>
                <w:szCs w:val="20"/>
                <w:color w:val="auto"/>
              </w:rPr>
            </w:pPr>
            <w:r>
              <w:rPr>
                <w:rFonts w:ascii="Arial" w:cs="Arial" w:eastAsia="Arial" w:hAnsi="Arial"/>
                <w:sz w:val="18"/>
                <w:szCs w:val="18"/>
                <w:color w:val="auto"/>
              </w:rPr>
              <w:t>6,449,315(5)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896,918(4)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
              <w:spacing w:after="0" w:line="202" w:lineRule="exact"/>
              <w:rPr>
                <w:sz w:val="20"/>
                <w:szCs w:val="20"/>
                <w:color w:val="auto"/>
              </w:rPr>
            </w:pPr>
            <w:r>
              <w:rPr>
                <w:rFonts w:ascii="Arial" w:cs="Arial" w:eastAsia="Arial" w:hAnsi="Arial"/>
                <w:sz w:val="18"/>
                <w:szCs w:val="18"/>
                <w:color w:val="auto"/>
              </w:rPr>
              <w:t>6,449,315(5)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9"/>
              <w:spacing w:after="0" w:line="202" w:lineRule="exact"/>
              <w:rPr>
                <w:sz w:val="20"/>
                <w:szCs w:val="20"/>
                <w:color w:val="auto"/>
              </w:rPr>
            </w:pPr>
            <w:r>
              <w:rPr>
                <w:rFonts w:ascii="Arial" w:cs="Arial" w:eastAsia="Arial" w:hAnsi="Arial"/>
                <w:sz w:val="18"/>
                <w:szCs w:val="18"/>
                <w:color w:val="auto"/>
              </w:rPr>
              <w:t>5,352,000(6)</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5,352,000(6)</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
              <w:spacing w:after="0" w:line="202" w:lineRule="exact"/>
              <w:rPr>
                <w:sz w:val="20"/>
                <w:szCs w:val="20"/>
                <w:color w:val="auto"/>
              </w:rPr>
            </w:pPr>
            <w:r>
              <w:rPr>
                <w:rFonts w:ascii="Arial" w:cs="Arial" w:eastAsia="Arial" w:hAnsi="Arial"/>
                <w:sz w:val="18"/>
                <w:szCs w:val="18"/>
                <w:color w:val="auto"/>
              </w:rPr>
              <w:t>5,352,000(6)</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1,455,411(7)</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
              <w:spacing w:after="0" w:line="202" w:lineRule="exact"/>
              <w:rPr>
                <w:sz w:val="20"/>
                <w:szCs w:val="20"/>
                <w:color w:val="auto"/>
              </w:rPr>
            </w:pPr>
            <w:r>
              <w:rPr>
                <w:rFonts w:ascii="Arial" w:cs="Arial" w:eastAsia="Arial" w:hAnsi="Arial"/>
                <w:sz w:val="18"/>
                <w:szCs w:val="18"/>
                <w:color w:val="auto"/>
              </w:rPr>
              <w:t>6,573,425(8)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99"/>
              </w:rPr>
              <w:t>1,455,411(7)</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
              <w:spacing w:after="0" w:line="202" w:lineRule="exact"/>
              <w:rPr>
                <w:sz w:val="20"/>
                <w:szCs w:val="20"/>
                <w:color w:val="auto"/>
              </w:rPr>
            </w:pPr>
            <w:r>
              <w:rPr>
                <w:rFonts w:ascii="Arial" w:cs="Arial" w:eastAsia="Arial" w:hAnsi="Arial"/>
                <w:sz w:val="18"/>
                <w:szCs w:val="18"/>
                <w:color w:val="auto"/>
              </w:rPr>
              <w:t>6,573,425(8)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9"/>
              <w:spacing w:after="0" w:line="202" w:lineRule="exact"/>
              <w:rPr>
                <w:sz w:val="20"/>
                <w:szCs w:val="20"/>
                <w:color w:val="auto"/>
              </w:rPr>
            </w:pPr>
            <w:r>
              <w:rPr>
                <w:rFonts w:ascii="Arial" w:cs="Arial" w:eastAsia="Arial" w:hAnsi="Arial"/>
                <w:sz w:val="18"/>
                <w:szCs w:val="18"/>
                <w:color w:val="auto"/>
              </w:rPr>
              <w:t>5,352,000(9)</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5,352,000(9)</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
              <w:spacing w:after="0" w:line="202" w:lineRule="exact"/>
              <w:rPr>
                <w:sz w:val="20"/>
                <w:szCs w:val="20"/>
                <w:color w:val="auto"/>
              </w:rPr>
            </w:pPr>
            <w:r>
              <w:rPr>
                <w:rFonts w:ascii="Arial" w:cs="Arial" w:eastAsia="Arial" w:hAnsi="Arial"/>
                <w:sz w:val="18"/>
                <w:szCs w:val="18"/>
                <w:color w:val="auto"/>
              </w:rPr>
              <w:t>5,352,000(9)</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64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780,411(10)</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6,048,425(11)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780,411(10)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6,048,425(11)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6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5,352,000(12)</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5,352,000(12)</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5,352,000(12)</w:t>
            </w:r>
          </w:p>
        </w:tc>
        <w:tc>
          <w:tcPr>
            <w:tcW w:w="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5,352,000(12)</w:t>
            </w:r>
          </w:p>
        </w:tc>
        <w:tc>
          <w:tcPr>
            <w:tcW w:w="5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9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8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20" w:type="dxa"/>
            <w:vAlign w:val="bottom"/>
            <w:shd w:val="clear" w:color="auto" w:fill="CCEEFF"/>
          </w:tcPr>
          <w:p>
            <w:pPr>
              <w:jc w:val="right"/>
              <w:ind w:right="29"/>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00" w:type="dxa"/>
            <w:vAlign w:val="bottom"/>
            <w:shd w:val="clear" w:color="auto" w:fill="CCEEFF"/>
          </w:tcPr>
          <w:p>
            <w:pPr>
              <w:jc w:val="right"/>
              <w:ind w:right="9"/>
              <w:spacing w:after="0" w:line="68" w:lineRule="exact"/>
              <w:rPr>
                <w:sz w:val="20"/>
                <w:szCs w:val="20"/>
                <w:color w:val="auto"/>
              </w:rPr>
            </w:pPr>
            <w:r>
              <w:rPr>
                <w:rFonts w:ascii="Arial" w:cs="Arial" w:eastAsia="Arial" w:hAnsi="Arial"/>
                <w:sz w:val="7"/>
                <w:szCs w:val="7"/>
                <w:color w:val="auto"/>
              </w:rPr>
              <w:t>​ ​</w:t>
            </w: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8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Cindy Lee</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192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Sean P. Galvin</w:t>
            </w:r>
          </w:p>
        </w:tc>
        <w:tc>
          <w:tcPr>
            <w:tcW w:w="640" w:type="dxa"/>
            <w:vAlign w:val="bottom"/>
            <w:tcBorders>
              <w:top w:val="single" w:sz="8" w:color="00C08A"/>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08A"/>
            </w:tcBorders>
            <w:shd w:val="clear" w:color="auto" w:fill="CCEEFF"/>
          </w:tcPr>
          <w:p>
            <w:pPr>
              <w:spacing w:after="0"/>
              <w:rPr>
                <w:sz w:val="22"/>
                <w:szCs w:val="22"/>
                <w:color w:val="auto"/>
              </w:rPr>
            </w:pPr>
          </w:p>
        </w:tc>
        <w:tc>
          <w:tcPr>
            <w:tcW w:w="320" w:type="dxa"/>
            <w:vAlign w:val="bottom"/>
            <w:tcBorders>
              <w:top w:val="single" w:sz="8" w:color="00C08A"/>
            </w:tcBorders>
            <w:shd w:val="clear" w:color="auto" w:fill="CCEEFF"/>
          </w:tcPr>
          <w:p>
            <w:pPr>
              <w:jc w:val="right"/>
              <w:ind w:right="2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00C08A"/>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08A"/>
            </w:tcBorders>
            <w:shd w:val="clear" w:color="auto" w:fill="CCEEFF"/>
          </w:tcPr>
          <w:p>
            <w:pPr>
              <w:spacing w:after="0"/>
              <w:rPr>
                <w:sz w:val="22"/>
                <w:szCs w:val="22"/>
                <w:color w:val="auto"/>
              </w:rPr>
            </w:pPr>
          </w:p>
        </w:tc>
        <w:tc>
          <w:tcPr>
            <w:tcW w:w="300" w:type="dxa"/>
            <w:vAlign w:val="bottom"/>
            <w:tcBorders>
              <w:top w:val="single" w:sz="8" w:color="00C08A"/>
            </w:tcBorders>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 ​ ​</w:t>
            </w:r>
          </w:p>
        </w:tc>
        <w:tc>
          <w:tcPr>
            <w:tcW w:w="60" w:type="dxa"/>
            <w:vAlign w:val="bottom"/>
            <w:tcBorders>
              <w:top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20" w:type="dxa"/>
            <w:vAlign w:val="bottom"/>
            <w:tcBorders>
              <w:bottom w:val="single" w:sz="8" w:color="00C08A"/>
            </w:tcBorders>
          </w:tcPr>
          <w:p>
            <w:pPr>
              <w:spacing w:after="0"/>
              <w:rPr>
                <w:sz w:val="20"/>
                <w:szCs w:val="20"/>
                <w:color w:val="auto"/>
              </w:rPr>
            </w:pPr>
            <w:r>
              <w:rPr>
                <w:rFonts w:ascii="Arial" w:cs="Arial" w:eastAsia="Arial" w:hAnsi="Arial"/>
                <w:sz w:val="18"/>
                <w:szCs w:val="18"/>
                <w:i w:val="1"/>
                <w:iCs w:val="1"/>
                <w:color w:val="auto"/>
              </w:rPr>
              <w:t>Stock Options</w:t>
            </w:r>
          </w:p>
        </w:tc>
        <w:tc>
          <w:tcPr>
            <w:tcW w:w="640" w:type="dxa"/>
            <w:vAlign w:val="bottom"/>
            <w:tcBorders>
              <w:bottom w:val="single" w:sz="8" w:color="00C08A"/>
            </w:tcBorders>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C08A"/>
            </w:tcBorders>
            <w:gridSpan w:val="2"/>
          </w:tcPr>
          <w:p>
            <w:pPr>
              <w:ind w:left="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00C08A"/>
            </w:tcBorders>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 ​</w:t>
            </w:r>
          </w:p>
        </w:tc>
        <w:tc>
          <w:tcPr>
            <w:tcW w:w="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00C08A"/>
            </w:tcBorders>
          </w:tcPr>
          <w:p>
            <w:pPr>
              <w:jc w:val="right"/>
              <w:ind w:right="29"/>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C08A"/>
            </w:tcBorders>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C08A"/>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08A"/>
            </w:tcBorders>
          </w:tcPr>
          <w:p>
            <w:pPr>
              <w:jc w:val="right"/>
              <w:ind w:right="1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08A"/>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0C08A"/>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00C08A"/>
            </w:tcBorders>
          </w:tcPr>
          <w:p>
            <w:pPr>
              <w:jc w:val="right"/>
              <w:ind w:right="9"/>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0C08A"/>
            </w:tcBorders>
          </w:tcPr>
          <w:p>
            <w:pPr>
              <w:ind w:left="38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Borders>
              <w:bottom w:val="single" w:sz="8" w:color="00C08A"/>
            </w:tcBorders>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060" w:right="480" w:hanging="298"/>
        <w:spacing w:after="0" w:line="293"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the greater of (i) base salary and continued health, dental, vision and life insurance benefits through the remainder of applicable employment term and (ii) 12 months of base salary health, dental, vision and life insurance benefits.</w:t>
      </w:r>
    </w:p>
    <w:p>
      <w:pPr>
        <w:spacing w:after="0" w:line="71" w:lineRule="exact"/>
        <w:rPr>
          <w:rFonts w:ascii="Arial" w:cs="Arial" w:eastAsia="Arial" w:hAnsi="Arial"/>
          <w:sz w:val="14"/>
          <w:szCs w:val="14"/>
          <w:color w:val="auto"/>
        </w:rPr>
      </w:pPr>
    </w:p>
    <w:p>
      <w:pPr>
        <w:ind w:left="1060" w:right="280" w:hanging="298"/>
        <w:spacing w:after="0" w:line="305"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$4,125,000) and (ii) continued health, dental, vision and life insurance benefits for twenty-four months.</w:t>
      </w:r>
    </w:p>
    <w:p>
      <w:pPr>
        <w:spacing w:after="0" w:line="63" w:lineRule="exact"/>
        <w:rPr>
          <w:rFonts w:ascii="Arial" w:cs="Arial" w:eastAsia="Arial" w:hAnsi="Arial"/>
          <w:sz w:val="14"/>
          <w:szCs w:val="14"/>
          <w:color w:val="auto"/>
        </w:rPr>
      </w:pPr>
    </w:p>
    <w:p>
      <w:pPr>
        <w:ind w:left="1060" w:right="160" w:hanging="298"/>
        <w:spacing w:after="0" w:line="305" w:lineRule="auto"/>
        <w:tabs>
          <w:tab w:leader="none" w:pos="10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annual equity grant based on shares earned, which was 150,000, and (ii) a grant of 150,000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183515</wp:posOffset>
            </wp:positionV>
            <wp:extent cx="75438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9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1060" w:right="10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April 30, 2026).</w:t>
      </w:r>
    </w:p>
    <w:p>
      <w:pPr>
        <w:spacing w:after="0" w:line="63" w:lineRule="exact"/>
        <w:rPr>
          <w:rFonts w:ascii="Arial" w:cs="Arial" w:eastAsia="Arial" w:hAnsi="Arial"/>
          <w:sz w:val="14"/>
          <w:szCs w:val="14"/>
          <w:color w:val="auto"/>
        </w:rPr>
      </w:pPr>
    </w:p>
    <w:p>
      <w:pPr>
        <w:ind w:left="1060" w:right="28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$1,900,000) and (ii) continued health, dental, vision and life insurance benefits for twenty-four months.</w:t>
      </w:r>
    </w:p>
    <w:p>
      <w:pPr>
        <w:spacing w:after="0" w:line="49" w:lineRule="exact"/>
        <w:rPr>
          <w:rFonts w:ascii="Arial" w:cs="Arial" w:eastAsia="Arial" w:hAnsi="Arial"/>
          <w:sz w:val="14"/>
          <w:szCs w:val="14"/>
          <w:color w:val="auto"/>
        </w:rPr>
      </w:pPr>
    </w:p>
    <w:p>
      <w:pPr>
        <w:ind w:left="1060" w:right="220" w:hanging="298"/>
        <w:spacing w:after="0" w:line="32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36" w:lineRule="exact"/>
        <w:rPr>
          <w:rFonts w:ascii="Arial" w:cs="Arial" w:eastAsia="Arial" w:hAnsi="Arial"/>
          <w:sz w:val="14"/>
          <w:szCs w:val="14"/>
          <w:color w:val="auto"/>
        </w:rPr>
      </w:pPr>
    </w:p>
    <w:p>
      <w:pPr>
        <w:ind w:left="1060" w:right="10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2027).</w:t>
      </w:r>
    </w:p>
    <w:p>
      <w:pPr>
        <w:spacing w:after="0" w:line="63" w:lineRule="exact"/>
        <w:rPr>
          <w:rFonts w:ascii="Arial" w:cs="Arial" w:eastAsia="Arial" w:hAnsi="Arial"/>
          <w:sz w:val="14"/>
          <w:szCs w:val="14"/>
          <w:color w:val="auto"/>
        </w:rPr>
      </w:pPr>
    </w:p>
    <w:p>
      <w:pPr>
        <w:jc w:val="both"/>
        <w:ind w:left="1060" w:right="240" w:hanging="298"/>
        <w:spacing w:after="0" w:line="283"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$1,900,000) and (ii) continued health, dental, vision and life insurance benefits through the remainder of the employment term (i.e., February 26, 2027).</w:t>
      </w:r>
    </w:p>
    <w:p>
      <w:pPr>
        <w:spacing w:after="0" w:line="78" w:lineRule="exact"/>
        <w:rPr>
          <w:rFonts w:ascii="Arial" w:cs="Arial" w:eastAsia="Arial" w:hAnsi="Arial"/>
          <w:sz w:val="14"/>
          <w:szCs w:val="14"/>
          <w:color w:val="auto"/>
        </w:rPr>
      </w:pPr>
    </w:p>
    <w:p>
      <w:pPr>
        <w:ind w:left="1060" w:right="22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49" w:lineRule="exact"/>
        <w:rPr>
          <w:rFonts w:ascii="Arial" w:cs="Arial" w:eastAsia="Arial" w:hAnsi="Arial"/>
          <w:sz w:val="14"/>
          <w:szCs w:val="14"/>
          <w:color w:val="auto"/>
        </w:rPr>
      </w:pPr>
    </w:p>
    <w:p>
      <w:pPr>
        <w:ind w:left="1060" w:right="100" w:hanging="298"/>
        <w:spacing w:after="0" w:line="32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2026).</w:t>
      </w:r>
    </w:p>
    <w:p>
      <w:pPr>
        <w:spacing w:after="0" w:line="36" w:lineRule="exact"/>
        <w:rPr>
          <w:rFonts w:ascii="Arial" w:cs="Arial" w:eastAsia="Arial" w:hAnsi="Arial"/>
          <w:sz w:val="14"/>
          <w:szCs w:val="14"/>
          <w:color w:val="auto"/>
        </w:rPr>
      </w:pPr>
    </w:p>
    <w:p>
      <w:pPr>
        <w:jc w:val="both"/>
        <w:ind w:left="1060" w:right="240" w:hanging="298"/>
        <w:spacing w:after="0" w:line="293"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$1,750,000) and (ii) continued health, dental, vision and life insurance benefits through the remainder of the employment term (i.e., February 26, 2026).</w:t>
      </w:r>
    </w:p>
    <w:p>
      <w:pPr>
        <w:spacing w:after="0" w:line="58" w:lineRule="exact"/>
        <w:rPr>
          <w:rFonts w:ascii="Arial" w:cs="Arial" w:eastAsia="Arial" w:hAnsi="Arial"/>
          <w:sz w:val="14"/>
          <w:szCs w:val="14"/>
          <w:color w:val="auto"/>
        </w:rPr>
      </w:pPr>
    </w:p>
    <w:p>
      <w:pPr>
        <w:ind w:left="1060" w:right="220" w:hanging="298"/>
        <w:spacing w:after="0" w:line="305" w:lineRule="auto"/>
        <w:tabs>
          <w:tab w:leader="none" w:pos="10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75,000, and (ii) a grant of 75,000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CEO Pay Ratio Disclosure</w:t>
      </w:r>
    </w:p>
    <w:p>
      <w:pPr>
        <w:spacing w:after="0" w:line="146" w:lineRule="exact"/>
        <w:rPr>
          <w:sz w:val="20"/>
          <w:szCs w:val="20"/>
          <w:color w:val="auto"/>
        </w:rPr>
      </w:pPr>
    </w:p>
    <w:p>
      <w:pPr>
        <w:ind w:left="760" w:right="120"/>
        <w:spacing w:after="0" w:line="268" w:lineRule="auto"/>
        <w:rPr>
          <w:sz w:val="20"/>
          <w:szCs w:val="20"/>
          <w:color w:val="auto"/>
        </w:rPr>
      </w:pPr>
      <w:r>
        <w:rPr>
          <w:rFonts w:ascii="Arial" w:cs="Arial" w:eastAsia="Arial" w:hAnsi="Arial"/>
          <w:sz w:val="18"/>
          <w:szCs w:val="18"/>
          <w:color w:val="auto"/>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2024:</w:t>
      </w:r>
    </w:p>
    <w:p>
      <w:pPr>
        <w:spacing w:after="0" w:line="63" w:lineRule="exact"/>
        <w:rPr>
          <w:sz w:val="20"/>
          <w:szCs w:val="20"/>
          <w:color w:val="auto"/>
        </w:rPr>
      </w:pPr>
    </w:p>
    <w:p>
      <w:pPr>
        <w:ind w:left="1340" w:right="800" w:hanging="218"/>
        <w:spacing w:after="0" w:line="287"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The median of the annual total compensation of all employees of our Company (other than our Chief Executive Officer) was approximately $287,500;</w:t>
      </w:r>
    </w:p>
    <w:p>
      <w:pPr>
        <w:spacing w:after="0" w:line="44" w:lineRule="exact"/>
        <w:rPr>
          <w:rFonts w:ascii="Arial" w:cs="Arial" w:eastAsia="Arial" w:hAnsi="Arial"/>
          <w:sz w:val="18"/>
          <w:szCs w:val="18"/>
          <w:color w:val="002453"/>
        </w:rPr>
      </w:pPr>
    </w:p>
    <w:p>
      <w:pPr>
        <w:ind w:left="1340" w:right="220" w:hanging="218"/>
        <w:spacing w:after="0" w:line="287"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The annual total compensation of our Chief Executive Officer was $9,863,432 (as disclosed in the Summary Compensation Table herein); and</w:t>
      </w:r>
    </w:p>
    <w:p>
      <w:pPr>
        <w:spacing w:after="0" w:line="44" w:lineRule="exact"/>
        <w:rPr>
          <w:rFonts w:ascii="Arial" w:cs="Arial" w:eastAsia="Arial" w:hAnsi="Arial"/>
          <w:sz w:val="18"/>
          <w:szCs w:val="18"/>
          <w:color w:val="002453"/>
        </w:rPr>
      </w:pPr>
    </w:p>
    <w:p>
      <w:pPr>
        <w:ind w:left="1340" w:right="480" w:hanging="218"/>
        <w:spacing w:after="0" w:line="287" w:lineRule="auto"/>
        <w:tabs>
          <w:tab w:leader="none" w:pos="1340" w:val="left"/>
        </w:tabs>
        <w:numPr>
          <w:ilvl w:val="0"/>
          <w:numId w:val="30"/>
        </w:numPr>
        <w:rPr>
          <w:rFonts w:ascii="Arial" w:cs="Arial" w:eastAsia="Arial" w:hAnsi="Arial"/>
          <w:sz w:val="18"/>
          <w:szCs w:val="18"/>
          <w:color w:val="002453"/>
        </w:rPr>
      </w:pPr>
      <w:r>
        <w:rPr>
          <w:rFonts w:ascii="Arial" w:cs="Arial" w:eastAsia="Arial" w:hAnsi="Arial"/>
          <w:sz w:val="18"/>
          <w:szCs w:val="18"/>
          <w:color w:val="auto"/>
        </w:rPr>
        <w:t>Based on this information, the ratio of the annual total compensation of our Chief Executive Officer to the median employee was 34 to 1.</w:t>
      </w:r>
    </w:p>
    <w:p>
      <w:pPr>
        <w:spacing w:after="0" w:line="45" w:lineRule="exact"/>
        <w:rPr>
          <w:sz w:val="20"/>
          <w:szCs w:val="20"/>
          <w:color w:val="auto"/>
        </w:rPr>
      </w:pPr>
    </w:p>
    <w:p>
      <w:pPr>
        <w:ind w:left="760" w:right="380"/>
        <w:spacing w:after="0" w:line="268" w:lineRule="auto"/>
        <w:rPr>
          <w:sz w:val="20"/>
          <w:szCs w:val="20"/>
          <w:color w:val="auto"/>
        </w:rPr>
      </w:pPr>
      <w:r>
        <w:rPr>
          <w:rFonts w:ascii="Arial" w:cs="Arial" w:eastAsia="Arial" w:hAnsi="Arial"/>
          <w:sz w:val="18"/>
          <w:szCs w:val="18"/>
          <w:color w:val="auto"/>
        </w:rPr>
        <w:t>To determine the median of the annual total compensation of all employees of the Company (other than our Chief Executive Officer), we identified our total employee population as of December 31, 2024, which consisted of approximately 965 individuals, all of which were fulltime employees.</w:t>
      </w:r>
    </w:p>
    <w:p>
      <w:pPr>
        <w:spacing w:after="0" w:line="63"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We determined the median based on each employee’s annual base pay as of December 31, 2024, plus the variable incentive compensation award they received in 2025 for the 2024 performance year. Variable incentive compensation consisted of cash bonuses and/or the fair value of stock awards granted under the 2015 Plan at the grant date. The annual total compensation of the median employee presented above is a reasonable estimate calculated in accordance with the requirements of Item 402(c)(2)(x)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Hedging Policy</w:t>
      </w:r>
    </w:p>
    <w:p>
      <w:pPr>
        <w:spacing w:after="0" w:line="159"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Clawback Policy</w:t>
      </w:r>
    </w:p>
    <w:p>
      <w:pPr>
        <w:spacing w:after="0" w:line="146" w:lineRule="exact"/>
        <w:rPr>
          <w:sz w:val="20"/>
          <w:szCs w:val="20"/>
          <w:color w:val="auto"/>
        </w:rPr>
      </w:pPr>
    </w:p>
    <w:p>
      <w:pPr>
        <w:ind w:left="760" w:right="200"/>
        <w:spacing w:after="0" w:line="254" w:lineRule="auto"/>
        <w:rPr>
          <w:sz w:val="20"/>
          <w:szCs w:val="20"/>
          <w:color w:val="auto"/>
        </w:rPr>
      </w:pPr>
      <w:r>
        <w:rPr>
          <w:rFonts w:ascii="Arial" w:cs="Arial" w:eastAsia="Arial" w:hAnsi="Arial"/>
          <w:sz w:val="18"/>
          <w:szCs w:val="18"/>
          <w:color w:val="auto"/>
        </w:rPr>
        <w:t>The SEC adopted final rules in October 2022 to implement Section 954 of the Dodd-Frank Act, which mandates national securities exchanges and associations to establish listing standards requiring all listed companies to adopt and comply with compensation recovery (clawback) policies for incentive-based compensation received by current and former executive officers based on financial statements that are subsequently restated, and to disclose their clawback policies in accordance with SEC rules. On February 22, 2023, Nasdaq proposed its clawback listing standards that generally align with the SEC’s adopted clawback rules and require listed companies to file clawback-related disclosure in applicable SEC filings. In light of Nasdaq’s adoption of its clawback listing standards, we adopted a new clawback policy, filed as an exhibit to our Annual Report on Form 10-K for the fiscal year ended December 31, 2023, that complies with the new SEC and Nasdaq listing standards, and provides that the Company shall recover certain incentive-based compensation of our current and former executive officers in the event the Company is required to prepare a qualifying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436245</wp:posOffset>
            </wp:positionV>
            <wp:extent cx="75438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Compensation of Directors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payable to our non-employee directors consisted of the following during the year ended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2024:</w:t>
      </w:r>
    </w:p>
    <w:p>
      <w:pPr>
        <w:spacing w:after="0" w:line="99" w:lineRule="exact"/>
        <w:rPr>
          <w:sz w:val="20"/>
          <w:szCs w:val="20"/>
          <w:color w:val="auto"/>
        </w:rPr>
      </w:pPr>
    </w:p>
    <w:p>
      <w:pPr>
        <w:ind w:left="1340" w:right="140" w:hanging="218"/>
        <w:spacing w:after="0" w:line="268"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award of restricted stock units valued at $150,000 at the time of grant upon reelection at each subsequent annual meeting of stockholders. The restricted stock units vest on the one-year anniversary of the date of grant;</w:t>
      </w:r>
    </w:p>
    <w:p>
      <w:pPr>
        <w:spacing w:after="0" w:line="62" w:lineRule="exact"/>
        <w:rPr>
          <w:rFonts w:ascii="Arial" w:cs="Arial" w:eastAsia="Arial" w:hAnsi="Arial"/>
          <w:sz w:val="18"/>
          <w:szCs w:val="18"/>
          <w:color w:val="002453"/>
        </w:rPr>
      </w:pPr>
    </w:p>
    <w:p>
      <w:pPr>
        <w:ind w:left="1340" w:right="800" w:hanging="218"/>
        <w:spacing w:after="0" w:line="287"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$100,000, with no additional fees paid for board of director and committee meetings attended;</w:t>
      </w:r>
    </w:p>
    <w:p>
      <w:pPr>
        <w:spacing w:after="0" w:line="44" w:lineRule="exact"/>
        <w:rPr>
          <w:rFonts w:ascii="Arial" w:cs="Arial" w:eastAsia="Arial" w:hAnsi="Arial"/>
          <w:sz w:val="18"/>
          <w:szCs w:val="18"/>
          <w:color w:val="002453"/>
        </w:rPr>
      </w:pPr>
    </w:p>
    <w:p>
      <w:pPr>
        <w:jc w:val="both"/>
        <w:ind w:left="1340" w:right="140" w:hanging="218"/>
        <w:spacing w:after="0" w:line="291" w:lineRule="auto"/>
        <w:tabs>
          <w:tab w:leader="none" w:pos="1340" w:val="left"/>
        </w:tabs>
        <w:numPr>
          <w:ilvl w:val="0"/>
          <w:numId w:val="31"/>
        </w:numPr>
        <w:rPr>
          <w:rFonts w:ascii="Arial" w:cs="Arial" w:eastAsia="Arial" w:hAnsi="Arial"/>
          <w:sz w:val="17"/>
          <w:szCs w:val="17"/>
          <w:color w:val="002453"/>
        </w:rPr>
      </w:pPr>
      <w:r>
        <w:rPr>
          <w:rFonts w:ascii="Arial" w:cs="Arial" w:eastAsia="Arial" w:hAnsi="Arial"/>
          <w:sz w:val="17"/>
          <w:szCs w:val="17"/>
          <w:color w:val="auto"/>
        </w:rPr>
        <w:t>an annual cash retainer of $150,000 for the non-executive chairman of the board of directors, $40,000 for the chair of the Audit Committee, $30,000 for the chair of the Compensation Committee, $30,000 for the chair of the Nominating and Corporate Governance Committee and $30,000 for the chair of the Risk Committee; and</w:t>
      </w:r>
    </w:p>
    <w:p>
      <w:pPr>
        <w:spacing w:after="0" w:line="44" w:lineRule="exact"/>
        <w:rPr>
          <w:rFonts w:ascii="Arial" w:cs="Arial" w:eastAsia="Arial" w:hAnsi="Arial"/>
          <w:sz w:val="17"/>
          <w:szCs w:val="17"/>
          <w:color w:val="002453"/>
        </w:rPr>
      </w:pPr>
    </w:p>
    <w:p>
      <w:pPr>
        <w:ind w:left="1340" w:right="240" w:hanging="218"/>
        <w:spacing w:after="0" w:line="268" w:lineRule="auto"/>
        <w:tabs>
          <w:tab w:leader="none" w:pos="1340" w:val="left"/>
        </w:tabs>
        <w:numPr>
          <w:ilvl w:val="0"/>
          <w:numId w:val="31"/>
        </w:numPr>
        <w:rPr>
          <w:rFonts w:ascii="Arial" w:cs="Arial" w:eastAsia="Arial" w:hAnsi="Arial"/>
          <w:sz w:val="18"/>
          <w:szCs w:val="18"/>
          <w:color w:val="002453"/>
        </w:rPr>
      </w:pPr>
      <w:r>
        <w:rPr>
          <w:rFonts w:ascii="Arial" w:cs="Arial" w:eastAsia="Arial" w:hAnsi="Arial"/>
          <w:sz w:val="18"/>
          <w:szCs w:val="18"/>
          <w:color w:val="auto"/>
        </w:rPr>
        <w:t>an annual cash retainer of $20,000 for members of the Audit Committee, $15,000 for members of the Compensation Committee, $15,000 for members of the Nominating and Corporate Governance Committee, and $15,000 for members of the Risk Committee.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compensation earned by our directors during the year ended December 31, 2024.</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14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002453"/>
              </w:rPr>
              <w:t>Fees Earned or</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002453"/>
              </w:rPr>
              <w:t>Equity</w:t>
            </w:r>
          </w:p>
        </w:tc>
        <w:tc>
          <w:tcPr>
            <w:tcW w:w="44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002453"/>
              </w:rPr>
              <w:t>All Other</w:t>
            </w: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453"/>
              </w:rPr>
              <w:t xml:space="preserve">Total ($) </w:t>
            </w:r>
            <w:r>
              <w:rPr>
                <w:rFonts w:ascii="Arial" w:cs="Arial" w:eastAsia="Arial" w:hAnsi="Arial"/>
                <w:sz w:val="28"/>
                <w:szCs w:val="28"/>
                <w:b w:val="1"/>
                <w:bCs w:val="1"/>
                <w:color w:val="002453"/>
                <w:vertAlign w:val="subscript"/>
              </w:rPr>
              <w:t>​</w:t>
            </w:r>
          </w:p>
        </w:tc>
        <w:tc>
          <w:tcPr>
            <w:tcW w:w="0" w:type="dxa"/>
            <w:vAlign w:val="bottom"/>
          </w:tcPr>
          <w:p>
            <w:pPr>
              <w:spacing w:after="0"/>
              <w:rPr>
                <w:sz w:val="1"/>
                <w:szCs w:val="1"/>
                <w:color w:val="auto"/>
              </w:rPr>
            </w:pPr>
          </w:p>
        </w:tc>
      </w:tr>
      <w:tr>
        <w:trPr>
          <w:trHeight w:val="198"/>
        </w:trPr>
        <w:tc>
          <w:tcPr>
            <w:tcW w:w="2920" w:type="dxa"/>
            <w:vAlign w:val="bottom"/>
            <w:vMerge w:val="continue"/>
          </w:tcPr>
          <w:p>
            <w:pPr>
              <w:spacing w:after="0"/>
              <w:rPr>
                <w:sz w:val="17"/>
                <w:szCs w:val="17"/>
                <w:color w:val="auto"/>
              </w:rPr>
            </w:pPr>
          </w:p>
        </w:tc>
        <w:tc>
          <w:tcPr>
            <w:tcW w:w="5660" w:type="dxa"/>
            <w:vAlign w:val="bottom"/>
            <w:gridSpan w:val="9"/>
          </w:tcPr>
          <w:p>
            <w:pPr>
              <w:ind w:left="1260"/>
              <w:spacing w:after="0" w:line="199" w:lineRule="exact"/>
              <w:rPr>
                <w:sz w:val="20"/>
                <w:szCs w:val="20"/>
                <w:color w:val="auto"/>
              </w:rPr>
            </w:pP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Paid in Cash ($)(1) </w:t>
            </w: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Award(s)(2)(3) </w:t>
            </w:r>
            <w:r>
              <w:rPr>
                <w:rFonts w:ascii="Arial" w:cs="Arial" w:eastAsia="Arial" w:hAnsi="Arial"/>
                <w:sz w:val="22"/>
                <w:szCs w:val="22"/>
                <w:b w:val="1"/>
                <w:bCs w:val="1"/>
                <w:color w:val="002453"/>
                <w:vertAlign w:val="subscript"/>
              </w:rPr>
              <w:t>​ ​</w:t>
            </w:r>
            <w:r>
              <w:rPr>
                <w:rFonts w:ascii="Arial" w:cs="Arial" w:eastAsia="Arial" w:hAnsi="Arial"/>
                <w:sz w:val="12"/>
                <w:szCs w:val="12"/>
                <w:b w:val="1"/>
                <w:bCs w:val="1"/>
                <w:color w:val="002453"/>
              </w:rPr>
              <w:t xml:space="preserve"> Compensation ($) </w:t>
            </w:r>
            <w:r>
              <w:rPr>
                <w:rFonts w:ascii="Arial" w:cs="Arial" w:eastAsia="Arial" w:hAnsi="Arial"/>
                <w:sz w:val="22"/>
                <w:szCs w:val="22"/>
                <w:b w:val="1"/>
                <w:bCs w:val="1"/>
                <w:color w:val="002453"/>
                <w:vertAlign w:val="subscript"/>
              </w:rPr>
              <w:t>​ ​</w:t>
            </w: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Douglas A. Cifu</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00C08A"/>
              <w:bottom w:val="single" w:sz="8" w:color="00C08A"/>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460" w:type="dxa"/>
            <w:vAlign w:val="bottom"/>
            <w:tcBorders>
              <w:top w:val="single" w:sz="8" w:color="00C08A"/>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00" w:type="dxa"/>
            <w:vAlign w:val="bottom"/>
            <w:tcBorders>
              <w:top w:val="single" w:sz="8" w:color="00C08A"/>
              <w:bottom w:val="single" w:sz="8" w:color="00C08A"/>
            </w:tcBorders>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William F. Cruger, Jr</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​155,000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​305,000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Virginia Gambale</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​130,000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​280,000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Joseph J. Grano, Jr.</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Joanne M. Minieri</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John D. Nixon</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​185,000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​335,000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0"/>
                <w:szCs w:val="20"/>
                <w:color w:val="auto"/>
              </w:rPr>
            </w:pPr>
            <w:r>
              <w:rPr>
                <w:rFonts w:ascii="Arial" w:cs="Arial" w:eastAsia="Arial" w:hAnsi="Arial"/>
                <w:sz w:val="18"/>
                <w:szCs w:val="18"/>
                <w:color w:val="auto"/>
              </w:rPr>
              <w:t>David Urban</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​130,000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​280,000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92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Michael T. Viola</w:t>
            </w:r>
          </w:p>
        </w:tc>
        <w:tc>
          <w:tcPr>
            <w:tcW w:w="1480" w:type="dxa"/>
            <w:vAlign w:val="bottom"/>
            <w:tcBorders>
              <w:top w:val="single" w:sz="8" w:color="00C08A"/>
              <w:bottom w:val="single" w:sz="8" w:color="00C08A"/>
            </w:tcBorders>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00C08A"/>
              <w:bottom w:val="single" w:sz="8" w:color="00C08A"/>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​295,000</w:t>
            </w:r>
          </w:p>
        </w:tc>
        <w:tc>
          <w:tcPr>
            <w:tcW w:w="360" w:type="dxa"/>
            <w:vAlign w:val="bottom"/>
            <w:tcBorders>
              <w:top w:val="single" w:sz="8" w:color="00C08A"/>
              <w:bottom w:val="single" w:sz="8" w:color="00C08A"/>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08A"/>
              <w:bottom w:val="single" w:sz="8" w:color="00C08A"/>
            </w:tcBorders>
            <w:shd w:val="clear" w:color="auto" w:fill="CCEEFF"/>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60" w:type="dxa"/>
            <w:vAlign w:val="bottom"/>
            <w:tcBorders>
              <w:top w:val="single" w:sz="8" w:color="00C08A"/>
              <w:bottom w:val="single" w:sz="8" w:color="00C08A"/>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​445,000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0"/>
                <w:szCs w:val="20"/>
                <w:color w:val="auto"/>
              </w:rPr>
            </w:pPr>
            <w:r>
              <w:rPr>
                <w:rFonts w:ascii="Arial" w:cs="Arial" w:eastAsia="Arial" w:hAnsi="Arial"/>
                <w:sz w:val="18"/>
                <w:szCs w:val="18"/>
                <w:color w:val="auto"/>
              </w:rPr>
              <w:t>Vincent Viola(4)</w:t>
            </w:r>
          </w:p>
        </w:tc>
        <w:tc>
          <w:tcPr>
            <w:tcW w:w="1480" w:type="dxa"/>
            <w:vAlign w:val="bottom"/>
          </w:tcPr>
          <w:p>
            <w:pPr>
              <w:ind w:left="1260"/>
              <w:spacing w:after="0"/>
              <w:rPr>
                <w:sz w:val="20"/>
                <w:szCs w:val="20"/>
                <w:color w:val="auto"/>
              </w:rPr>
            </w:pPr>
            <w:r>
              <w:rPr>
                <w:rFonts w:ascii="Arial" w:cs="Arial" w:eastAsia="Arial" w:hAnsi="Arial"/>
                <w:sz w:val="18"/>
                <w:szCs w:val="18"/>
                <w:color w:val="auto"/>
              </w:rPr>
              <w:t>​ ​</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 ​</w:t>
            </w:r>
          </w:p>
        </w:tc>
        <w:tc>
          <w:tcPr>
            <w:tcW w:w="920" w:type="dxa"/>
            <w:vAlign w:val="bottom"/>
          </w:tcPr>
          <w:p>
            <w:pPr>
              <w:ind w:left="3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460" w:type="dxa"/>
            <w:vAlign w:val="bottom"/>
          </w:tcPr>
          <w:p>
            <w:pPr>
              <w:ind w:left="1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6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shd w:val="clear" w:color="auto" w:fill="00C08A"/>
          </w:tcPr>
          <w:p>
            <w:pPr>
              <w:spacing w:after="0" w:line="20" w:lineRule="exact"/>
              <w:rPr>
                <w:sz w:val="1"/>
                <w:szCs w:val="1"/>
                <w:color w:val="auto"/>
              </w:rPr>
            </w:pPr>
          </w:p>
        </w:tc>
        <w:tc>
          <w:tcPr>
            <w:tcW w:w="1480" w:type="dxa"/>
            <w:vAlign w:val="bottom"/>
            <w:shd w:val="clear" w:color="auto" w:fill="00C08A"/>
          </w:tcPr>
          <w:p>
            <w:pPr>
              <w:spacing w:after="0" w:line="20" w:lineRule="exact"/>
              <w:rPr>
                <w:sz w:val="1"/>
                <w:szCs w:val="1"/>
                <w:color w:val="auto"/>
              </w:rPr>
            </w:pPr>
          </w:p>
        </w:tc>
        <w:tc>
          <w:tcPr>
            <w:tcW w:w="520" w:type="dxa"/>
            <w:vAlign w:val="bottom"/>
            <w:shd w:val="clear" w:color="auto" w:fill="00C08A"/>
          </w:tcPr>
          <w:p>
            <w:pPr>
              <w:spacing w:after="0" w:line="20" w:lineRule="exact"/>
              <w:rPr>
                <w:sz w:val="1"/>
                <w:szCs w:val="1"/>
                <w:color w:val="auto"/>
              </w:rPr>
            </w:pPr>
          </w:p>
        </w:tc>
        <w:tc>
          <w:tcPr>
            <w:tcW w:w="640" w:type="dxa"/>
            <w:vAlign w:val="bottom"/>
            <w:shd w:val="clear" w:color="auto" w:fill="00C08A"/>
          </w:tcPr>
          <w:p>
            <w:pPr>
              <w:spacing w:after="0" w:line="20" w:lineRule="exact"/>
              <w:rPr>
                <w:sz w:val="1"/>
                <w:szCs w:val="1"/>
                <w:color w:val="auto"/>
              </w:rPr>
            </w:pPr>
          </w:p>
        </w:tc>
        <w:tc>
          <w:tcPr>
            <w:tcW w:w="360" w:type="dxa"/>
            <w:vAlign w:val="bottom"/>
            <w:shd w:val="clear" w:color="auto" w:fill="00C08A"/>
          </w:tcPr>
          <w:p>
            <w:pPr>
              <w:spacing w:after="0" w:line="20" w:lineRule="exact"/>
              <w:rPr>
                <w:sz w:val="1"/>
                <w:szCs w:val="1"/>
                <w:color w:val="auto"/>
              </w:rPr>
            </w:pPr>
          </w:p>
        </w:tc>
        <w:tc>
          <w:tcPr>
            <w:tcW w:w="160" w:type="dxa"/>
            <w:vAlign w:val="bottom"/>
            <w:shd w:val="clear" w:color="auto" w:fill="00C08A"/>
          </w:tcPr>
          <w:p>
            <w:pPr>
              <w:spacing w:after="0" w:line="20" w:lineRule="exact"/>
              <w:rPr>
                <w:sz w:val="1"/>
                <w:szCs w:val="1"/>
                <w:color w:val="auto"/>
              </w:rPr>
            </w:pPr>
          </w:p>
        </w:tc>
        <w:tc>
          <w:tcPr>
            <w:tcW w:w="680" w:type="dxa"/>
            <w:vAlign w:val="bottom"/>
            <w:shd w:val="clear" w:color="auto" w:fill="00C08A"/>
          </w:tcPr>
          <w:p>
            <w:pPr>
              <w:spacing w:after="0" w:line="20" w:lineRule="exact"/>
              <w:rPr>
                <w:sz w:val="1"/>
                <w:szCs w:val="1"/>
                <w:color w:val="auto"/>
              </w:rPr>
            </w:pPr>
          </w:p>
        </w:tc>
        <w:tc>
          <w:tcPr>
            <w:tcW w:w="440" w:type="dxa"/>
            <w:vAlign w:val="bottom"/>
            <w:shd w:val="clear" w:color="auto" w:fill="00C08A"/>
          </w:tcPr>
          <w:p>
            <w:pPr>
              <w:spacing w:after="0" w:line="20" w:lineRule="exact"/>
              <w:rPr>
                <w:sz w:val="1"/>
                <w:szCs w:val="1"/>
                <w:color w:val="auto"/>
              </w:rPr>
            </w:pPr>
          </w:p>
        </w:tc>
        <w:tc>
          <w:tcPr>
            <w:tcW w:w="920" w:type="dxa"/>
            <w:vAlign w:val="bottom"/>
            <w:shd w:val="clear" w:color="auto" w:fill="00C08A"/>
          </w:tcPr>
          <w:p>
            <w:pPr>
              <w:spacing w:after="0" w:line="20" w:lineRule="exact"/>
              <w:rPr>
                <w:sz w:val="1"/>
                <w:szCs w:val="1"/>
                <w:color w:val="auto"/>
              </w:rPr>
            </w:pPr>
          </w:p>
        </w:tc>
        <w:tc>
          <w:tcPr>
            <w:tcW w:w="460" w:type="dxa"/>
            <w:vAlign w:val="bottom"/>
            <w:shd w:val="clear" w:color="auto" w:fill="00C08A"/>
          </w:tcPr>
          <w:p>
            <w:pPr>
              <w:spacing w:after="0" w:line="20" w:lineRule="exact"/>
              <w:rPr>
                <w:sz w:val="1"/>
                <w:szCs w:val="1"/>
                <w:color w:val="auto"/>
              </w:rPr>
            </w:pPr>
          </w:p>
        </w:tc>
        <w:tc>
          <w:tcPr>
            <w:tcW w:w="600" w:type="dxa"/>
            <w:vAlign w:val="bottom"/>
            <w:shd w:val="clear" w:color="auto" w:fill="00C08A"/>
          </w:tcPr>
          <w:p>
            <w:pPr>
              <w:spacing w:after="0" w:line="20" w:lineRule="exact"/>
              <w:rPr>
                <w:sz w:val="1"/>
                <w:szCs w:val="1"/>
                <w:color w:val="auto"/>
              </w:rPr>
            </w:pPr>
          </w:p>
        </w:tc>
        <w:tc>
          <w:tcPr>
            <w:tcW w:w="60" w:type="dxa"/>
            <w:vAlign w:val="bottom"/>
            <w:tcBorders>
              <w:left w:val="single" w:sz="8" w:color="00C08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980" w:hanging="218"/>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fees allocable to fiscal year 2024.</w:t>
      </w:r>
    </w:p>
    <w:p>
      <w:pPr>
        <w:spacing w:after="0" w:line="136"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18 of the Company’s audited financial statements for the fiscal year ended December 31, 2024, included in our Annual Report on Form 10-K for the fiscal year ended December 31, 2024.</w:t>
      </w:r>
    </w:p>
    <w:p>
      <w:pPr>
        <w:spacing w:after="0" w:line="66" w:lineRule="exact"/>
        <w:rPr>
          <w:rFonts w:ascii="Arial" w:cs="Arial" w:eastAsia="Arial" w:hAnsi="Arial"/>
          <w:sz w:val="14"/>
          <w:szCs w:val="14"/>
          <w:color w:val="auto"/>
        </w:rPr>
      </w:pPr>
    </w:p>
    <w:p>
      <w:pPr>
        <w:ind w:left="980" w:right="100" w:hanging="218"/>
        <w:spacing w:after="0" w:line="282" w:lineRule="auto"/>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December 31, 2024, Mmes. Gambale and Minieri, and Messrs. Cruger, Grano, Nixon, Quick, Urban, and Michael Viola each held 6,681 unvested restricted stock units of the Company. In addition, as of December 31, 2024, Vincent Viola held 693,750 stock options of the Company, all of which were vested and exercisable. For outstanding equity awards held by Mr. Cifu, please see “Outstanding Equity Awards at End of Fiscal Year 2024” above.</w:t>
      </w:r>
    </w:p>
    <w:p>
      <w:pPr>
        <w:spacing w:after="0" w:line="66" w:lineRule="exact"/>
        <w:rPr>
          <w:rFonts w:ascii="Arial" w:cs="Arial" w:eastAsia="Arial" w:hAnsi="Arial"/>
          <w:sz w:val="14"/>
          <w:szCs w:val="14"/>
          <w:color w:val="auto"/>
        </w:rPr>
      </w:pPr>
    </w:p>
    <w:p>
      <w:pPr>
        <w:ind w:left="980" w:hanging="218"/>
        <w:spacing w:after="0"/>
        <w:tabs>
          <w:tab w:leader="none" w:pos="9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Vincent Viola does not receive any compensation for serving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080"/>
        <w:spacing w:after="0" w:line="247" w:lineRule="auto"/>
        <w:rPr>
          <w:sz w:val="20"/>
          <w:szCs w:val="20"/>
          <w:color w:val="auto"/>
        </w:rPr>
      </w:pPr>
      <w:r>
        <w:rPr>
          <w:rFonts w:ascii="Arial" w:cs="Arial" w:eastAsia="Arial" w:hAnsi="Arial"/>
          <w:sz w:val="53"/>
          <w:szCs w:val="53"/>
          <w:color w:val="002453"/>
        </w:rPr>
        <w:t>Proposal 4: Ratification of Appointment of Independent Registered Public Accounting Firm</w:t>
      </w:r>
    </w:p>
    <w:p>
      <w:pPr>
        <w:spacing w:after="0" w:line="46"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2025. Stockholder ratification of the appointment of PricewaterhouseCoopers LLP is not required by law.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75" w:lineRule="exact"/>
        <w:rPr>
          <w:sz w:val="20"/>
          <w:szCs w:val="20"/>
          <w:color w:val="auto"/>
        </w:rPr>
      </w:pPr>
    </w:p>
    <w:p>
      <w:pPr>
        <w:ind w:left="760" w:right="3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ratification of the appointment of PricewaterhouseCoopers LLP. Abstentions have the same effect as a vote “against” the proposal, and broker non-votes are not expected as the proposal is a “routine”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287020</wp:posOffset>
            </wp:positionV>
            <wp:extent cx="5829300" cy="4800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The board of directors recommends that you vote FOR the ratification of PricewaterhouseCoopers LLP</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 w:type="dxa"/>
            <w:vAlign w:val="bottom"/>
            <w:vMerge w:val="restart"/>
          </w:tcPr>
          <w:p>
            <w:pPr>
              <w:spacing w:after="0"/>
              <w:rPr>
                <w:sz w:val="20"/>
                <w:szCs w:val="20"/>
                <w:color w:val="auto"/>
              </w:rPr>
            </w:pPr>
            <w:r>
              <w:rPr>
                <w:rFonts w:ascii="Arial" w:cs="Arial" w:eastAsia="Arial" w:hAnsi="Arial"/>
                <w:sz w:val="18"/>
                <w:szCs w:val="18"/>
                <w:b w:val="1"/>
                <w:bCs w:val="1"/>
                <w:color w:val="002453"/>
              </w:rPr>
              <w:t>​</w:t>
            </w: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453"/>
                <w:w w:val="99"/>
              </w:rPr>
              <w:t>as our independent auditor for the fiscal year ending December 31, 2025.</w:t>
            </w:r>
          </w:p>
        </w:tc>
        <w:tc>
          <w:tcPr>
            <w:tcW w:w="140" w:type="dxa"/>
            <w:vAlign w:val="bottom"/>
            <w:vMerge w:val="restart"/>
          </w:tcPr>
          <w:p>
            <w:pPr>
              <w:ind w:left="8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68"/>
        </w:trPr>
        <w:tc>
          <w:tcPr>
            <w:tcW w:w="8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3206750</wp:posOffset>
            </wp:positionV>
            <wp:extent cx="754380" cy="240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880"/>
        <w:spacing w:after="0" w:line="265" w:lineRule="auto"/>
        <w:rPr>
          <w:sz w:val="20"/>
          <w:szCs w:val="20"/>
          <w:color w:val="auto"/>
        </w:rPr>
      </w:pPr>
      <w:r>
        <w:rPr>
          <w:rFonts w:ascii="Arial" w:cs="Arial" w:eastAsia="Arial" w:hAnsi="Arial"/>
          <w:sz w:val="53"/>
          <w:szCs w:val="53"/>
          <w:color w:val="002453"/>
        </w:rPr>
        <w:t>Information Regarding Independent Registered Public Accounting Firm</w:t>
      </w:r>
    </w:p>
    <w:p>
      <w:pPr>
        <w:spacing w:after="0" w:line="1" w:lineRule="exact"/>
        <w:rPr>
          <w:sz w:val="20"/>
          <w:szCs w:val="20"/>
          <w:color w:val="auto"/>
        </w:rPr>
      </w:pPr>
    </w:p>
    <w:p>
      <w:pPr>
        <w:ind w:left="760" w:right="420"/>
        <w:spacing w:after="0" w:line="287" w:lineRule="auto"/>
        <w:rPr>
          <w:sz w:val="20"/>
          <w:szCs w:val="20"/>
          <w:color w:val="auto"/>
        </w:rPr>
      </w:pPr>
      <w:r>
        <w:rPr>
          <w:rFonts w:ascii="Arial" w:cs="Arial" w:eastAsia="Arial" w:hAnsi="Arial"/>
          <w:sz w:val="18"/>
          <w:szCs w:val="18"/>
          <w:color w:val="auto"/>
        </w:rPr>
        <w:t>PricewaterhouseCoopers LLP has served as the Company’s independent registered public accounting firm since 2018.</w:t>
      </w:r>
    </w:p>
    <w:p>
      <w:pPr>
        <w:spacing w:after="0" w:line="45" w:lineRule="exact"/>
        <w:rPr>
          <w:sz w:val="20"/>
          <w:szCs w:val="20"/>
          <w:color w:val="auto"/>
        </w:rPr>
      </w:pPr>
    </w:p>
    <w:p>
      <w:pPr>
        <w:ind w:left="760" w:right="100"/>
        <w:spacing w:after="0" w:line="268" w:lineRule="auto"/>
        <w:rPr>
          <w:sz w:val="20"/>
          <w:szCs w:val="20"/>
          <w:color w:val="auto"/>
        </w:rPr>
      </w:pPr>
      <w:r>
        <w:rPr>
          <w:rFonts w:ascii="Arial" w:cs="Arial" w:eastAsia="Arial" w:hAnsi="Arial"/>
          <w:sz w:val="18"/>
          <w:szCs w:val="18"/>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63" w:lineRule="exact"/>
        <w:rPr>
          <w:sz w:val="20"/>
          <w:szCs w:val="20"/>
          <w:color w:val="auto"/>
        </w:rPr>
      </w:pPr>
    </w:p>
    <w:p>
      <w:pPr>
        <w:ind w:left="760" w:right="3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80"/>
        <w:spacing w:after="0" w:line="268" w:lineRule="auto"/>
        <w:rPr>
          <w:sz w:val="20"/>
          <w:szCs w:val="20"/>
          <w:color w:val="auto"/>
        </w:rPr>
      </w:pPr>
      <w:r>
        <w:rPr>
          <w:rFonts w:ascii="Arial" w:cs="Arial" w:eastAsia="Arial" w:hAnsi="Arial"/>
          <w:sz w:val="18"/>
          <w:szCs w:val="18"/>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63" w:lineRule="exact"/>
        <w:rPr>
          <w:sz w:val="20"/>
          <w:szCs w:val="20"/>
          <w:color w:val="auto"/>
        </w:rPr>
      </w:pPr>
    </w:p>
    <w:p>
      <w:pPr>
        <w:ind w:left="760" w:right="140"/>
        <w:spacing w:after="0" w:line="257" w:lineRule="auto"/>
        <w:rPr>
          <w:sz w:val="20"/>
          <w:szCs w:val="20"/>
          <w:color w:val="auto"/>
        </w:rPr>
      </w:pPr>
      <w:r>
        <w:rPr>
          <w:rFonts w:ascii="Arial" w:cs="Arial" w:eastAsia="Arial" w:hAnsi="Arial"/>
          <w:sz w:val="18"/>
          <w:szCs w:val="18"/>
          <w:color w:val="auto"/>
        </w:rPr>
        <w:t>All of the audit related, tax and all other services provided by PricewaterhouseCoopers LLP to us during the past two fiscal years were approved by our Audit Committee, and none of such services were approved pursuant to the exception provided by Rule 2-01(c)(7)(i)(C) under Regulation S-X. All non-audit services provided during this period were reviewed with the Audit Committee, which in each case concluded that the provision of such services by PricewaterhouseCoopers LLP was compatible with the maintenance of that firm’s independence in the conduct of its auditing functions.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following table presents aggregate fees billed to us for services rendered by our current independent registered public accounting firm, PricewaterhouseCoopers LLP, for the fiscal years ended December 31, 2024, and December 31, 2023.</w:t>
      </w:r>
    </w:p>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416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3140" w:type="dxa"/>
            <w:vAlign w:val="bottom"/>
            <w:tcBorders>
              <w:bottom w:val="single" w:sz="8" w:color="00C08A"/>
            </w:tcBorders>
          </w:tcPr>
          <w:p>
            <w:pPr>
              <w:ind w:left="2780"/>
              <w:spacing w:after="0"/>
              <w:rPr>
                <w:sz w:val="20"/>
                <w:szCs w:val="20"/>
                <w:color w:val="auto"/>
              </w:rPr>
            </w:pPr>
            <w:r>
              <w:rPr>
                <w:rFonts w:ascii="Arial" w:cs="Arial" w:eastAsia="Arial" w:hAnsi="Arial"/>
                <w:sz w:val="14"/>
                <w:szCs w:val="14"/>
                <w:b w:val="1"/>
                <w:bCs w:val="1"/>
                <w:color w:val="002453"/>
              </w:rPr>
              <w:t>​ ​</w:t>
            </w:r>
          </w:p>
        </w:tc>
        <w:tc>
          <w:tcPr>
            <w:tcW w:w="500" w:type="dxa"/>
            <w:vAlign w:val="bottom"/>
            <w:tcBorders>
              <w:bottom w:val="single" w:sz="8" w:color="00C08A"/>
            </w:tcBorders>
          </w:tcPr>
          <w:p>
            <w:pPr>
              <w:jc w:val="right"/>
              <w:ind w:right="4"/>
              <w:spacing w:after="0"/>
              <w:rPr>
                <w:sz w:val="20"/>
                <w:szCs w:val="20"/>
                <w:color w:val="auto"/>
              </w:rPr>
            </w:pPr>
            <w:r>
              <w:rPr>
                <w:rFonts w:ascii="Arial" w:cs="Arial" w:eastAsia="Arial" w:hAnsi="Arial"/>
                <w:sz w:val="14"/>
                <w:szCs w:val="14"/>
                <w:b w:val="1"/>
                <w:bCs w:val="1"/>
                <w:color w:val="002453"/>
              </w:rPr>
              <w:t>2024</w:t>
            </w:r>
          </w:p>
        </w:tc>
        <w:tc>
          <w:tcPr>
            <w:tcW w:w="660" w:type="dxa"/>
            <w:vAlign w:val="bottom"/>
            <w:tcBorders>
              <w:bottom w:val="single" w:sz="8" w:color="00C08A"/>
            </w:tcBorders>
          </w:tcPr>
          <w:p>
            <w:pPr>
              <w:jc w:val="right"/>
              <w:ind w:right="144"/>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2023</w:t>
            </w:r>
          </w:p>
        </w:tc>
        <w:tc>
          <w:tcPr>
            <w:tcW w:w="240" w:type="dxa"/>
            <w:vAlign w:val="bottom"/>
            <w:tcBorders>
              <w:bottom w:val="single" w:sz="8" w:color="00C08A"/>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453"/>
              </w:rPr>
              <w:t>​</w:t>
            </w:r>
          </w:p>
        </w:tc>
      </w:tr>
      <w:tr>
        <w:trPr>
          <w:trHeight w:val="263"/>
        </w:trPr>
        <w:tc>
          <w:tcPr>
            <w:tcW w:w="416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020" w:type="dxa"/>
            <w:vAlign w:val="bottom"/>
            <w:tcBorders>
              <w:bottom w:val="single" w:sz="8" w:color="00C08A"/>
            </w:tcBorders>
            <w:gridSpan w:val="5"/>
            <w:shd w:val="clear" w:color="auto" w:fill="CCEEFF"/>
          </w:tcPr>
          <w:p>
            <w:pPr>
              <w:ind w:left="27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$7,238,500</w:t>
            </w:r>
            <w:r>
              <w:rPr>
                <w:rFonts w:ascii="Arial" w:cs="Arial" w:eastAsia="Arial" w:hAnsi="Arial"/>
                <w:sz w:val="30"/>
                <w:szCs w:val="30"/>
                <w:color w:val="auto"/>
                <w:vertAlign w:val="subscript"/>
              </w:rPr>
              <w:t>​​ ​​</w:t>
            </w:r>
            <w:r>
              <w:rPr>
                <w:rFonts w:ascii="Arial" w:cs="Arial" w:eastAsia="Arial" w:hAnsi="Arial"/>
                <w:sz w:val="16"/>
                <w:szCs w:val="16"/>
                <w:color w:val="auto"/>
              </w:rPr>
              <w:t>$6,928,526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ind w:left="27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60" w:type="dxa"/>
            <w:vAlign w:val="bottom"/>
            <w:gridSpan w:val="2"/>
          </w:tcPr>
          <w:p>
            <w:pPr>
              <w:jc w:val="right"/>
              <w:ind w:right="4"/>
              <w:spacing w:after="0" w:line="264" w:lineRule="exact"/>
              <w:rPr>
                <w:sz w:val="20"/>
                <w:szCs w:val="20"/>
                <w:color w:val="auto"/>
              </w:rPr>
            </w:pPr>
            <w:r>
              <w:rPr>
                <w:rFonts w:ascii="Arial" w:cs="Arial" w:eastAsia="Arial" w:hAnsi="Arial"/>
                <w:sz w:val="16"/>
                <w:szCs w:val="16"/>
                <w:color w:val="auto"/>
              </w:rPr>
              <w:t>120,403</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78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151,403</w:t>
            </w:r>
            <w:r>
              <w:rPr>
                <w:rFonts w:ascii="Arial" w:cs="Arial" w:eastAsia="Arial" w:hAnsi="Arial"/>
                <w:sz w:val="30"/>
                <w:szCs w:val="30"/>
                <w:color w:val="auto"/>
                <w:vertAlign w:val="subscript"/>
              </w:rPr>
              <w:t>​</w:t>
            </w:r>
          </w:p>
        </w:tc>
      </w:tr>
      <w:tr>
        <w:trPr>
          <w:trHeight w:val="264"/>
        </w:trPr>
        <w:tc>
          <w:tcPr>
            <w:tcW w:w="4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5020" w:type="dxa"/>
            <w:vAlign w:val="bottom"/>
            <w:tcBorders>
              <w:top w:val="single" w:sz="8" w:color="00C08A"/>
              <w:bottom w:val="single" w:sz="8" w:color="00C08A"/>
            </w:tcBorders>
            <w:gridSpan w:val="5"/>
            <w:shd w:val="clear" w:color="auto" w:fill="CCEEFF"/>
          </w:tcPr>
          <w:p>
            <w:pPr>
              <w:ind w:left="27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$2,232,182</w:t>
            </w:r>
            <w:r>
              <w:rPr>
                <w:rFonts w:ascii="Arial" w:cs="Arial" w:eastAsia="Arial" w:hAnsi="Arial"/>
                <w:sz w:val="30"/>
                <w:szCs w:val="30"/>
                <w:color w:val="auto"/>
                <w:vertAlign w:val="subscript"/>
              </w:rPr>
              <w:t>​​ ​​</w:t>
            </w:r>
            <w:r>
              <w:rPr>
                <w:rFonts w:ascii="Arial" w:cs="Arial" w:eastAsia="Arial" w:hAnsi="Arial"/>
                <w:sz w:val="16"/>
                <w:szCs w:val="16"/>
                <w:color w:val="auto"/>
              </w:rPr>
              <w:t>$ 2,119,541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ind w:left="27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500" w:type="dxa"/>
            <w:vAlign w:val="bottom"/>
          </w:tcPr>
          <w:p>
            <w:pPr>
              <w:spacing w:after="0"/>
              <w:rPr>
                <w:sz w:val="22"/>
                <w:szCs w:val="22"/>
                <w:color w:val="auto"/>
              </w:rPr>
            </w:pPr>
          </w:p>
        </w:tc>
        <w:tc>
          <w:tcPr>
            <w:tcW w:w="660" w:type="dxa"/>
            <w:vAlign w:val="bottom"/>
          </w:tcPr>
          <w:p>
            <w:pPr>
              <w:jc w:val="right"/>
              <w:ind w:right="4"/>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3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r>
      <w:tr>
        <w:trPr>
          <w:trHeight w:val="264"/>
        </w:trPr>
        <w:tc>
          <w:tcPr>
            <w:tcW w:w="41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20" w:type="dxa"/>
            <w:vAlign w:val="bottom"/>
            <w:tcBorders>
              <w:top w:val="single" w:sz="8" w:color="00C08A"/>
              <w:bottom w:val="single" w:sz="8" w:color="00C08A"/>
            </w:tcBorders>
            <w:gridSpan w:val="5"/>
            <w:shd w:val="clear" w:color="auto" w:fill="CCEEFF"/>
          </w:tcPr>
          <w:p>
            <w:pPr>
              <w:ind w:left="27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$9,591,085</w:t>
            </w:r>
            <w:r>
              <w:rPr>
                <w:rFonts w:ascii="Arial" w:cs="Arial" w:eastAsia="Arial" w:hAnsi="Arial"/>
                <w:sz w:val="30"/>
                <w:szCs w:val="30"/>
                <w:color w:val="auto"/>
                <w:vertAlign w:val="subscript"/>
              </w:rPr>
              <w:t>​​ ​​</w:t>
            </w:r>
            <w:r>
              <w:rPr>
                <w:rFonts w:ascii="Arial" w:cs="Arial" w:eastAsia="Arial" w:hAnsi="Arial"/>
                <w:sz w:val="16"/>
                <w:szCs w:val="16"/>
                <w:color w:val="auto"/>
              </w:rPr>
              <w:t>$9,199,470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80"/>
        <w:spacing w:after="0" w:line="259" w:lineRule="auto"/>
        <w:rPr>
          <w:sz w:val="20"/>
          <w:szCs w:val="20"/>
          <w:color w:val="auto"/>
        </w:rPr>
      </w:pPr>
      <w:r>
        <w:rPr>
          <w:rFonts w:ascii="Arial" w:cs="Arial" w:eastAsia="Arial" w:hAnsi="Arial"/>
          <w:sz w:val="18"/>
          <w:szCs w:val="18"/>
          <w:color w:val="auto"/>
        </w:rPr>
        <w:t>This category includes the aggregate fees during 2024 and 2023 for audit services provided by our independent registered public accounting firm for the fiscal years ending December 31, 2024 and December 31, 2023,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00"/>
        <w:spacing w:after="0" w:line="287" w:lineRule="auto"/>
        <w:rPr>
          <w:sz w:val="20"/>
          <w:szCs w:val="20"/>
          <w:color w:val="auto"/>
        </w:rPr>
      </w:pPr>
      <w:r>
        <w:rPr>
          <w:rFonts w:ascii="Arial" w:cs="Arial" w:eastAsia="Arial" w:hAnsi="Arial"/>
          <w:sz w:val="18"/>
          <w:szCs w:val="18"/>
          <w:color w:val="auto"/>
        </w:rPr>
        <w:t>This category includes the aggregate fees during 2024 and 2023 for services related to the performance of the audits and reviews described in the preceding paragraph that are not included in the Audit Fees category.</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INFORMATION REGARDING INDEPENDENT REGISTERED PUBLIC ACCOUNTING FIRM</w:t>
      </w:r>
    </w:p>
    <w:p>
      <w:pPr>
        <w:spacing w:after="0" w:line="225"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color w:val="auto"/>
        </w:rPr>
        <w:t>This category also includes fees associated with (i) accounting consultations and due diligence related to certain transactions, (ii) services rendered in connection with our registration statements and securities offerings, (iii) reports on controls of a service organization, (iv) reports on internal controls with respect to client assets, and (v) subscriptions to technical accounting resources.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80"/>
        <w:spacing w:after="0" w:line="318" w:lineRule="auto"/>
        <w:rPr>
          <w:sz w:val="20"/>
          <w:szCs w:val="20"/>
          <w:color w:val="auto"/>
        </w:rPr>
      </w:pPr>
      <w:r>
        <w:rPr>
          <w:rFonts w:ascii="Arial" w:cs="Arial" w:eastAsia="Arial" w:hAnsi="Arial"/>
          <w:sz w:val="17"/>
          <w:szCs w:val="17"/>
          <w:color w:val="auto"/>
        </w:rPr>
        <w:t>This category includes the aggregate fees during 2024 and 2023 for professional tax services provided by the independent registered public accounting firm or its affiliates, including for tax compliance and tax advice.</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other fees during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5761355</wp:posOffset>
            </wp:positionV>
            <wp:extent cx="75438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Audit Committee Report</w:t>
      </w:r>
    </w:p>
    <w:p>
      <w:pPr>
        <w:spacing w:after="0" w:line="146" w:lineRule="exact"/>
        <w:rPr>
          <w:sz w:val="20"/>
          <w:szCs w:val="20"/>
          <w:color w:val="auto"/>
        </w:rPr>
      </w:pPr>
    </w:p>
    <w:p>
      <w:pPr>
        <w:ind w:left="760" w:right="220"/>
        <w:spacing w:after="0" w:line="257" w:lineRule="auto"/>
        <w:rPr>
          <w:sz w:val="20"/>
          <w:szCs w:val="20"/>
          <w:color w:val="auto"/>
        </w:rPr>
      </w:pPr>
      <w:r>
        <w:rPr>
          <w:rFonts w:ascii="Arial" w:cs="Arial" w:eastAsia="Arial" w:hAnsi="Arial"/>
          <w:sz w:val="18"/>
          <w:szCs w:val="18"/>
          <w:i w:val="1"/>
          <w:iCs w:val="1"/>
          <w:color w:val="auto"/>
        </w:rPr>
        <w:t>The following is the report of the Audit Committee of Virtu Financial, Inc. (the “</w:t>
      </w:r>
      <w:r>
        <w:rPr>
          <w:rFonts w:ascii="Arial" w:cs="Arial" w:eastAsia="Arial" w:hAnsi="Arial"/>
          <w:sz w:val="18"/>
          <w:szCs w:val="18"/>
          <w:b w:val="1"/>
          <w:bCs w:val="1"/>
          <w:color w:val="auto"/>
        </w:rPr>
        <w:t>Company</w:t>
      </w:r>
      <w:r>
        <w:rPr>
          <w:rFonts w:ascii="Arial" w:cs="Arial" w:eastAsia="Arial" w:hAnsi="Arial"/>
          <w:sz w:val="18"/>
          <w:szCs w:val="18"/>
          <w:i w:val="1"/>
          <w:iCs w:val="1"/>
          <w:color w:val="auto"/>
        </w:rPr>
        <w:t>”) with respect to our audited financial statements for the year ended December 31, 2024. The information contained in this report shall not be deemed “soliciting material” or otherwise considered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i w:val="1"/>
          <w:iCs w:val="1"/>
          <w:color w:val="auto"/>
        </w:rPr>
        <w:t>”), and such information shall not be incorporated by reference into any future filing under the Securities Exchange Act of 1934, as amended, except to the extent that we specifically incorporate such information by reference in such filing.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hereby reports as follows:</w:t>
      </w:r>
    </w:p>
    <w:p>
      <w:pPr>
        <w:spacing w:after="0" w:line="117" w:lineRule="exact"/>
        <w:rPr>
          <w:sz w:val="20"/>
          <w:szCs w:val="20"/>
          <w:color w:val="auto"/>
        </w:rPr>
      </w:pPr>
    </w:p>
    <w:p>
      <w:pPr>
        <w:jc w:val="both"/>
        <w:ind w:left="980" w:right="120" w:hanging="2"/>
        <w:spacing w:after="0" w:line="268"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62" w:lineRule="exact"/>
        <w:rPr>
          <w:rFonts w:ascii="Arial" w:cs="Arial" w:eastAsia="Arial" w:hAnsi="Arial"/>
          <w:sz w:val="18"/>
          <w:szCs w:val="18"/>
          <w:color w:val="auto"/>
        </w:rPr>
      </w:pPr>
    </w:p>
    <w:p>
      <w:pPr>
        <w:ind w:left="980" w:right="100" w:hanging="2"/>
        <w:spacing w:after="0" w:line="262"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68" w:lineRule="exact"/>
        <w:rPr>
          <w:sz w:val="20"/>
          <w:szCs w:val="20"/>
          <w:color w:val="auto"/>
        </w:rPr>
      </w:pPr>
    </w:p>
    <w:p>
      <w:pPr>
        <w:ind w:left="980" w:right="360"/>
        <w:spacing w:after="0" w:line="257" w:lineRule="auto"/>
        <w:rPr>
          <w:sz w:val="20"/>
          <w:szCs w:val="20"/>
          <w:color w:val="auto"/>
        </w:rPr>
      </w:pPr>
      <w:r>
        <w:rPr>
          <w:rFonts w:ascii="Arial" w:cs="Arial" w:eastAsia="Arial" w:hAnsi="Arial"/>
          <w:sz w:val="18"/>
          <w:szCs w:val="18"/>
          <w:color w:val="auto"/>
        </w:rPr>
        <w:t>3.The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74" w:lineRule="exact"/>
        <w:rPr>
          <w:sz w:val="20"/>
          <w:szCs w:val="20"/>
          <w:color w:val="auto"/>
        </w:rPr>
      </w:pPr>
    </w:p>
    <w:p>
      <w:pPr>
        <w:ind w:left="980" w:right="80" w:hanging="2"/>
        <w:spacing w:after="0" w:line="287" w:lineRule="auto"/>
        <w:tabs>
          <w:tab w:leader="none" w:pos="1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 Committee has an established charter outlining the practices it follows. The charter is available on the Company’s website at: http://ir.virtu.com/corporate-governance.com.</w:t>
      </w:r>
    </w:p>
    <w:p>
      <w:pPr>
        <w:spacing w:after="0" w:line="44" w:lineRule="exact"/>
        <w:rPr>
          <w:rFonts w:ascii="Arial" w:cs="Arial" w:eastAsia="Arial" w:hAnsi="Arial"/>
          <w:sz w:val="18"/>
          <w:szCs w:val="18"/>
          <w:color w:val="auto"/>
        </w:rPr>
      </w:pPr>
    </w:p>
    <w:p>
      <w:pPr>
        <w:ind w:left="980" w:right="380" w:hanging="2"/>
        <w:spacing w:after="0" w:line="262" w:lineRule="auto"/>
        <w:tabs>
          <w:tab w:leader="none" w:pos="1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Company’s board of directors, and the board has approved, that the audited financial statements be included in the Company’s Annual Report on Form 10-K for the fiscal year ended December 31, 2024, for filing with the SEC.</w:t>
      </w:r>
    </w:p>
    <w:p>
      <w:pPr>
        <w:spacing w:after="0" w:line="286"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William F. Cruger, Jr.</w:t>
      </w:r>
    </w:p>
    <w:p>
      <w:pPr>
        <w:spacing w:after="0" w:line="25"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Joanne M. Minieri</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John D. Nixon.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240"/>
        <w:spacing w:after="0" w:line="233" w:lineRule="auto"/>
        <w:rPr>
          <w:sz w:val="20"/>
          <w:szCs w:val="20"/>
          <w:color w:val="auto"/>
        </w:rPr>
      </w:pPr>
      <w:r>
        <w:rPr>
          <w:rFonts w:ascii="Arial" w:cs="Arial" w:eastAsia="Arial" w:hAnsi="Arial"/>
          <w:sz w:val="54"/>
          <w:szCs w:val="54"/>
          <w:color w:val="002453"/>
        </w:rPr>
        <w:t>Proposal 5: Approval of the Virtu Financial, Inc. Second Amended and Restated 2015 Management Incentive Plan</w:t>
      </w:r>
    </w:p>
    <w:p>
      <w:pPr>
        <w:spacing w:after="0" w:line="56" w:lineRule="exact"/>
        <w:rPr>
          <w:sz w:val="20"/>
          <w:szCs w:val="20"/>
          <w:color w:val="auto"/>
        </w:rPr>
      </w:pPr>
    </w:p>
    <w:p>
      <w:pPr>
        <w:ind w:left="760" w:right="360"/>
        <w:spacing w:after="0" w:line="253" w:lineRule="auto"/>
        <w:rPr>
          <w:sz w:val="20"/>
          <w:szCs w:val="20"/>
          <w:color w:val="auto"/>
        </w:rPr>
      </w:pPr>
      <w:r>
        <w:rPr>
          <w:rFonts w:ascii="Arial" w:cs="Arial" w:eastAsia="Arial" w:hAnsi="Arial"/>
          <w:sz w:val="18"/>
          <w:szCs w:val="18"/>
          <w:color w:val="auto"/>
        </w:rPr>
        <w:t>We are seeking the approval by our stockholders of an amendment (the “Amendment”) to the Amended and Restated 2015 Management Incentive Plan (the “Amended Plan”), and when referred to herein as proposed to be amended and restated, the Second Amended Plan.</w:t>
      </w:r>
    </w:p>
    <w:p>
      <w:pPr>
        <w:spacing w:after="0" w:line="74"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Prior to our Annual Meeting, our board of directors adopted, subject to shareholder approval, the Second Amended Plan. A copy of the Second Amended Plan is attached to this proxy statement as Appendix A. The changes included in the Second Amended Plan would:</w:t>
      </w:r>
    </w:p>
    <w:p>
      <w:pPr>
        <w:spacing w:after="0" w:line="61" w:lineRule="exact"/>
        <w:rPr>
          <w:sz w:val="20"/>
          <w:szCs w:val="20"/>
          <w:color w:val="auto"/>
        </w:rPr>
      </w:pPr>
    </w:p>
    <w:p>
      <w:pPr>
        <w:ind w:left="1340" w:right="380" w:hanging="218"/>
        <w:spacing w:after="0" w:line="268" w:lineRule="auto"/>
        <w:tabs>
          <w:tab w:leader="none" w:pos="1340" w:val="left"/>
        </w:tabs>
        <w:numPr>
          <w:ilvl w:val="0"/>
          <w:numId w:val="35"/>
        </w:numPr>
        <w:rPr>
          <w:rFonts w:ascii="Arial" w:cs="Arial" w:eastAsia="Arial" w:hAnsi="Arial"/>
          <w:sz w:val="18"/>
          <w:szCs w:val="18"/>
          <w:color w:val="002453"/>
        </w:rPr>
      </w:pPr>
      <w:r>
        <w:rPr>
          <w:rFonts w:ascii="Arial" w:cs="Arial" w:eastAsia="Arial" w:hAnsi="Arial"/>
          <w:sz w:val="18"/>
          <w:szCs w:val="18"/>
          <w:b w:val="1"/>
          <w:bCs w:val="1"/>
          <w:color w:val="auto"/>
        </w:rPr>
        <w:t>Increase in Aggregate Share Limit</w:t>
      </w:r>
      <w:r>
        <w:rPr>
          <w:rFonts w:ascii="Arial" w:cs="Arial" w:eastAsia="Arial" w:hAnsi="Arial"/>
          <w:sz w:val="18"/>
          <w:szCs w:val="18"/>
          <w:color w:val="auto"/>
        </w:rPr>
        <w:t>. Increases the number of shares of the Company’s Class A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future issuance under the Second Amended Plan by 7,500,000 shares to a total of 33,500,000 shares.</w:t>
      </w:r>
    </w:p>
    <w:p>
      <w:pPr>
        <w:spacing w:after="0" w:line="49" w:lineRule="exact"/>
        <w:rPr>
          <w:rFonts w:ascii="Arial" w:cs="Arial" w:eastAsia="Arial" w:hAnsi="Arial"/>
          <w:sz w:val="18"/>
          <w:szCs w:val="18"/>
          <w:color w:val="002453"/>
        </w:rPr>
      </w:pPr>
    </w:p>
    <w:p>
      <w:pPr>
        <w:ind w:left="1340" w:hanging="218"/>
        <w:spacing w:after="0"/>
        <w:tabs>
          <w:tab w:leader="none" w:pos="1340" w:val="left"/>
        </w:tabs>
        <w:numPr>
          <w:ilvl w:val="0"/>
          <w:numId w:val="35"/>
        </w:numPr>
        <w:rPr>
          <w:rFonts w:ascii="Arial" w:cs="Arial" w:eastAsia="Arial" w:hAnsi="Arial"/>
          <w:sz w:val="18"/>
          <w:szCs w:val="18"/>
          <w:color w:val="002453"/>
        </w:rPr>
      </w:pPr>
      <w:r>
        <w:rPr>
          <w:rFonts w:ascii="Arial" w:cs="Arial" w:eastAsia="Arial" w:hAnsi="Arial"/>
          <w:sz w:val="18"/>
          <w:szCs w:val="18"/>
          <w:b w:val="1"/>
          <w:bCs w:val="1"/>
          <w:color w:val="auto"/>
        </w:rPr>
        <w:t>Extension of Expiration Date</w:t>
      </w:r>
      <w:r>
        <w:rPr>
          <w:rFonts w:ascii="Arial" w:cs="Arial" w:eastAsia="Arial" w:hAnsi="Arial"/>
          <w:sz w:val="18"/>
          <w:szCs w:val="18"/>
          <w:color w:val="auto"/>
        </w:rPr>
        <w:t>. Extends the expiration date from June 30, 2027 to June 2, 2035.</w:t>
      </w:r>
    </w:p>
    <w:p>
      <w:pPr>
        <w:spacing w:after="0" w:line="103" w:lineRule="exact"/>
        <w:rPr>
          <w:rFonts w:ascii="Arial" w:cs="Arial" w:eastAsia="Arial" w:hAnsi="Arial"/>
          <w:sz w:val="18"/>
          <w:szCs w:val="18"/>
          <w:color w:val="002453"/>
        </w:rPr>
      </w:pPr>
    </w:p>
    <w:p>
      <w:pPr>
        <w:ind w:left="1340" w:right="1040" w:hanging="218"/>
        <w:spacing w:after="0" w:line="287" w:lineRule="auto"/>
        <w:tabs>
          <w:tab w:leader="none" w:pos="1340" w:val="left"/>
        </w:tabs>
        <w:numPr>
          <w:ilvl w:val="0"/>
          <w:numId w:val="35"/>
        </w:numPr>
        <w:rPr>
          <w:rFonts w:ascii="Arial" w:cs="Arial" w:eastAsia="Arial" w:hAnsi="Arial"/>
          <w:sz w:val="18"/>
          <w:szCs w:val="18"/>
          <w:color w:val="002453"/>
        </w:rPr>
      </w:pPr>
      <w:r>
        <w:rPr>
          <w:rFonts w:ascii="Arial" w:cs="Arial" w:eastAsia="Arial" w:hAnsi="Arial"/>
          <w:sz w:val="18"/>
          <w:szCs w:val="18"/>
          <w:b w:val="1"/>
          <w:bCs w:val="1"/>
          <w:color w:val="auto"/>
        </w:rPr>
        <w:t>Removal of Certain Section 162(m) related Provisions</w:t>
      </w:r>
      <w:r>
        <w:rPr>
          <w:rFonts w:ascii="Arial" w:cs="Arial" w:eastAsia="Arial" w:hAnsi="Arial"/>
          <w:sz w:val="18"/>
          <w:szCs w:val="18"/>
          <w:color w:val="auto"/>
        </w:rPr>
        <w:t>. Removes certain provisions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that are no longer applicable.</w:t>
      </w:r>
    </w:p>
    <w:p>
      <w:pPr>
        <w:spacing w:after="0" w:line="45"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We expect the 7,500,000 additional shares to be sufficient funding under the Second Amended Plan for approximately three years, based upon the closing stock price of $37.03 on April 11, 2025. Our Board believes that equity compensation plays an important role in our compensation program, for retention purposes and to attract new employees by aligning the interests of the participants in our compensation programs with those of our stockholders, and therefore, it is essential for our Company to have a sufficient number of reserved shares available for issuance under our equity compensation plans, and without the additional shares, our Company would not be in a position to do so. These additional shares are necessary from a strategic and operational perspective in order to attract and retain the talent necessary for our business to be successful.</w:t>
      </w:r>
    </w:p>
    <w:p>
      <w:pPr>
        <w:spacing w:after="0" w:line="85" w:lineRule="exact"/>
        <w:rPr>
          <w:sz w:val="20"/>
          <w:szCs w:val="20"/>
          <w:color w:val="auto"/>
        </w:rPr>
      </w:pPr>
    </w:p>
    <w:p>
      <w:pPr>
        <w:ind w:left="760" w:right="240"/>
        <w:spacing w:after="0" w:line="244" w:lineRule="auto"/>
        <w:rPr>
          <w:sz w:val="20"/>
          <w:szCs w:val="20"/>
          <w:color w:val="auto"/>
        </w:rPr>
      </w:pPr>
      <w:r>
        <w:rPr>
          <w:rFonts w:ascii="Arial" w:cs="Arial" w:eastAsia="Arial" w:hAnsi="Arial"/>
          <w:sz w:val="18"/>
          <w:szCs w:val="18"/>
          <w:color w:val="auto"/>
        </w:rPr>
        <w:t>Our Board believes that the proposed increase will provide a sufficient number of available shares of our Class A common stock for future granting needs to help our Company achieve the purposes of the Second Amended Plan. Our Board reviewed our historical and prospective usage of equity to determine the number of shares we will most likely require for future compensation purposes for the next three years, subject to market conditions and Company performance. This review took into account shares remaining in the Amended Plan, potential shares that may become issuable in the future based on performance, including year-to-date accruals under our current programs, and the effect of new hires as our Company continues to grow. Our Board also considered our prospective equity usage relative to our peers.</w:t>
      </w:r>
    </w:p>
    <w:p>
      <w:pPr>
        <w:spacing w:after="0" w:line="72"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If the stockholders do not approve this Proposal 5, the Amendment will not become effective, the proposed additional shares will not become available for issuance under the Amended Plan, and the Amended Plan will continue as in effect prior to the Amendment, subject to previously authorized share limits.</w:t>
      </w:r>
    </w:p>
    <w:p>
      <w:pPr>
        <w:spacing w:after="0" w:line="65" w:lineRule="exact"/>
        <w:rPr>
          <w:sz w:val="20"/>
          <w:szCs w:val="20"/>
          <w:color w:val="auto"/>
        </w:rPr>
      </w:pPr>
    </w:p>
    <w:p>
      <w:pPr>
        <w:ind w:left="760" w:right="240"/>
        <w:spacing w:after="0" w:line="268" w:lineRule="auto"/>
        <w:rPr>
          <w:sz w:val="20"/>
          <w:szCs w:val="20"/>
          <w:color w:val="auto"/>
        </w:rPr>
      </w:pPr>
      <w:r>
        <w:rPr>
          <w:rFonts w:ascii="Arial" w:cs="Arial" w:eastAsia="Arial" w:hAnsi="Arial"/>
          <w:sz w:val="29"/>
          <w:szCs w:val="29"/>
          <w:b w:val="1"/>
          <w:bCs w:val="1"/>
          <w:color w:val="002453"/>
        </w:rPr>
        <w:t>Summary of Sound Governance Features of the Second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5" w:lineRule="exact"/>
        <w:rPr>
          <w:sz w:val="20"/>
          <w:szCs w:val="20"/>
          <w:color w:val="auto"/>
        </w:rPr>
      </w:pPr>
    </w:p>
    <w:p>
      <w:pPr>
        <w:jc w:val="both"/>
        <w:ind w:left="760" w:right="200"/>
        <w:spacing w:after="0" w:line="261" w:lineRule="auto"/>
        <w:rPr>
          <w:sz w:val="20"/>
          <w:szCs w:val="20"/>
          <w:color w:val="auto"/>
        </w:rPr>
      </w:pPr>
      <w:r>
        <w:rPr>
          <w:rFonts w:ascii="Arial" w:cs="Arial" w:eastAsia="Arial" w:hAnsi="Arial"/>
          <w:sz w:val="18"/>
          <w:szCs w:val="18"/>
          <w:color w:val="auto"/>
        </w:rPr>
        <w:t>The Board and the Compensation Committee believe the Second Amended Plan, as amended by the Amendment, contains several features that are consistent with the interests of our stockholders and sound corporate governance practices, including the following:</w:t>
      </w:r>
    </w:p>
    <w:p>
      <w:pPr>
        <w:spacing w:after="0" w:line="40" w:lineRule="exact"/>
        <w:rPr>
          <w:sz w:val="20"/>
          <w:szCs w:val="20"/>
          <w:color w:val="auto"/>
        </w:rPr>
      </w:pPr>
    </w:p>
    <w:p>
      <w:pPr>
        <w:ind w:left="1340" w:right="140" w:hanging="218"/>
        <w:spacing w:after="0" w:line="318" w:lineRule="auto"/>
        <w:tabs>
          <w:tab w:leader="none" w:pos="1340" w:val="left"/>
        </w:tabs>
        <w:numPr>
          <w:ilvl w:val="0"/>
          <w:numId w:val="36"/>
        </w:numPr>
        <w:rPr>
          <w:rFonts w:ascii="Arial" w:cs="Arial" w:eastAsia="Arial" w:hAnsi="Arial"/>
          <w:sz w:val="17"/>
          <w:szCs w:val="17"/>
          <w:color w:val="002453"/>
        </w:rPr>
      </w:pPr>
      <w:r>
        <w:rPr>
          <w:rFonts w:ascii="Arial" w:cs="Arial" w:eastAsia="Arial" w:hAnsi="Arial"/>
          <w:sz w:val="17"/>
          <w:szCs w:val="17"/>
          <w:b w:val="1"/>
          <w:bCs w:val="1"/>
          <w:i w:val="1"/>
          <w:iCs w:val="1"/>
          <w:color w:val="auto"/>
        </w:rPr>
        <w:t xml:space="preserve">No “evergreen” provision. </w:t>
      </w:r>
      <w:r>
        <w:rPr>
          <w:rFonts w:ascii="Arial" w:cs="Arial" w:eastAsia="Arial" w:hAnsi="Arial"/>
          <w:sz w:val="17"/>
          <w:szCs w:val="17"/>
          <w:color w:val="auto"/>
        </w:rPr>
        <w:t>The number of shares of our Class A common stock available for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Second Amended Plan is fixed and does not adjust based upon the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171450</wp:posOffset>
            </wp:positionV>
            <wp:extent cx="754380" cy="2311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38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1200" w:right="300" w:hanging="222"/>
        <w:spacing w:after="0" w:line="268" w:lineRule="auto"/>
        <w:tabs>
          <w:tab w:leader="none" w:pos="1200" w:val="left"/>
        </w:tabs>
        <w:numPr>
          <w:ilvl w:val="0"/>
          <w:numId w:val="37"/>
        </w:numPr>
        <w:rPr>
          <w:rFonts w:ascii="Arial" w:cs="Arial" w:eastAsia="Arial" w:hAnsi="Arial"/>
          <w:sz w:val="18"/>
          <w:szCs w:val="18"/>
          <w:color w:val="002453"/>
        </w:rPr>
      </w:pPr>
      <w:r>
        <w:rPr>
          <w:rFonts w:ascii="Arial" w:cs="Arial" w:eastAsia="Arial" w:hAnsi="Arial"/>
          <w:sz w:val="18"/>
          <w:szCs w:val="18"/>
          <w:b w:val="1"/>
          <w:bCs w:val="1"/>
          <w:i w:val="1"/>
          <w:iCs w:val="1"/>
          <w:color w:val="auto"/>
        </w:rPr>
        <w:t xml:space="preserve">Will not be excessively dilutive to our stockholders. </w:t>
      </w:r>
      <w:r>
        <w:rPr>
          <w:rFonts w:ascii="Arial" w:cs="Arial" w:eastAsia="Arial" w:hAnsi="Arial"/>
          <w:sz w:val="18"/>
          <w:szCs w:val="18"/>
          <w:color w:val="auto"/>
        </w:rPr>
        <w:t>Subject to adjustment, the maximum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our Class A common stock authorized and reserved for issuance under the Second Amended Plan will increase from 26,000,000 to 33,500,000.</w:t>
      </w:r>
    </w:p>
    <w:p>
      <w:pPr>
        <w:spacing w:after="0" w:line="62" w:lineRule="exact"/>
        <w:rPr>
          <w:rFonts w:ascii="Arial" w:cs="Arial" w:eastAsia="Arial" w:hAnsi="Arial"/>
          <w:sz w:val="18"/>
          <w:szCs w:val="18"/>
          <w:color w:val="002453"/>
        </w:rPr>
      </w:pPr>
    </w:p>
    <w:p>
      <w:pPr>
        <w:ind w:left="1200" w:right="60" w:hanging="222"/>
        <w:spacing w:after="0" w:line="262" w:lineRule="auto"/>
        <w:tabs>
          <w:tab w:leader="none" w:pos="1200" w:val="left"/>
        </w:tabs>
        <w:numPr>
          <w:ilvl w:val="0"/>
          <w:numId w:val="37"/>
        </w:numPr>
        <w:rPr>
          <w:rFonts w:ascii="Arial" w:cs="Arial" w:eastAsia="Arial" w:hAnsi="Arial"/>
          <w:sz w:val="18"/>
          <w:szCs w:val="18"/>
          <w:color w:val="002453"/>
        </w:rPr>
      </w:pPr>
      <w:r>
        <w:rPr>
          <w:rFonts w:ascii="Arial" w:cs="Arial" w:eastAsia="Arial" w:hAnsi="Arial"/>
          <w:sz w:val="18"/>
          <w:szCs w:val="18"/>
          <w:b w:val="1"/>
          <w:bCs w:val="1"/>
          <w:i w:val="1"/>
          <w:iCs w:val="1"/>
          <w:color w:val="auto"/>
        </w:rPr>
        <w:t xml:space="preserve">No liberal change in control definition. </w:t>
      </w:r>
      <w:r>
        <w:rPr>
          <w:rFonts w:ascii="Arial" w:cs="Arial" w:eastAsia="Arial" w:hAnsi="Arial"/>
          <w:sz w:val="18"/>
          <w:szCs w:val="18"/>
          <w:color w:val="auto"/>
        </w:rPr>
        <w:t>The change in control definition in the Second Amended Plan is not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“liberal” definition and, for example, would not be achieved merely upon stockholder approval of a transaction. A change in control (or the approval of a plan of complete dissolution or liquidation) must actually occur in order for the change in control provisions in the Second Amended Plan to be triggered.</w:t>
      </w:r>
    </w:p>
    <w:p>
      <w:pPr>
        <w:spacing w:after="0" w:line="68" w:lineRule="exact"/>
        <w:rPr>
          <w:rFonts w:ascii="Arial" w:cs="Arial" w:eastAsia="Arial" w:hAnsi="Arial"/>
          <w:sz w:val="18"/>
          <w:szCs w:val="18"/>
          <w:color w:val="002453"/>
        </w:rPr>
      </w:pPr>
    </w:p>
    <w:p>
      <w:pPr>
        <w:ind w:left="1200" w:right="980" w:hanging="222"/>
        <w:spacing w:after="0" w:line="287" w:lineRule="auto"/>
        <w:tabs>
          <w:tab w:leader="none" w:pos="1200" w:val="left"/>
        </w:tabs>
        <w:numPr>
          <w:ilvl w:val="0"/>
          <w:numId w:val="37"/>
        </w:numPr>
        <w:rPr>
          <w:rFonts w:ascii="Arial" w:cs="Arial" w:eastAsia="Arial" w:hAnsi="Arial"/>
          <w:sz w:val="18"/>
          <w:szCs w:val="18"/>
          <w:color w:val="002453"/>
        </w:rPr>
      </w:pPr>
      <w:r>
        <w:rPr>
          <w:rFonts w:ascii="Arial" w:cs="Arial" w:eastAsia="Arial" w:hAnsi="Arial"/>
          <w:sz w:val="18"/>
          <w:szCs w:val="18"/>
          <w:b w:val="1"/>
          <w:bCs w:val="1"/>
          <w:i w:val="1"/>
          <w:iCs w:val="1"/>
          <w:color w:val="auto"/>
        </w:rPr>
        <w:t xml:space="preserve">No repricing without stockholder approval. </w:t>
      </w:r>
      <w:r>
        <w:rPr>
          <w:rFonts w:ascii="Arial" w:cs="Arial" w:eastAsia="Arial" w:hAnsi="Arial"/>
          <w:sz w:val="18"/>
          <w:szCs w:val="18"/>
          <w:color w:val="auto"/>
        </w:rPr>
        <w:t>The Second Amended Plan prohibits the repricing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options or SARs (as defined below) without stockholder approval.</w:t>
      </w:r>
    </w:p>
    <w:p>
      <w:pPr>
        <w:spacing w:after="0" w:line="45" w:lineRule="exact"/>
        <w:rPr>
          <w:sz w:val="20"/>
          <w:szCs w:val="20"/>
          <w:color w:val="auto"/>
        </w:rPr>
      </w:pPr>
    </w:p>
    <w:p>
      <w:pPr>
        <w:ind w:left="760" w:right="120"/>
        <w:spacing w:after="0" w:line="262" w:lineRule="auto"/>
        <w:rPr>
          <w:sz w:val="20"/>
          <w:szCs w:val="20"/>
          <w:color w:val="auto"/>
        </w:rPr>
      </w:pPr>
      <w:r>
        <w:rPr>
          <w:rFonts w:ascii="Arial" w:cs="Arial" w:eastAsia="Arial" w:hAnsi="Arial"/>
          <w:sz w:val="18"/>
          <w:szCs w:val="18"/>
          <w:color w:val="auto"/>
        </w:rPr>
        <w:t>A copy of the Second Amended Plan is attached as Annex A to this Proxy Statement. Except for the change outlined above, there are no other changes to the terms and provisions of the Amended Plan. The Second Amended Plan was approved by our Board on April 22, 2025 and its adoption as the Second Amended Plan is subject to the approval of our stockholders at the Annual Meeting.</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Summary of the Second Amended Plan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b w:val="1"/>
          <w:bCs w:val="1"/>
          <w:color w:val="auto"/>
        </w:rPr>
        <w:t>The following is a summary of the material terms and conditions of the Second Amended Plan assuming that it is approved by stockholders at the Annual Meeting. Except for the foregoing, there are no other changes to the terms and provisions of the Amended Plan. This summary is qualified in its entirety by reference to the Second Amended Plan attached as Annex A to this proxy statement. You are encouraged to read the Second Amended Plan in its entirety.</w:t>
      </w:r>
    </w:p>
    <w:p>
      <w:pPr>
        <w:spacing w:after="0" w:line="58"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(or subcommittee thereof) will administer the Second Amended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have the authority to determine the terms and conditions of any agreements evidencing any awards granted under the Second Amended Plan and to adopt, alter and repeal rules, guidelines and practices relating to the Second Amended Plan. The Compensation Committee will have full discretion to administer and interpret the Second Amended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5" w:lineRule="exact"/>
        <w:rPr>
          <w:sz w:val="20"/>
          <w:szCs w:val="20"/>
          <w:color w:val="auto"/>
        </w:rPr>
      </w:pPr>
    </w:p>
    <w:p>
      <w:pPr>
        <w:ind w:left="760" w:right="200"/>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our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will be eligible for awards under the Second Amended Plan, subject to the Compensation Committee’s authority and administration over the Second Amended Plan and grants made thereunder. As of February 14, 2025, we had approximately 969 employees and officers eligible to participate in the Amended Plan, as well as 9 non-employee directors.</w:t>
      </w:r>
    </w:p>
    <w:p>
      <w:pPr>
        <w:spacing w:after="0" w:line="71" w:lineRule="exact"/>
        <w:rPr>
          <w:sz w:val="20"/>
          <w:szCs w:val="20"/>
          <w:color w:val="auto"/>
        </w:rPr>
      </w:pPr>
    </w:p>
    <w:p>
      <w:pPr>
        <w:ind w:left="760" w:right="120"/>
        <w:spacing w:after="0" w:line="268" w:lineRule="auto"/>
        <w:rPr>
          <w:sz w:val="20"/>
          <w:szCs w:val="20"/>
          <w:color w:val="auto"/>
        </w:rPr>
      </w:pPr>
      <w:r>
        <w:rPr>
          <w:rFonts w:ascii="Arial" w:cs="Arial" w:eastAsia="Arial" w:hAnsi="Arial"/>
          <w:sz w:val="17"/>
          <w:szCs w:val="17"/>
          <w:i w:val="1"/>
          <w:iCs w:val="1"/>
          <w:color w:val="auto"/>
        </w:rPr>
        <w:t xml:space="preserve">Number of Shares Authorized. </w:t>
      </w:r>
      <w:r>
        <w:rPr>
          <w:rFonts w:ascii="Arial" w:cs="Arial" w:eastAsia="Arial" w:hAnsi="Arial"/>
          <w:sz w:val="17"/>
          <w:szCs w:val="17"/>
          <w:color w:val="auto"/>
        </w:rPr>
        <w:t>The Second Amended Plan provides for an aggregate of 33,500,000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No more than 33,500,000 shares of our Class A common stock may be issued with respect to incentive stock options under the Second Amended Plan. The maximum amount (based on the grant-date fair market value) of awards that may be granted under the Second Amended Plan in any single fiscal year to any non-employee director is $300,000. This limitation on awards to non-employee directors does not apply in respect of restricted stock units issued to a non-employee director in lieu of payment of cash director compensation or board or committee fees, nor in respect of any one-time initial equity grant upon a non-employee director’s appointment to our board of directors. Shares of our Class A common stock will be deemed to have been used in settlement of awards whether or not they are actually delivered or the fair market value equivalent of such shares is paid in cash; provided that if any shares are surrendered or tendered to pay the exercise price of an award or to satisfy withholding taxes owed, such shares will again be available for grant under the Second Amended Plan; and provided further that in no event shall such shares increase the number of shares of our Class A common stock that may be delivered pursuant to incentive stock options granted under the Second Amended Plan. If any award granted or portion thereof under the Second Amended Plan expires, terminates, is canceled or forfeited without being settled or exercised, or if a stock appreciation right is settled in cash or otherwise without the participant having received any benefit from the award, the shares covered by such award or portion shall again become available for future grant.</w:t>
      </w:r>
    </w:p>
    <w:p>
      <w:pPr>
        <w:spacing w:after="0" w:line="72" w:lineRule="exact"/>
        <w:rPr>
          <w:sz w:val="20"/>
          <w:szCs w:val="20"/>
          <w:color w:val="auto"/>
        </w:rPr>
      </w:pPr>
    </w:p>
    <w:p>
      <w:pPr>
        <w:jc w:val="both"/>
        <w:ind w:left="760" w:right="360"/>
        <w:spacing w:after="0" w:line="318"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Company’s corporate capitalization in the event of a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cash dividend, recapitalization, stock split, reverse stock split, reorganization, merger, consolidation,</w:t>
      </w:r>
    </w:p>
    <w:p>
      <w:pPr>
        <w:spacing w:after="0" w:line="22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split-up, split-off, spin-off, combination, repurchase or exchange of shares of our Class A common stock or Class B common stock or other relevant change in capitalization or applicable law or circumstances, such that the Compensation Committee determines that an adjustment to the terms of the Second Amended Plan (or awards thereunder) is necessary or appropriate, then the Compensation Committee may make adjustments in a manner that it deems equitable. Such adjustments may be to the number of shares reserved for issuance under the Second Amended Plan, the number of shares covered by awards then outstanding under the Second Amended Plan, the limitations on awards under the Second Amended Plan, the exercise price of outstanding options and such other equitable substitution or adjustments as it may determine appropriate.</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w:t>
      </w:r>
    </w:p>
    <w:p>
      <w:pPr>
        <w:spacing w:after="0" w:line="27" w:lineRule="exact"/>
        <w:rPr>
          <w:sz w:val="20"/>
          <w:szCs w:val="20"/>
          <w:color w:val="auto"/>
        </w:rPr>
      </w:pPr>
    </w:p>
    <w:p>
      <w:pPr>
        <w:ind w:left="760" w:right="60"/>
        <w:spacing w:after="0" w:line="245" w:lineRule="auto"/>
        <w:rPr>
          <w:sz w:val="20"/>
          <w:szCs w:val="20"/>
          <w:color w:val="auto"/>
        </w:rPr>
      </w:pPr>
      <w:r>
        <w:rPr>
          <w:rFonts w:ascii="Arial" w:cs="Arial" w:eastAsia="Arial" w:hAnsi="Arial"/>
          <w:sz w:val="18"/>
          <w:szCs w:val="18"/>
          <w:color w:val="auto"/>
        </w:rPr>
        <w:t>options, incentive (qualified) stock options,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restricted stock awards, restricted stock units, other stock-based awards, performance compensation awards (including cash bonus awards), other cash-based awards or any combination of the foregoing. Awards may be granted under the Second Amended Plan in assumption of, or in substitution for, outstanding awards previously granted by an entity acquired by our Company or with which our Company combines (which are referred to herein as “</w:t>
      </w:r>
      <w:r>
        <w:rPr>
          <w:rFonts w:ascii="Arial" w:cs="Arial" w:eastAsia="Arial" w:hAnsi="Arial"/>
          <w:sz w:val="18"/>
          <w:szCs w:val="18"/>
          <w:b w:val="1"/>
          <w:bCs w:val="1"/>
          <w:color w:val="auto"/>
        </w:rPr>
        <w:t>Substitute Awards</w:t>
      </w:r>
      <w:r>
        <w:rPr>
          <w:rFonts w:ascii="Arial" w:cs="Arial" w:eastAsia="Arial" w:hAnsi="Arial"/>
          <w:sz w:val="18"/>
          <w:szCs w:val="18"/>
          <w:color w:val="auto"/>
        </w:rPr>
        <w:t>”).</w:t>
      </w:r>
    </w:p>
    <w:p>
      <w:pPr>
        <w:spacing w:after="0" w:line="60" w:lineRule="exact"/>
        <w:rPr>
          <w:sz w:val="20"/>
          <w:szCs w:val="20"/>
          <w:color w:val="auto"/>
        </w:rPr>
      </w:pPr>
    </w:p>
    <w:p>
      <w:pPr>
        <w:ind w:left="760" w:right="80"/>
        <w:spacing w:after="0" w:line="241"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Compensation Committee will be authorized to grant options to purchase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Second Amended Plan shall be non-qualified unless the applicable award agreement expressly states that the option is intended to be an “incentive stock option.” Options granted under the Second Amended Plan will be subject to the terms and conditions established by the Compensation Committee. Under the terms of the Second Amended Plan, the exercise price of the options will not be less than the fair market value of our Class A common stock at the time of grant (except with respect to Substitute Awards). Options granted under the Second Amended Plan will be subject to such terms, including the exercise price and the conditions and timing of exercise, as may be determined by the Compensation Committee and specified in the applicable award agreement. The maximum term of an option granted under the Second Amended Plan will be ten years from the date of grant (or five years in the case of a qualified option granted to a 10% shareholder), provided that, if the term of a non-qualified option would expire at a time when trading in the shares of our Class A common stock is prohibited by our Company’s insider trading policy, the option’s term shall be automatically extended until the 30th day following the expiration of such prohibition (as long as such extension shall not violate Section 409A of the Code). Payment in respect of the exercise of an option may be made in cash, by check, by cash equivalent and/or shares of our Class A common stock valued at the fair market value at the time the option is exercised (provided that such shares are not subject to any pledge or other security interest), or by such other method as the Compensation Committee may permit in its sole discretion, including: (i) in other property having a fair market value equal to the exercise price and all applicable required withholding taxes, (ii) if there is a public market for the shares of our Class A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Any fractional shares of Class A common stock will be settled in cash.</w:t>
      </w:r>
    </w:p>
    <w:p>
      <w:pPr>
        <w:spacing w:after="0" w:line="88"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will be authorized to award SARs under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SARs will be subject to the terms and conditions established by the Compensation Committee. A SAR is a contractual right that allows a participant to receive, either in the form of cash, shares or any combination of cash and shares, the appreciation, if any, in the value of a share over a certain period of time. An option granted under the Second Amended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for each SAR shall not be less than 100% of the fair market value of such share, determined as of the date of grant. The remaining terms of the SARs shall be established by the Compensation Committee and reflected in the award agreement.</w:t>
      </w:r>
    </w:p>
    <w:p>
      <w:pPr>
        <w:spacing w:after="0" w:line="84"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which will be subject to the terms and conditions established by the Compensation Committee. Restricted stock is Class A common stock that generally is non-transferable and is subject to other restrictions determined by the Compensation Committee for a specified period. Any accumulated dividends will be payable at the same time as the underlying restricted stock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201295</wp:posOffset>
            </wp:positionV>
            <wp:extent cx="754380" cy="2311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The Compensation Committee will be authorized to award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which will be subject to the terms and conditions established by the Compensation Committee. A restricted stock unit award, once vested, may be settled in common shares equal to the number of units earned, or in cash equal to the fair market value of the number of vested shares,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our Company of dividends on shares of our Class A common stock, either in cash or (at the sole discretion of the Compensation Committee) in shares of our Class A common stock having a fair market value equal to the amount of such dividends,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as the underlying restricted stock units are settled.</w:t>
      </w:r>
    </w:p>
    <w:p>
      <w:pPr>
        <w:spacing w:after="0" w:line="70"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will be authorized to grant awards of unrestricted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Class A common stock, rights to receive grants of awards at a future date, or other awards denominated in shares of our Class A common stock under such terms and conditions as the Compensation Committee may determine and as set forth in the applicable award agreement.</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Performance Compensation Awards. </w:t>
      </w:r>
      <w:r>
        <w:rPr>
          <w:rFonts w:ascii="Arial" w:cs="Arial" w:eastAsia="Arial" w:hAnsi="Arial"/>
          <w:sz w:val="18"/>
          <w:szCs w:val="18"/>
          <w:color w:val="auto"/>
        </w:rPr>
        <w:t>The Compensation Committee may grant any award under the Second</w:t>
      </w:r>
    </w:p>
    <w:p>
      <w:pPr>
        <w:spacing w:after="0" w:line="27" w:lineRule="exact"/>
        <w:rPr>
          <w:sz w:val="20"/>
          <w:szCs w:val="20"/>
          <w:color w:val="auto"/>
        </w:rPr>
      </w:pPr>
    </w:p>
    <w:p>
      <w:pPr>
        <w:ind w:left="760" w:right="180"/>
        <w:spacing w:after="0" w:line="255" w:lineRule="auto"/>
        <w:rPr>
          <w:sz w:val="20"/>
          <w:szCs w:val="20"/>
          <w:color w:val="auto"/>
        </w:rPr>
      </w:pPr>
      <w:r>
        <w:rPr>
          <w:rFonts w:ascii="Arial" w:cs="Arial" w:eastAsia="Arial" w:hAnsi="Arial"/>
          <w:sz w:val="18"/>
          <w:szCs w:val="18"/>
          <w:color w:val="auto"/>
        </w:rPr>
        <w:t>Amended Plan in the form of a “Performance Compensation Award” (including​ cash bonuses) by conditioning the number of shares earned or vested, or any payout, under the award on the satisfaction of certain “Performance Goals.” The Compensation Committee may establish these Performance Goals with reference to one or more of the following:</w:t>
      </w:r>
    </w:p>
    <w:p>
      <w:pPr>
        <w:spacing w:after="0" w:line="74" w:lineRule="exact"/>
        <w:rPr>
          <w:sz w:val="20"/>
          <w:szCs w:val="20"/>
          <w:color w:val="auto"/>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net earnings or net income (before or after taxes);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adjusted net trading income (daily or annual);</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basic or diluted earnings per share (before or after taxes);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net revenue or net revenue growth;</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gross revenue or gross revenue growth, gross profit or gross profit growth;</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net operating profit (before or after taxes);</w:t>
      </w:r>
    </w:p>
    <w:p>
      <w:pPr>
        <w:spacing w:after="0" w:line="117" w:lineRule="exact"/>
        <w:rPr>
          <w:rFonts w:ascii="Arial" w:cs="Arial" w:eastAsia="Arial" w:hAnsi="Arial"/>
          <w:sz w:val="18"/>
          <w:szCs w:val="18"/>
          <w:color w:val="002453"/>
        </w:rPr>
      </w:pPr>
    </w:p>
    <w:p>
      <w:pPr>
        <w:ind w:left="1340" w:right="340" w:hanging="218"/>
        <w:spacing w:after="0" w:line="287" w:lineRule="auto"/>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return measures (including, but not limited to, return on investment, assets, capital, gross revenue or gross revenue growth, invested capital, equity or sales);</w:t>
      </w:r>
    </w:p>
    <w:p>
      <w:pPr>
        <w:spacing w:after="0" w:line="44" w:lineRule="exact"/>
        <w:rPr>
          <w:rFonts w:ascii="Arial" w:cs="Arial" w:eastAsia="Arial" w:hAnsi="Arial"/>
          <w:sz w:val="18"/>
          <w:szCs w:val="18"/>
          <w:color w:val="002453"/>
        </w:rPr>
      </w:pPr>
    </w:p>
    <w:p>
      <w:pPr>
        <w:ind w:left="1340" w:right="200" w:hanging="218"/>
        <w:spacing w:after="0" w:line="287" w:lineRule="auto"/>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cash flow measures (including, but not limited to, operating cash flow, free cash flow and cash flow return on capital), which may but are not required to be measured on a per-share basis;</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earnings before or after taxes, interest, depreciation, and amortization (including EBIT and EBITDA);</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gross or net operating margins;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productivity ratios;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share price (including, but not limited to, growth measures and total shareholder return);</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expense targets or cost reduction goals, general and administrative expense savings;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operating efficiency;</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objective measures of customer satisfaction;</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working capital targets;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measures of economic value added or other “value creation” metrics;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enterprise value;</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stockholder return;</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8"/>
        </w:numPr>
        <w:rPr>
          <w:rFonts w:ascii="Arial" w:cs="Arial" w:eastAsia="Arial" w:hAnsi="Arial"/>
          <w:sz w:val="18"/>
          <w:szCs w:val="18"/>
          <w:color w:val="002453"/>
        </w:rPr>
      </w:pPr>
      <w:r>
        <w:rPr>
          <w:rFonts w:ascii="Arial" w:cs="Arial" w:eastAsia="Arial" w:hAnsi="Arial"/>
          <w:sz w:val="18"/>
          <w:szCs w:val="18"/>
          <w:color w:val="auto"/>
        </w:rPr>
        <w:t>client retention;</w:t>
      </w:r>
    </w:p>
    <w:p>
      <w:pPr>
        <w:spacing w:after="0" w:line="31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competitive market metrics;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employee retention;</w:t>
      </w:r>
    </w:p>
    <w:p>
      <w:pPr>
        <w:spacing w:after="0" w:line="117" w:lineRule="exact"/>
        <w:rPr>
          <w:rFonts w:ascii="Arial" w:cs="Arial" w:eastAsia="Arial" w:hAnsi="Arial"/>
          <w:sz w:val="18"/>
          <w:szCs w:val="18"/>
          <w:color w:val="002453"/>
        </w:rPr>
      </w:pPr>
    </w:p>
    <w:p>
      <w:pPr>
        <w:ind w:left="1340" w:right="100" w:hanging="218"/>
        <w:spacing w:after="0" w:line="262" w:lineRule="auto"/>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w:t>
      </w:r>
    </w:p>
    <w:p>
      <w:pPr>
        <w:spacing w:after="0" w:line="68"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system-wide revenues;</w:t>
      </w:r>
    </w:p>
    <w:p>
      <w:pPr>
        <w:spacing w:after="0" w:line="117"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cost of capital, debt leverage year-end cash position or book value;</w:t>
      </w:r>
    </w:p>
    <w:p>
      <w:pPr>
        <w:spacing w:after="0" w:line="117" w:lineRule="exact"/>
        <w:rPr>
          <w:rFonts w:ascii="Arial" w:cs="Arial" w:eastAsia="Arial" w:hAnsi="Arial"/>
          <w:sz w:val="18"/>
          <w:szCs w:val="18"/>
          <w:color w:val="002453"/>
        </w:rPr>
      </w:pPr>
    </w:p>
    <w:p>
      <w:pPr>
        <w:ind w:left="1340" w:right="500" w:hanging="218"/>
        <w:spacing w:after="0" w:line="287" w:lineRule="auto"/>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strategic objectives, development of new product lines and related revenue, sales and margin targets, or international operations; or</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39"/>
        </w:numPr>
        <w:rPr>
          <w:rFonts w:ascii="Arial" w:cs="Arial" w:eastAsia="Arial" w:hAnsi="Arial"/>
          <w:sz w:val="18"/>
          <w:szCs w:val="18"/>
          <w:color w:val="002453"/>
        </w:rPr>
      </w:pPr>
      <w:r>
        <w:rPr>
          <w:rFonts w:ascii="Arial" w:cs="Arial" w:eastAsia="Arial" w:hAnsi="Arial"/>
          <w:sz w:val="18"/>
          <w:szCs w:val="18"/>
          <w:color w:val="auto"/>
        </w:rPr>
        <w:t>any combination of the foregoing.</w:t>
      </w:r>
    </w:p>
    <w:p>
      <w:pPr>
        <w:spacing w:after="0" w:line="117" w:lineRule="exact"/>
        <w:rPr>
          <w:sz w:val="20"/>
          <w:szCs w:val="20"/>
          <w:color w:val="auto"/>
        </w:rPr>
      </w:pPr>
    </w:p>
    <w:p>
      <w:pPr>
        <w:ind w:left="760" w:right="160"/>
        <w:spacing w:after="0" w:line="269" w:lineRule="auto"/>
        <w:rPr>
          <w:sz w:val="20"/>
          <w:szCs w:val="20"/>
          <w:color w:val="auto"/>
        </w:rPr>
      </w:pPr>
      <w:r>
        <w:rPr>
          <w:rFonts w:ascii="Arial" w:cs="Arial" w:eastAsia="Arial" w:hAnsi="Arial"/>
          <w:sz w:val="17"/>
          <w:szCs w:val="17"/>
          <w:color w:val="auto"/>
        </w:rPr>
        <w:t>Any of the above Performance Goal elements can be stated as a percentage of another Performance Goal or used on an absolute, relative or adjusted basis to measure the performance of our Company and/or its affiliates or any divisions, operation or business units, product lines, asset classes, brands, administrative departments or combination thereof, as the Compensation Committee deems appropriate. Performance Goals may be compared to the performance of a group of comparator companies or a published or special index that the Compensation Committee deems appropriate or, stock market indices. The Compensation Committee may provide for accelerated vesting of any award based on the achievement of Performance Goals. The Compensation Committee may also specify adjustments or modifications to be made to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and/or in management’s discussion and analysis of financial condition and results of operations appearing in our Company’s annual report to shareholders for the applicable year; (vi) acquisitions or divestitures; (vii) any other specific, unusual or nonrecurring events, or objectively determinable category thereof; (viii) foreign exchange gains and losses; (ix) discontinued operations and nonrecurring charges; and (x) a change in our Company’s fiscal year.</w:t>
      </w:r>
    </w:p>
    <w:p>
      <w:pPr>
        <w:spacing w:after="0" w:line="62" w:lineRule="exact"/>
        <w:rPr>
          <w:sz w:val="20"/>
          <w:szCs w:val="20"/>
          <w:color w:val="auto"/>
        </w:rPr>
      </w:pPr>
    </w:p>
    <w:p>
      <w:pPr>
        <w:ind w:left="760" w:right="180"/>
        <w:spacing w:after="0" w:line="259" w:lineRule="auto"/>
        <w:rPr>
          <w:sz w:val="20"/>
          <w:szCs w:val="20"/>
          <w:color w:val="auto"/>
        </w:rPr>
      </w:pPr>
      <w:r>
        <w:rPr>
          <w:rFonts w:ascii="Arial" w:cs="Arial" w:eastAsia="Arial" w:hAnsi="Arial"/>
          <w:sz w:val="18"/>
          <w:szCs w:val="18"/>
          <w:color w:val="auto"/>
        </w:rPr>
        <w:t>Unless otherwise provided in the applicable award agreement, a participant shall be eligible to receive payment in respect of a performance compensation award only to the extent that (i) the Performance Goals for such period are achieved; and (ii) all or some of the portion of such participant’s performance compensation award has been earned for the performance period based on the application of the “Performance Formula” (as​ defined in the Second Amended Plan) to such Performance Goals.</w:t>
      </w:r>
    </w:p>
    <w:p>
      <w:pPr>
        <w:spacing w:after="0" w:line="71"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i w:val="1"/>
          <w:iCs w:val="1"/>
          <w:color w:val="auto"/>
        </w:rPr>
        <w:t xml:space="preserve">Effect of a Change in Control. </w:t>
      </w:r>
      <w:r>
        <w:rPr>
          <w:rFonts w:ascii="Arial" w:cs="Arial" w:eastAsia="Arial" w:hAnsi="Arial"/>
          <w:sz w:val="18"/>
          <w:szCs w:val="18"/>
          <w:color w:val="auto"/>
        </w:rPr>
        <w:t>Unless otherwise provided in an award agreement, or any applicable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change in control, severance or other agreement between a participant and our Company, in the event of a change of control, if a participant’s employment or service is terminated by our Company other than for cause (and other than due to death or disability) within the 12-month period following a change in control, then the Compensation Committee may provide that (i) all then-outstanding options and SARs will become immediately exercisable as of such participant’s date of termination with respect to all of the shares subject to such option or SAR; and/or (ii) the restricted period shall expire as of such participant’s date of termination with respect to all of the then-outstanding shares of restricted stock or restricted stock units (including, without limitation, a waiver of any applicable Performance Goals); provided that any award whose vesting or exercisability is otherwise subject to the achievement of performance conditions, the portion of such award that shall become fully vested and immediately exercisable shall be based on the assumed achievement of target performance as determined by the Compensation Committee and prorated for the number of days elapsed from the grant date of such award through the date of termination. In addition, the Compensation Committee may in its discretion and upon at least 10 days’ notice to the affected persons, cancel any outstanding award and pay the holders, in cash, securities or other property (including of the acquiring or successor company), or any combination thereof, the value of such awards based upon the price per share of the Company’s common stock received or to be received by other shareholders of the Company in the event. Notwithstanding the above, the Compensation Committee shall exercise such discretion over any award subject to Section 409A of the Code at the time such award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210820</wp:posOffset>
            </wp:positionV>
            <wp:extent cx="754380" cy="2311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7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220"/>
        <w:spacing w:after="0" w:line="24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 permissible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Second Amended Plan).</w:t>
      </w:r>
    </w:p>
    <w:p>
      <w:pPr>
        <w:spacing w:after="0" w:line="69" w:lineRule="exact"/>
        <w:rPr>
          <w:sz w:val="20"/>
          <w:szCs w:val="20"/>
          <w:color w:val="auto"/>
        </w:rPr>
      </w:pPr>
    </w:p>
    <w:p>
      <w:pPr>
        <w:ind w:left="760" w:right="60"/>
        <w:spacing w:after="0" w:line="25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Second Amended Plan will have a term of 10 years from the date of approval by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at this year’s annual meeting. The board of directors may amend, suspend or terminate the Second Amended Plan at any time, subject to stockholder approval if necessary to comply with any tax, Nasdaq or other applicable regulatory requirement. No amendment, suspension or termination will materially and adversely affect the rights of any participant or recipient of any award without the consent of the participant or recipient. 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or any holder or beneficiary of any option theretofore granted will not to that extent be effective without the consent of the affected participant, holder or beneficiary; and provided further that, without stockholder approval,</w:t>
      </w:r>
    </w:p>
    <w:p>
      <w:pPr>
        <w:spacing w:after="0" w:line="6" w:lineRule="exact"/>
        <w:rPr>
          <w:sz w:val="20"/>
          <w:szCs w:val="20"/>
          <w:color w:val="auto"/>
        </w:rPr>
      </w:pPr>
    </w:p>
    <w:p>
      <w:pPr>
        <w:ind w:left="760" w:right="120" w:firstLine="2"/>
        <w:spacing w:after="0" w:line="242"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amendment or modification may reduce the option price of any option or the strike price of any SAR, (ii) the Compensation Committee may not cancel any outstanding option and replace it with a new option (with a lower exercise price) or cancel any SAR and replace it with a new SAR (with a lower strike price) or other award or cash in a manner that would be treated as a repricing (for compensation disclosure or accounting purposes), and (iii) the Compensation Committee may not take any other action considered a repricing for purposes of the shareholder approval rules of the applicable securities exchange on which our common shares are listed. However, stockholder approval is not required with respect to clauses (i), (ii), and (iii) above with respect to certain adjustments on changes in capitalization. In addition, none of the requirements described in the preceding clauses (i), (ii), and (iii) can be amended without the approval of our stockholders.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00"/>
        <w:spacing w:after="0" w:line="256" w:lineRule="auto"/>
        <w:rPr>
          <w:sz w:val="20"/>
          <w:szCs w:val="20"/>
          <w:color w:val="auto"/>
        </w:rPr>
      </w:pPr>
      <w:r>
        <w:rPr>
          <w:rFonts w:ascii="Arial" w:cs="Arial" w:eastAsia="Arial" w:hAnsi="Arial"/>
          <w:sz w:val="18"/>
          <w:szCs w:val="18"/>
          <w:color w:val="auto"/>
        </w:rPr>
        <w:t>The following is a general summary of the material U.S. federal income tax consequences of the grant and exercise and vesting of awards under the Second Amended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75" w:lineRule="exact"/>
        <w:rPr>
          <w:sz w:val="20"/>
          <w:szCs w:val="20"/>
          <w:color w:val="auto"/>
        </w:rPr>
      </w:pPr>
    </w:p>
    <w:p>
      <w:pPr>
        <w:ind w:left="760" w:right="320"/>
        <w:spacing w:after="0" w:line="276"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Code requires that, for treatment of an option as an incentive stock option,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acquired through the exercise of an incentive stock option cannot be disposed of before the later of</w:t>
      </w:r>
    </w:p>
    <w:p>
      <w:pPr>
        <w:ind w:left="760" w:right="180" w:firstLine="2"/>
        <w:spacing w:after="0" w:line="265" w:lineRule="auto"/>
        <w:tabs>
          <w:tab w:leader="none" w:pos="9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w:t>
      </w:r>
    </w:p>
    <w:p>
      <w:pPr>
        <w:ind w:left="760" w:right="60"/>
        <w:spacing w:after="0" w:line="267" w:lineRule="auto"/>
        <w:rPr>
          <w:rFonts w:ascii="Arial" w:cs="Arial" w:eastAsia="Arial" w:hAnsi="Arial"/>
          <w:sz w:val="17"/>
          <w:szCs w:val="17"/>
          <w:color w:val="auto"/>
        </w:rPr>
      </w:pPr>
      <w:r>
        <w:rPr>
          <w:rFonts w:ascii="Arial" w:cs="Arial" w:eastAsia="Arial" w:hAnsi="Arial"/>
          <w:sz w:val="17"/>
          <w:szCs w:val="17"/>
          <w:color w:val="auto"/>
        </w:rPr>
        <w:t>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the Company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the Company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w:t>
      </w: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income tax purposes. No income will be realized by a participant upon grant of an option that does not qualify as an incentive stock option (a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69"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82"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 participant will not be subject to tax upon the grant of an award of restricted stock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The Company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75"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of a restricted stock unit award. Rather,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delivery of shares or cash pursuant to a restricted stock unit award, the participant will have taxable compensation equal to the fair market value of the number of shares (or the amount of cash) the participant actually receives with respect to the award.</w:t>
      </w:r>
    </w:p>
    <w:p>
      <w:pPr>
        <w:spacing w:after="0" w:line="62" w:lineRule="exact"/>
        <w:rPr>
          <w:sz w:val="20"/>
          <w:szCs w:val="20"/>
          <w:color w:val="auto"/>
        </w:rPr>
      </w:pPr>
    </w:p>
    <w:p>
      <w:pPr>
        <w:ind w:left="760" w:right="160"/>
        <w:spacing w:after="0" w:line="261" w:lineRule="auto"/>
        <w:rPr>
          <w:sz w:val="20"/>
          <w:szCs w:val="20"/>
          <w:color w:val="auto"/>
        </w:rPr>
      </w:pPr>
      <w:r>
        <w:rPr>
          <w:rFonts w:ascii="Arial" w:cs="Arial" w:eastAsia="Arial" w:hAnsi="Arial"/>
          <w:sz w:val="18"/>
          <w:szCs w:val="18"/>
          <w:color w:val="auto"/>
        </w:rPr>
        <w:t>The Company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54" w:lineRule="exact"/>
        <w:rPr>
          <w:sz w:val="20"/>
          <w:szCs w:val="20"/>
          <w:color w:val="auto"/>
        </w:rPr>
      </w:pPr>
    </w:p>
    <w:p>
      <w:pPr>
        <w:ind w:left="760" w:right="640"/>
        <w:spacing w:after="0" w:line="267"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The Tax Cuts and Jobs Act of 2017 (“</w:t>
      </w:r>
      <w:r>
        <w:rPr>
          <w:rFonts w:ascii="Arial" w:cs="Arial" w:eastAsia="Arial" w:hAnsi="Arial"/>
          <w:sz w:val="17"/>
          <w:szCs w:val="17"/>
          <w:b w:val="1"/>
          <w:bCs w:val="1"/>
          <w:color w:val="auto"/>
        </w:rPr>
        <w:t>Tax Act</w:t>
      </w:r>
      <w:r>
        <w:rPr>
          <w:rFonts w:ascii="Arial" w:cs="Arial" w:eastAsia="Arial" w:hAnsi="Arial"/>
          <w:sz w:val="17"/>
          <w:szCs w:val="17"/>
          <w:color w:val="auto"/>
        </w:rPr>
        <w:t>”) generally eliminated the ability to deduct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qualifying for the “performance-based compensation” exception under Code Section 162(m) for</w:t>
      </w:r>
    </w:p>
    <w:p>
      <w:pPr>
        <w:spacing w:after="0" w:line="2" w:lineRule="exact"/>
        <w:rPr>
          <w:sz w:val="20"/>
          <w:szCs w:val="20"/>
          <w:color w:val="auto"/>
        </w:rPr>
      </w:pPr>
    </w:p>
    <w:p>
      <w:pPr>
        <w:ind w:left="760" w:right="140"/>
        <w:spacing w:after="0" w:line="242" w:lineRule="auto"/>
        <w:rPr>
          <w:sz w:val="20"/>
          <w:szCs w:val="20"/>
          <w:color w:val="auto"/>
        </w:rPr>
      </w:pPr>
      <w:r>
        <w:rPr>
          <w:rFonts w:ascii="Arial" w:cs="Arial" w:eastAsia="Arial" w:hAnsi="Arial"/>
          <w:sz w:val="18"/>
          <w:szCs w:val="18"/>
          <w:color w:val="auto"/>
        </w:rPr>
        <w:t>tax years commencing after December 31, 2017. Code Section 162(m) imposes a $1 million limit on the amount that a public company may deduct for compensation paid to “covered employees” (as​ determined under Code</w:t>
      </w:r>
    </w:p>
    <w:p>
      <w:pPr>
        <w:spacing w:after="0" w:line="1" w:lineRule="exact"/>
        <w:rPr>
          <w:sz w:val="20"/>
          <w:szCs w:val="20"/>
          <w:color w:val="auto"/>
        </w:rPr>
      </w:pPr>
    </w:p>
    <w:p>
      <w:pPr>
        <w:ind w:left="760" w:right="60"/>
        <w:spacing w:after="0" w:line="259" w:lineRule="auto"/>
        <w:rPr>
          <w:sz w:val="20"/>
          <w:szCs w:val="20"/>
          <w:color w:val="auto"/>
        </w:rPr>
      </w:pPr>
      <w:r>
        <w:rPr>
          <w:rFonts w:ascii="Arial" w:cs="Arial" w:eastAsia="Arial" w:hAnsi="Arial"/>
          <w:sz w:val="17"/>
          <w:szCs w:val="17"/>
          <w:color w:val="auto"/>
        </w:rPr>
        <w:t>Section 162(m)). For 2017 and prior taxable years, an exception to this deduction limit applied to “performance-based compensation,” such as stock options and other equity awards that satisfied certain criteria. Under the Tax Act, the performance-based pay exception to Code Section 162(m) was eliminated, but a transition rule may allow the exception to continue to apply to certain performance-based compensation payable under written binding contracts that were in effect on November 2, 2017. The Amendment is not intended to affect the ability of awards previously granted under the Amended Plan to qualify for grandfathered status under the Code Section 162(m) transition rules if they otherwise would. However, no assurance can be given that such awards will, in fact, be exempt.</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60"/>
        <w:spacing w:after="0" w:line="253" w:lineRule="auto"/>
        <w:rPr>
          <w:sz w:val="20"/>
          <w:szCs w:val="20"/>
          <w:color w:val="auto"/>
        </w:rPr>
      </w:pPr>
      <w:r>
        <w:rPr>
          <w:rFonts w:ascii="Arial" w:cs="Arial" w:eastAsia="Arial" w:hAnsi="Arial"/>
          <w:sz w:val="18"/>
          <w:szCs w:val="18"/>
          <w:color w:val="auto"/>
        </w:rPr>
        <w:t>The Company has not approved any awards that are conditioned upon stockholder approval of the Second Amended Plan. Other than with respect to annual restricted stock unit awards to our non-employee directors, awards under the Second Amended Plan will be determined by our board of directors (or committee thereof)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196215</wp:posOffset>
            </wp:positionV>
            <wp:extent cx="754380" cy="2400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150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112" w:lineRule="exact"/>
        <w:rPr>
          <w:sz w:val="20"/>
          <w:szCs w:val="20"/>
          <w:color w:val="auto"/>
        </w:rPr>
      </w:pPr>
    </w:p>
    <w:p>
      <w:pPr>
        <w:jc w:val="both"/>
        <w:ind w:left="760" w:right="800"/>
        <w:spacing w:after="0" w:line="276" w:lineRule="auto"/>
        <w:rPr>
          <w:sz w:val="20"/>
          <w:szCs w:val="20"/>
          <w:color w:val="auto"/>
        </w:rPr>
      </w:pPr>
      <w:r>
        <w:rPr>
          <w:rFonts w:ascii="Arial" w:cs="Arial" w:eastAsia="Arial" w:hAnsi="Arial"/>
          <w:sz w:val="18"/>
          <w:szCs w:val="18"/>
          <w:color w:val="auto"/>
        </w:rPr>
        <w:t>discretion. It is, therefore, not possible to predict the awards that will be made to particular officers in the future under the Second Amended Plan. For information regarding grants made in 2024 to our named executive officers under the Second Amended Plan, see the Summary Compensation Table above.</w:t>
      </w:r>
    </w:p>
    <w:p>
      <w:pPr>
        <w:spacing w:after="0" w:line="69" w:lineRule="exact"/>
        <w:rPr>
          <w:sz w:val="20"/>
          <w:szCs w:val="20"/>
          <w:color w:val="auto"/>
        </w:rPr>
      </w:pPr>
    </w:p>
    <w:p>
      <w:pPr>
        <w:ind w:left="760" w:right="860"/>
        <w:spacing w:after="0" w:line="262" w:lineRule="auto"/>
        <w:rPr>
          <w:sz w:val="20"/>
          <w:szCs w:val="20"/>
          <w:color w:val="auto"/>
        </w:rPr>
      </w:pPr>
      <w:r>
        <w:rPr>
          <w:rFonts w:ascii="Arial" w:cs="Arial" w:eastAsia="Arial" w:hAnsi="Arial"/>
          <w:sz w:val="18"/>
          <w:szCs w:val="18"/>
          <w:i w:val="1"/>
          <w:iCs w:val="1"/>
          <w:color w:val="auto"/>
        </w:rPr>
        <w:t xml:space="preserve">Non-Employee Directors. </w:t>
      </w:r>
      <w:r>
        <w:rPr>
          <w:rFonts w:ascii="Arial" w:cs="Arial" w:eastAsia="Arial" w:hAnsi="Arial"/>
          <w:sz w:val="18"/>
          <w:szCs w:val="18"/>
          <w:color w:val="auto"/>
        </w:rPr>
        <w:t>The Second Amended Plan authorizes the grant of equity-based awards to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pursuant to our director compensation program as in effect from time to time, as described under the heading “Compensation of Directors”. Historically, our non-employee directors have received annual equity grants under the Amended Plan in accordance with our director compensation program. The table below sets forth the aggregate grant date fair value of annual equity-based awards that all non-employee directors as a group are expected to receive in fiscal 2024 pursuant to our director compensation program as currently in effect.</w:t>
      </w:r>
    </w:p>
    <w:p>
      <w:pPr>
        <w:spacing w:after="0" w:line="4" w:lineRule="exact"/>
        <w:rPr>
          <w:sz w:val="20"/>
          <w:szCs w:val="20"/>
          <w:color w:val="auto"/>
        </w:rPr>
      </w:pPr>
    </w:p>
    <w:tbl>
      <w:tblPr>
        <w:tblLayout w:type="fixed"/>
        <w:tblInd w:w="760" w:type="dxa"/>
        <w:tblCellMar>
          <w:top w:w="0" w:type="dxa"/>
          <w:left w:w="0" w:type="dxa"/>
          <w:bottom w:w="0" w:type="dxa"/>
          <w:right w:w="0" w:type="dxa"/>
        </w:tblCellMar>
      </w:tblPr>
      <w:tr>
        <w:trPr>
          <w:trHeight w:val="333"/>
        </w:trPr>
        <w:tc>
          <w:tcPr>
            <w:tcW w:w="5760" w:type="dxa"/>
            <w:vAlign w:val="bottom"/>
          </w:tcPr>
          <w:p>
            <w:pPr>
              <w:spacing w:after="0"/>
              <w:rPr>
                <w:sz w:val="20"/>
                <w:szCs w:val="20"/>
                <w:color w:val="auto"/>
              </w:rPr>
            </w:pPr>
            <w:r>
              <w:rPr>
                <w:rFonts w:ascii="Arial" w:cs="Arial" w:eastAsia="Arial" w:hAnsi="Arial"/>
                <w:sz w:val="14"/>
                <w:szCs w:val="14"/>
                <w:b w:val="1"/>
                <w:bCs w:val="1"/>
                <w:color w:val="002453"/>
              </w:rPr>
              <w:t>Name and Position</w:t>
            </w:r>
          </w:p>
        </w:tc>
        <w:tc>
          <w:tcPr>
            <w:tcW w:w="3480" w:type="dxa"/>
            <w:vAlign w:val="bottom"/>
            <w:gridSpan w:val="3"/>
          </w:tcPr>
          <w:p>
            <w:pPr>
              <w:ind w:left="1040"/>
              <w:spacing w:after="0"/>
              <w:rPr>
                <w:sz w:val="20"/>
                <w:szCs w:val="20"/>
                <w:color w:val="auto"/>
              </w:rPr>
            </w:pP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Dollar Value </w:t>
            </w:r>
            <w:r>
              <w:rPr>
                <w:rFonts w:ascii="Arial" w:cs="Arial" w:eastAsia="Arial" w:hAnsi="Arial"/>
                <w:sz w:val="28"/>
                <w:szCs w:val="28"/>
                <w:b w:val="1"/>
                <w:bCs w:val="1"/>
                <w:color w:val="002453"/>
                <w:vertAlign w:val="subscript"/>
              </w:rPr>
              <w:t>​ ​</w:t>
            </w:r>
            <w:r>
              <w:rPr>
                <w:rFonts w:ascii="Arial" w:cs="Arial" w:eastAsia="Arial" w:hAnsi="Arial"/>
                <w:sz w:val="14"/>
                <w:szCs w:val="14"/>
                <w:b w:val="1"/>
                <w:bCs w:val="1"/>
                <w:color w:val="002453"/>
              </w:rPr>
              <w:t xml:space="preserve"> Number of Units </w:t>
            </w:r>
            <w:r>
              <w:rPr>
                <w:rFonts w:ascii="Arial" w:cs="Arial" w:eastAsia="Arial" w:hAnsi="Arial"/>
                <w:sz w:val="28"/>
                <w:szCs w:val="28"/>
                <w:b w:val="1"/>
                <w:bCs w:val="1"/>
                <w:color w:val="002453"/>
                <w:vertAlign w:val="subscript"/>
              </w:rPr>
              <w:t>​</w:t>
            </w:r>
          </w:p>
        </w:tc>
      </w:tr>
      <w:tr>
        <w:trPr>
          <w:trHeight w:val="263"/>
        </w:trPr>
        <w:tc>
          <w:tcPr>
            <w:tcW w:w="576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All current non-executive officer directors as a group(1)</w:t>
            </w:r>
          </w:p>
        </w:tc>
        <w:tc>
          <w:tcPr>
            <w:tcW w:w="2500" w:type="dxa"/>
            <w:vAlign w:val="bottom"/>
            <w:tcBorders>
              <w:top w:val="single" w:sz="8" w:color="00C08A"/>
              <w:bottom w:val="single" w:sz="8" w:color="00C08A"/>
            </w:tcBorders>
            <w:shd w:val="clear" w:color="auto" w:fill="CCEEFF"/>
          </w:tcPr>
          <w:p>
            <w:pPr>
              <w:ind w:left="1040"/>
              <w:spacing w:after="0" w:line="264" w:lineRule="exact"/>
              <w:rPr>
                <w:sz w:val="20"/>
                <w:szCs w:val="20"/>
                <w:color w:val="auto"/>
              </w:rPr>
            </w:pPr>
            <w:r>
              <w:rPr>
                <w:rFonts w:ascii="Arial" w:cs="Arial" w:eastAsia="Arial" w:hAnsi="Arial"/>
                <w:sz w:val="30"/>
                <w:szCs w:val="30"/>
                <w:b w:val="1"/>
                <w:bCs w:val="1"/>
                <w:color w:val="auto"/>
                <w:vertAlign w:val="subscript"/>
              </w:rPr>
              <w:t>​ ​ ​</w:t>
            </w:r>
            <w:r>
              <w:rPr>
                <w:rFonts w:ascii="Arial" w:cs="Arial" w:eastAsia="Arial" w:hAnsi="Arial"/>
                <w:sz w:val="16"/>
                <w:szCs w:val="16"/>
                <w:b w:val="1"/>
                <w:bCs w:val="1"/>
                <w:color w:val="auto"/>
              </w:rPr>
              <w:t xml:space="preserve">$150,000 </w:t>
            </w:r>
            <w:r>
              <w:rPr>
                <w:rFonts w:ascii="Arial" w:cs="Arial" w:eastAsia="Arial" w:hAnsi="Arial"/>
                <w:sz w:val="30"/>
                <w:szCs w:val="30"/>
                <w:b w:val="1"/>
                <w:bCs w:val="1"/>
                <w:color w:val="auto"/>
                <w:vertAlign w:val="subscript"/>
              </w:rPr>
              <w:t>​​ ​</w:t>
            </w:r>
          </w:p>
        </w:tc>
        <w:tc>
          <w:tcPr>
            <w:tcW w:w="920" w:type="dxa"/>
            <w:vAlign w:val="bottom"/>
            <w:tcBorders>
              <w:top w:val="single" w:sz="8" w:color="00C08A"/>
              <w:bottom w:val="single" w:sz="8" w:color="00C08A"/>
            </w:tcBorders>
            <w:shd w:val="clear" w:color="auto" w:fill="CCEEFF"/>
          </w:tcPr>
          <w:p>
            <w:pPr>
              <w:ind w:left="240"/>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72" w:lineRule="exact"/>
        <w:rPr>
          <w:sz w:val="20"/>
          <w:szCs w:val="20"/>
          <w:color w:val="auto"/>
        </w:rPr>
      </w:pPr>
    </w:p>
    <w:p>
      <w:pPr>
        <w:ind w:left="980" w:right="780" w:hanging="218"/>
        <w:spacing w:after="0" w:line="305" w:lineRule="auto"/>
        <w:tabs>
          <w:tab w:leader="none" w:pos="9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number of RSUs granted to non-executive director nominees on the 2025 Annual Meeting date cannot be determined at this time since the grant value will be converted to a number of RSUs using our closing stock price on the 2025 Annual Meeting Date.</w:t>
      </w:r>
    </w:p>
    <w:p>
      <w:pPr>
        <w:spacing w:after="0" w:line="54" w:lineRule="exact"/>
        <w:rPr>
          <w:sz w:val="20"/>
          <w:szCs w:val="20"/>
          <w:color w:val="auto"/>
        </w:rPr>
      </w:pPr>
    </w:p>
    <w:p>
      <w:pPr>
        <w:ind w:left="760" w:right="800"/>
        <w:spacing w:after="0" w:line="267" w:lineRule="auto"/>
        <w:rPr>
          <w:sz w:val="20"/>
          <w:szCs w:val="20"/>
          <w:color w:val="auto"/>
        </w:rPr>
      </w:pPr>
      <w:r>
        <w:rPr>
          <w:rFonts w:ascii="Arial" w:cs="Arial" w:eastAsia="Arial" w:hAnsi="Arial"/>
          <w:sz w:val="18"/>
          <w:szCs w:val="18"/>
          <w:color w:val="auto"/>
        </w:rPr>
        <w:t>In accordance with SEC rules, the table below indicates the aggregate number of stock options granted under the Amended Plan since its adoption to each named executive officer, all current executive officers as a group, all current directors (other than executive officers) as a group, and all current employees (other than executive officers) as a group. No stock options have been granted since 2015. As of April 11, 2025, there were no shares of our Class A common stock subject to stock options under the Amended Plan. As of April 11, 2025, the closing price of our common stock was $37.03 per share.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980" w:type="dxa"/>
            <w:vAlign w:val="bottom"/>
            <w:vMerge w:val="restart"/>
          </w:tcPr>
          <w:p>
            <w:pPr>
              <w:spacing w:after="0"/>
              <w:rPr>
                <w:sz w:val="20"/>
                <w:szCs w:val="20"/>
                <w:color w:val="auto"/>
              </w:rPr>
            </w:pPr>
            <w:r>
              <w:rPr>
                <w:rFonts w:ascii="Arial" w:cs="Arial" w:eastAsia="Arial" w:hAnsi="Arial"/>
                <w:sz w:val="14"/>
                <w:szCs w:val="14"/>
                <w:b w:val="1"/>
                <w:bCs w:val="1"/>
                <w:color w:val="002453"/>
              </w:rPr>
              <w:t>Name</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Title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002453"/>
              </w:rPr>
              <w:t>Stock</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2980" w:type="dxa"/>
            <w:vAlign w:val="bottom"/>
            <w:tcBorders>
              <w:bottom w:val="single" w:sz="8" w:color="00C08A"/>
            </w:tcBorders>
            <w:vMerge w:val="continue"/>
          </w:tcPr>
          <w:p>
            <w:pPr>
              <w:spacing w:after="0"/>
              <w:rPr>
                <w:sz w:val="17"/>
                <w:szCs w:val="17"/>
                <w:color w:val="auto"/>
              </w:rPr>
            </w:pPr>
          </w:p>
        </w:tc>
        <w:tc>
          <w:tcPr>
            <w:tcW w:w="1920" w:type="dxa"/>
            <w:vAlign w:val="bottom"/>
            <w:tcBorders>
              <w:bottom w:val="single" w:sz="8" w:color="00C08A"/>
            </w:tcBorders>
          </w:tcPr>
          <w:p>
            <w:pPr>
              <w:ind w:left="200"/>
              <w:spacing w:after="0"/>
              <w:rPr>
                <w:sz w:val="20"/>
                <w:szCs w:val="20"/>
                <w:color w:val="auto"/>
              </w:rPr>
            </w:pPr>
            <w:r>
              <w:rPr>
                <w:rFonts w:ascii="Arial" w:cs="Arial" w:eastAsia="Arial" w:hAnsi="Arial"/>
                <w:sz w:val="14"/>
                <w:szCs w:val="14"/>
                <w:b w:val="1"/>
                <w:bCs w:val="1"/>
                <w:color w:val="002453"/>
              </w:rPr>
              <w:t>​ ​</w:t>
            </w:r>
          </w:p>
        </w:tc>
        <w:tc>
          <w:tcPr>
            <w:tcW w:w="200" w:type="dxa"/>
            <w:vAlign w:val="bottom"/>
            <w:tcBorders>
              <w:bottom w:val="single" w:sz="8" w:color="00C08A"/>
            </w:tcBorders>
          </w:tcPr>
          <w:p>
            <w:pPr>
              <w:spacing w:after="0"/>
              <w:rPr>
                <w:sz w:val="17"/>
                <w:szCs w:val="17"/>
                <w:color w:val="auto"/>
              </w:rPr>
            </w:pPr>
          </w:p>
        </w:tc>
        <w:tc>
          <w:tcPr>
            <w:tcW w:w="140" w:type="dxa"/>
            <w:vAlign w:val="bottom"/>
            <w:tcBorders>
              <w:bottom w:val="single" w:sz="8" w:color="00C08A"/>
            </w:tcBorders>
          </w:tcPr>
          <w:p>
            <w:pPr>
              <w:spacing w:after="0"/>
              <w:rPr>
                <w:sz w:val="17"/>
                <w:szCs w:val="17"/>
                <w:color w:val="auto"/>
              </w:rPr>
            </w:pPr>
          </w:p>
        </w:tc>
        <w:tc>
          <w:tcPr>
            <w:tcW w:w="1040" w:type="dxa"/>
            <w:vAlign w:val="bottom"/>
            <w:tcBorders>
              <w:bottom w:val="single" w:sz="8" w:color="00C08A"/>
            </w:tcBorders>
            <w:gridSpan w:val="2"/>
            <w:vMerge w:val="continue"/>
          </w:tcPr>
          <w:p>
            <w:pPr>
              <w:spacing w:after="0"/>
              <w:rPr>
                <w:sz w:val="17"/>
                <w:szCs w:val="17"/>
                <w:color w:val="auto"/>
              </w:rPr>
            </w:pPr>
          </w:p>
        </w:tc>
        <w:tc>
          <w:tcPr>
            <w:tcW w:w="220" w:type="dxa"/>
            <w:vAlign w:val="bottom"/>
            <w:tcBorders>
              <w:bottom w:val="single" w:sz="8" w:color="00C08A"/>
            </w:tcBorders>
          </w:tcPr>
          <w:p>
            <w:pPr>
              <w:spacing w:after="0"/>
              <w:rPr>
                <w:sz w:val="17"/>
                <w:szCs w:val="17"/>
                <w:color w:val="auto"/>
              </w:rPr>
            </w:pPr>
          </w:p>
        </w:tc>
        <w:tc>
          <w:tcPr>
            <w:tcW w:w="1260" w:type="dxa"/>
            <w:vAlign w:val="bottom"/>
            <w:tcBorders>
              <w:bottom w:val="single" w:sz="8" w:color="00C08A"/>
            </w:tcBorders>
          </w:tcPr>
          <w:p>
            <w:pPr>
              <w:spacing w:after="0"/>
              <w:rPr>
                <w:sz w:val="17"/>
                <w:szCs w:val="17"/>
                <w:color w:val="auto"/>
              </w:rPr>
            </w:pPr>
          </w:p>
        </w:tc>
        <w:tc>
          <w:tcPr>
            <w:tcW w:w="220" w:type="dxa"/>
            <w:vAlign w:val="bottom"/>
            <w:tcBorders>
              <w:bottom w:val="single" w:sz="8" w:color="00C08A"/>
            </w:tcBorders>
          </w:tcPr>
          <w:p>
            <w:pPr>
              <w:spacing w:after="0"/>
              <w:rPr>
                <w:sz w:val="17"/>
                <w:szCs w:val="17"/>
                <w:color w:val="auto"/>
              </w:rPr>
            </w:pPr>
          </w:p>
        </w:tc>
        <w:tc>
          <w:tcPr>
            <w:tcW w:w="480" w:type="dxa"/>
            <w:vAlign w:val="bottom"/>
            <w:tcBorders>
              <w:bottom w:val="single" w:sz="8" w:color="00C08A"/>
            </w:tcBorders>
          </w:tcPr>
          <w:p>
            <w:pPr>
              <w:ind w:left="220"/>
              <w:spacing w:after="0"/>
              <w:rPr>
                <w:sz w:val="20"/>
                <w:szCs w:val="20"/>
                <w:color w:val="auto"/>
              </w:rPr>
            </w:pPr>
            <w:r>
              <w:rPr>
                <w:rFonts w:ascii="Arial" w:cs="Arial" w:eastAsia="Arial" w:hAnsi="Arial"/>
                <w:sz w:val="14"/>
                <w:szCs w:val="14"/>
                <w:b w:val="1"/>
                <w:bCs w:val="1"/>
                <w:color w:val="002453"/>
              </w:rPr>
              <w:t>​ ​</w:t>
            </w:r>
          </w:p>
        </w:tc>
        <w:tc>
          <w:tcPr>
            <w:tcW w:w="720" w:type="dxa"/>
            <w:vAlign w:val="bottom"/>
            <w:tcBorders>
              <w:bottom w:val="single" w:sz="8" w:color="00C08A"/>
            </w:tcBorders>
          </w:tcPr>
          <w:p>
            <w:pPr>
              <w:jc w:val="center"/>
              <w:ind w:right="17"/>
              <w:spacing w:after="0"/>
              <w:rPr>
                <w:sz w:val="20"/>
                <w:szCs w:val="20"/>
                <w:color w:val="auto"/>
              </w:rPr>
            </w:pPr>
            <w:r>
              <w:rPr>
                <w:rFonts w:ascii="Arial" w:cs="Arial" w:eastAsia="Arial" w:hAnsi="Arial"/>
                <w:sz w:val="14"/>
                <w:szCs w:val="14"/>
                <w:b w:val="1"/>
                <w:bCs w:val="1"/>
                <w:color w:val="002453"/>
              </w:rPr>
              <w:t>Options</w:t>
            </w:r>
          </w:p>
        </w:tc>
        <w:tc>
          <w:tcPr>
            <w:tcW w:w="780" w:type="dxa"/>
            <w:vAlign w:val="bottom"/>
          </w:tcPr>
          <w:p>
            <w:pPr>
              <w:jc w:val="right"/>
              <w:ind w:right="653"/>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92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 ​ ​</w:t>
            </w:r>
          </w:p>
        </w:tc>
        <w:tc>
          <w:tcPr>
            <w:tcW w:w="200" w:type="dxa"/>
            <w:vAlign w:val="bottom"/>
            <w:tcBorders>
              <w:bottom w:val="single" w:sz="8" w:color="00C08A"/>
            </w:tcBorders>
            <w:shd w:val="clear" w:color="auto" w:fill="CCEEFF"/>
          </w:tcPr>
          <w:p>
            <w:pPr>
              <w:spacing w:after="0"/>
              <w:rPr>
                <w:sz w:val="22"/>
                <w:szCs w:val="22"/>
                <w:color w:val="auto"/>
              </w:rPr>
            </w:pPr>
          </w:p>
        </w:tc>
        <w:tc>
          <w:tcPr>
            <w:tcW w:w="14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spacing w:after="0"/>
              <w:rPr>
                <w:sz w:val="22"/>
                <w:szCs w:val="22"/>
                <w:color w:val="auto"/>
              </w:rPr>
            </w:pPr>
          </w:p>
        </w:tc>
        <w:tc>
          <w:tcPr>
            <w:tcW w:w="5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 ​ ​</w:t>
            </w:r>
          </w:p>
        </w:tc>
        <w:tc>
          <w:tcPr>
            <w:tcW w:w="720" w:type="dxa"/>
            <w:vAlign w:val="bottom"/>
            <w:tcBorders>
              <w:bottom w:val="single" w:sz="8" w:color="00C08A"/>
              <w:right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6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Douglas A. Cifu</w:t>
            </w:r>
          </w:p>
        </w:tc>
        <w:tc>
          <w:tcPr>
            <w:tcW w:w="2260" w:type="dxa"/>
            <w:vAlign w:val="bottom"/>
            <w:tcBorders>
              <w:bottom w:val="single" w:sz="8" w:color="00C08A"/>
            </w:tcBorders>
            <w:gridSpan w:val="3"/>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Chief Executive Officer</w:t>
            </w:r>
          </w:p>
        </w:tc>
        <w:tc>
          <w:tcPr>
            <w:tcW w:w="480" w:type="dxa"/>
            <w:vAlign w:val="bottom"/>
            <w:tcBorders>
              <w:bottom w:val="single" w:sz="8" w:color="00C08A"/>
            </w:tcBorders>
          </w:tcPr>
          <w:p>
            <w:pPr>
              <w:spacing w:after="0"/>
              <w:rPr>
                <w:sz w:val="22"/>
                <w:szCs w:val="22"/>
                <w:color w:val="auto"/>
              </w:rPr>
            </w:pPr>
          </w:p>
        </w:tc>
        <w:tc>
          <w:tcPr>
            <w:tcW w:w="5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400,000</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Molluso</w:t>
            </w:r>
          </w:p>
        </w:tc>
        <w:tc>
          <w:tcPr>
            <w:tcW w:w="4780" w:type="dxa"/>
            <w:vAlign w:val="bottom"/>
            <w:tcBorders>
              <w:bottom w:val="single" w:sz="8" w:color="00C08A"/>
            </w:tcBorders>
            <w:gridSpan w:val="7"/>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Co-President and Co-Chief Operating Officer</w:t>
            </w:r>
          </w:p>
        </w:tc>
        <w:tc>
          <w:tcPr>
            <w:tcW w:w="220" w:type="dxa"/>
            <w:vAlign w:val="bottom"/>
            <w:tcBorders>
              <w:bottom w:val="single" w:sz="8" w:color="00C08A"/>
            </w:tcBorders>
            <w:shd w:val="clear" w:color="auto" w:fill="CCEEFF"/>
          </w:tcPr>
          <w:p>
            <w:pPr>
              <w:spacing w:after="0"/>
              <w:rPr>
                <w:sz w:val="22"/>
                <w:szCs w:val="22"/>
                <w:color w:val="auto"/>
              </w:rPr>
            </w:pPr>
          </w:p>
        </w:tc>
        <w:tc>
          <w:tcPr>
            <w:tcW w:w="1200" w:type="dxa"/>
            <w:vAlign w:val="bottom"/>
            <w:tcBorders>
              <w:bottom w:val="single" w:sz="8" w:color="00C08A"/>
              <w:right w:val="single" w:sz="8" w:color="CCEEFF"/>
            </w:tcBorders>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45,000</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Brett Fairclough</w:t>
            </w:r>
          </w:p>
        </w:tc>
        <w:tc>
          <w:tcPr>
            <w:tcW w:w="4780" w:type="dxa"/>
            <w:vAlign w:val="bottom"/>
            <w:tcBorders>
              <w:bottom w:val="single" w:sz="8" w:color="00C08A"/>
            </w:tcBorders>
            <w:gridSpan w:val="7"/>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Co-President and Co-Chief Operating Officer</w:t>
            </w: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100,000</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Stephen Cavoli</w:t>
            </w:r>
          </w:p>
        </w:tc>
        <w:tc>
          <w:tcPr>
            <w:tcW w:w="3300" w:type="dxa"/>
            <w:vAlign w:val="bottom"/>
            <w:tcBorders>
              <w:bottom w:val="single" w:sz="8" w:color="00C08A"/>
            </w:tcBorders>
            <w:gridSpan w:val="5"/>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Executive Vice President, Markets</w:t>
            </w:r>
          </w:p>
        </w:tc>
        <w:tc>
          <w:tcPr>
            <w:tcW w:w="220" w:type="dxa"/>
            <w:vAlign w:val="bottom"/>
            <w:tcBorders>
              <w:bottom w:val="single" w:sz="8" w:color="00C08A"/>
            </w:tcBorders>
            <w:shd w:val="clear" w:color="auto" w:fill="CCEEFF"/>
          </w:tcPr>
          <w:p>
            <w:pPr>
              <w:spacing w:after="0"/>
              <w:rPr>
                <w:sz w:val="22"/>
                <w:szCs w:val="22"/>
                <w:color w:val="auto"/>
              </w:rPr>
            </w:pPr>
          </w:p>
        </w:tc>
        <w:tc>
          <w:tcPr>
            <w:tcW w:w="12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ind w:left="160"/>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720" w:type="dxa"/>
            <w:vAlign w:val="bottom"/>
            <w:tcBorders>
              <w:bottom w:val="single" w:sz="8" w:color="00C08A"/>
              <w:right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980" w:type="dxa"/>
            <w:vAlign w:val="bottom"/>
            <w:tcBorders>
              <w:bottom w:val="single" w:sz="8" w:color="00C08A"/>
            </w:tcBorders>
          </w:tcPr>
          <w:p>
            <w:pPr>
              <w:spacing w:after="0"/>
              <w:rPr>
                <w:sz w:val="20"/>
                <w:szCs w:val="20"/>
                <w:color w:val="auto"/>
              </w:rPr>
            </w:pPr>
            <w:r>
              <w:rPr>
                <w:rFonts w:ascii="Arial" w:cs="Arial" w:eastAsia="Arial" w:hAnsi="Arial"/>
                <w:sz w:val="18"/>
                <w:szCs w:val="18"/>
                <w:color w:val="auto"/>
              </w:rPr>
              <w:t>Cindy Lee</w:t>
            </w:r>
          </w:p>
        </w:tc>
        <w:tc>
          <w:tcPr>
            <w:tcW w:w="4780" w:type="dxa"/>
            <w:vAlign w:val="bottom"/>
            <w:tcBorders>
              <w:bottom w:val="single" w:sz="8" w:color="00C08A"/>
            </w:tcBorders>
            <w:gridSpan w:val="7"/>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Executive Vice President and Chief Financial Officer</w:t>
            </w: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60,000</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Sean P. Galvin</w:t>
            </w:r>
          </w:p>
        </w:tc>
        <w:tc>
          <w:tcPr>
            <w:tcW w:w="5480" w:type="dxa"/>
            <w:vAlign w:val="bottom"/>
            <w:tcBorders>
              <w:bottom w:val="single" w:sz="8" w:color="00C08A"/>
            </w:tcBorders>
            <w:gridSpan w:val="9"/>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Former Executive Vice President and Chief Financial Officer </w:t>
            </w:r>
            <w:r>
              <w:rPr>
                <w:rFonts w:ascii="Arial" w:cs="Arial" w:eastAsia="Arial" w:hAnsi="Arial"/>
                <w:sz w:val="30"/>
                <w:szCs w:val="30"/>
                <w:color w:val="auto"/>
                <w:vertAlign w:val="subscript"/>
              </w:rPr>
              <w:t>​ ​ ​</w:t>
            </w:r>
            <w:r>
              <w:rPr>
                <w:rFonts w:ascii="Arial" w:cs="Arial" w:eastAsia="Arial" w:hAnsi="Arial"/>
                <w:sz w:val="16"/>
                <w:szCs w:val="16"/>
                <w:color w:val="auto"/>
              </w:rPr>
              <w:t>​</w:t>
            </w:r>
          </w:p>
        </w:tc>
        <w:tc>
          <w:tcPr>
            <w:tcW w:w="720" w:type="dxa"/>
            <w:vAlign w:val="bottom"/>
            <w:tcBorders>
              <w:bottom w:val="single" w:sz="8" w:color="00C08A"/>
              <w:right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tcPr>
          <w:p>
            <w:pPr>
              <w:spacing w:after="0"/>
              <w:rPr>
                <w:sz w:val="22"/>
                <w:szCs w:val="22"/>
                <w:color w:val="auto"/>
              </w:rPr>
            </w:pPr>
          </w:p>
        </w:tc>
        <w:tc>
          <w:tcPr>
            <w:tcW w:w="2980" w:type="dxa"/>
            <w:vAlign w:val="bottom"/>
            <w:tcBorders>
              <w:bottom w:val="single" w:sz="8" w:color="00C08A"/>
            </w:tcBorders>
          </w:tcPr>
          <w:p>
            <w:pPr>
              <w:ind w:left="180"/>
              <w:spacing w:after="0"/>
              <w:rPr>
                <w:sz w:val="20"/>
                <w:szCs w:val="20"/>
                <w:color w:val="auto"/>
              </w:rPr>
            </w:pPr>
            <w:r>
              <w:rPr>
                <w:rFonts w:ascii="Arial" w:cs="Arial" w:eastAsia="Arial" w:hAnsi="Arial"/>
                <w:sz w:val="18"/>
                <w:szCs w:val="18"/>
                <w:color w:val="auto"/>
              </w:rPr>
              <w:t>(5 persons)</w:t>
            </w:r>
          </w:p>
        </w:tc>
        <w:tc>
          <w:tcPr>
            <w:tcW w:w="1920" w:type="dxa"/>
            <w:vAlign w:val="bottom"/>
            <w:tcBorders>
              <w:bottom w:val="single" w:sz="8" w:color="00C08A"/>
            </w:tcBorders>
          </w:tcPr>
          <w:p>
            <w:pPr>
              <w:ind w:left="160"/>
              <w:spacing w:after="0"/>
              <w:rPr>
                <w:sz w:val="20"/>
                <w:szCs w:val="20"/>
                <w:color w:val="auto"/>
              </w:rPr>
            </w:pPr>
            <w:r>
              <w:rPr>
                <w:rFonts w:ascii="Arial" w:cs="Arial" w:eastAsia="Arial" w:hAnsi="Arial"/>
                <w:sz w:val="18"/>
                <w:szCs w:val="18"/>
                <w:color w:val="auto"/>
              </w:rPr>
              <w:t>​ ​ ​</w:t>
            </w:r>
          </w:p>
        </w:tc>
        <w:tc>
          <w:tcPr>
            <w:tcW w:w="200" w:type="dxa"/>
            <w:vAlign w:val="bottom"/>
            <w:tcBorders>
              <w:bottom w:val="single" w:sz="8" w:color="00C08A"/>
            </w:tcBorders>
          </w:tcPr>
          <w:p>
            <w:pPr>
              <w:spacing w:after="0"/>
              <w:rPr>
                <w:sz w:val="22"/>
                <w:szCs w:val="22"/>
                <w:color w:val="auto"/>
              </w:rPr>
            </w:pPr>
          </w:p>
        </w:tc>
        <w:tc>
          <w:tcPr>
            <w:tcW w:w="140" w:type="dxa"/>
            <w:vAlign w:val="bottom"/>
            <w:tcBorders>
              <w:bottom w:val="single" w:sz="8" w:color="00C08A"/>
            </w:tcBorders>
          </w:tcPr>
          <w:p>
            <w:pPr>
              <w:spacing w:after="0"/>
              <w:rPr>
                <w:sz w:val="22"/>
                <w:szCs w:val="22"/>
                <w:color w:val="auto"/>
              </w:rPr>
            </w:pPr>
          </w:p>
        </w:tc>
        <w:tc>
          <w:tcPr>
            <w:tcW w:w="480" w:type="dxa"/>
            <w:vAlign w:val="bottom"/>
            <w:tcBorders>
              <w:bottom w:val="single" w:sz="8" w:color="00C08A"/>
            </w:tcBorders>
          </w:tcPr>
          <w:p>
            <w:pPr>
              <w:spacing w:after="0"/>
              <w:rPr>
                <w:sz w:val="22"/>
                <w:szCs w:val="22"/>
                <w:color w:val="auto"/>
              </w:rPr>
            </w:pPr>
          </w:p>
        </w:tc>
        <w:tc>
          <w:tcPr>
            <w:tcW w:w="5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60" w:type="dxa"/>
            <w:vAlign w:val="bottom"/>
            <w:tcBorders>
              <w:bottom w:val="single" w:sz="8" w:color="00C08A"/>
            </w:tcBorders>
          </w:tcPr>
          <w:p>
            <w:pPr>
              <w:spacing w:after="0"/>
              <w:rPr>
                <w:sz w:val="22"/>
                <w:szCs w:val="22"/>
                <w:color w:val="auto"/>
              </w:rPr>
            </w:pPr>
          </w:p>
        </w:tc>
        <w:tc>
          <w:tcPr>
            <w:tcW w:w="220" w:type="dxa"/>
            <w:vAlign w:val="bottom"/>
            <w:tcBorders>
              <w:bottom w:val="single" w:sz="8" w:color="00C08A"/>
            </w:tcBorders>
          </w:tcPr>
          <w:p>
            <w:pPr>
              <w:spacing w:after="0"/>
              <w:rPr>
                <w:sz w:val="22"/>
                <w:szCs w:val="22"/>
                <w:color w:val="auto"/>
              </w:rPr>
            </w:pPr>
          </w:p>
        </w:tc>
        <w:tc>
          <w:tcPr>
            <w:tcW w:w="1200" w:type="dxa"/>
            <w:vAlign w:val="bottom"/>
            <w:tcBorders>
              <w:bottom w:val="single" w:sz="8" w:color="00C08A"/>
            </w:tcBorders>
            <w:gridSpan w:val="2"/>
          </w:tcPr>
          <w:p>
            <w:pPr>
              <w:ind w:left="160"/>
              <w:spacing w:after="0"/>
              <w:rPr>
                <w:sz w:val="20"/>
                <w:szCs w:val="20"/>
                <w:color w:val="auto"/>
              </w:rPr>
            </w:pPr>
            <w:r>
              <w:rPr>
                <w:rFonts w:ascii="Arial" w:cs="Arial" w:eastAsia="Arial" w:hAnsi="Arial"/>
                <w:sz w:val="18"/>
                <w:szCs w:val="18"/>
                <w:color w:val="auto"/>
              </w:rPr>
              <w:t>​ ​ ​​ 605,000</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(other than executive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tcPr>
          <w:p>
            <w:pPr>
              <w:spacing w:after="0"/>
              <w:rPr>
                <w:sz w:val="22"/>
                <w:szCs w:val="22"/>
                <w:color w:val="auto"/>
              </w:rPr>
            </w:pPr>
          </w:p>
        </w:tc>
        <w:tc>
          <w:tcPr>
            <w:tcW w:w="2980" w:type="dxa"/>
            <w:vAlign w:val="bottom"/>
            <w:tcBorders>
              <w:bottom w:val="single" w:sz="8" w:color="00C08A"/>
            </w:tcBorders>
            <w:shd w:val="clear" w:color="auto" w:fill="CCEEFF"/>
          </w:tcPr>
          <w:p>
            <w:pPr>
              <w:ind w:left="180"/>
              <w:spacing w:after="0"/>
              <w:rPr>
                <w:sz w:val="20"/>
                <w:szCs w:val="20"/>
                <w:color w:val="auto"/>
              </w:rPr>
            </w:pPr>
            <w:r>
              <w:rPr>
                <w:rFonts w:ascii="Arial" w:cs="Arial" w:eastAsia="Arial" w:hAnsi="Arial"/>
                <w:sz w:val="18"/>
                <w:szCs w:val="18"/>
                <w:color w:val="auto"/>
              </w:rPr>
              <w:t>officers) as a group (9 persons)</w:t>
            </w:r>
          </w:p>
        </w:tc>
        <w:tc>
          <w:tcPr>
            <w:tcW w:w="1920" w:type="dxa"/>
            <w:vAlign w:val="bottom"/>
            <w:tcBorders>
              <w:bottom w:val="single" w:sz="8" w:color="00C08A"/>
            </w:tcBorders>
            <w:shd w:val="clear" w:color="auto" w:fill="CCEEFF"/>
          </w:tcPr>
          <w:p>
            <w:pPr>
              <w:ind w:left="160"/>
              <w:spacing w:after="0"/>
              <w:rPr>
                <w:sz w:val="20"/>
                <w:szCs w:val="20"/>
                <w:color w:val="auto"/>
              </w:rPr>
            </w:pPr>
            <w:r>
              <w:rPr>
                <w:rFonts w:ascii="Arial" w:cs="Arial" w:eastAsia="Arial" w:hAnsi="Arial"/>
                <w:sz w:val="18"/>
                <w:szCs w:val="18"/>
                <w:color w:val="auto"/>
              </w:rPr>
              <w:t>​ ​ ​</w:t>
            </w:r>
          </w:p>
        </w:tc>
        <w:tc>
          <w:tcPr>
            <w:tcW w:w="200" w:type="dxa"/>
            <w:vAlign w:val="bottom"/>
            <w:tcBorders>
              <w:bottom w:val="single" w:sz="8" w:color="00C08A"/>
            </w:tcBorders>
            <w:shd w:val="clear" w:color="auto" w:fill="CCEEFF"/>
          </w:tcPr>
          <w:p>
            <w:pPr>
              <w:spacing w:after="0"/>
              <w:rPr>
                <w:sz w:val="22"/>
                <w:szCs w:val="22"/>
                <w:color w:val="auto"/>
              </w:rPr>
            </w:pPr>
          </w:p>
        </w:tc>
        <w:tc>
          <w:tcPr>
            <w:tcW w:w="140" w:type="dxa"/>
            <w:vAlign w:val="bottom"/>
            <w:tcBorders>
              <w:bottom w:val="single" w:sz="8" w:color="00C08A"/>
            </w:tcBorders>
            <w:shd w:val="clear" w:color="auto" w:fill="CCEEFF"/>
          </w:tcPr>
          <w:p>
            <w:pPr>
              <w:spacing w:after="0"/>
              <w:rPr>
                <w:sz w:val="22"/>
                <w:szCs w:val="22"/>
                <w:color w:val="auto"/>
              </w:rPr>
            </w:pPr>
          </w:p>
        </w:tc>
        <w:tc>
          <w:tcPr>
            <w:tcW w:w="480" w:type="dxa"/>
            <w:vAlign w:val="bottom"/>
            <w:tcBorders>
              <w:bottom w:val="single" w:sz="8" w:color="00C08A"/>
            </w:tcBorders>
            <w:shd w:val="clear" w:color="auto" w:fill="CCEEFF"/>
          </w:tcPr>
          <w:p>
            <w:pPr>
              <w:spacing w:after="0"/>
              <w:rPr>
                <w:sz w:val="22"/>
                <w:szCs w:val="22"/>
                <w:color w:val="auto"/>
              </w:rPr>
            </w:pPr>
          </w:p>
        </w:tc>
        <w:tc>
          <w:tcPr>
            <w:tcW w:w="5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60" w:type="dxa"/>
            <w:vAlign w:val="bottom"/>
            <w:tcBorders>
              <w:bottom w:val="single" w:sz="8" w:color="00C08A"/>
            </w:tcBorders>
            <w:shd w:val="clear" w:color="auto" w:fill="CCEEFF"/>
          </w:tcPr>
          <w:p>
            <w:pPr>
              <w:spacing w:after="0"/>
              <w:rPr>
                <w:sz w:val="22"/>
                <w:szCs w:val="22"/>
                <w:color w:val="auto"/>
              </w:rPr>
            </w:pPr>
          </w:p>
        </w:tc>
        <w:tc>
          <w:tcPr>
            <w:tcW w:w="220" w:type="dxa"/>
            <w:vAlign w:val="bottom"/>
            <w:tcBorders>
              <w:bottom w:val="single" w:sz="8" w:color="00C08A"/>
            </w:tcBorders>
            <w:shd w:val="clear" w:color="auto" w:fill="CCEEFF"/>
          </w:tcPr>
          <w:p>
            <w:pPr>
              <w:spacing w:after="0"/>
              <w:rPr>
                <w:sz w:val="22"/>
                <w:szCs w:val="22"/>
                <w:color w:val="auto"/>
              </w:rPr>
            </w:pPr>
          </w:p>
        </w:tc>
        <w:tc>
          <w:tcPr>
            <w:tcW w:w="1200" w:type="dxa"/>
            <w:vAlign w:val="bottom"/>
            <w:tcBorders>
              <w:bottom w:val="single" w:sz="8" w:color="00C08A"/>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 ​​2,835,000</w:t>
            </w:r>
          </w:p>
        </w:tc>
        <w:tc>
          <w:tcPr>
            <w:tcW w:w="780" w:type="dxa"/>
            <w:vAlign w:val="bottom"/>
          </w:tcPr>
          <w:p>
            <w:pPr>
              <w:jc w:val="right"/>
              <w:ind w:right="6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All employees (other than executive</w:t>
            </w:r>
          </w:p>
        </w:tc>
        <w:tc>
          <w:tcPr>
            <w:tcW w:w="1920" w:type="dxa"/>
            <w:vAlign w:val="bottom"/>
            <w:vMerge w:val="restart"/>
          </w:tcPr>
          <w:p>
            <w:pPr>
              <w:ind w:left="1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officers) as a group (140 persons)</w:t>
            </w:r>
          </w:p>
        </w:tc>
        <w:tc>
          <w:tcPr>
            <w:tcW w:w="19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3"/>
          </w:tcPr>
          <w:p>
            <w:pPr>
              <w:jc w:val="right"/>
              <w:ind w:right="633"/>
              <w:spacing w:after="0"/>
              <w:rPr>
                <w:sz w:val="20"/>
                <w:szCs w:val="20"/>
                <w:color w:val="auto"/>
              </w:rPr>
            </w:pPr>
            <w:r>
              <w:rPr>
                <w:rFonts w:ascii="Arial" w:cs="Arial" w:eastAsia="Arial" w:hAnsi="Arial"/>
                <w:sz w:val="18"/>
                <w:szCs w:val="18"/>
                <w:color w:val="auto"/>
              </w:rPr>
              <w:t>​ ​ ​​5,848,000​</w:t>
            </w:r>
          </w:p>
        </w:tc>
        <w:tc>
          <w:tcPr>
            <w:tcW w:w="0" w:type="dxa"/>
            <w:vAlign w:val="bottom"/>
          </w:tcPr>
          <w:p>
            <w:pPr>
              <w:spacing w:after="0"/>
              <w:rPr>
                <w:sz w:val="1"/>
                <w:szCs w:val="1"/>
                <w:color w:val="auto"/>
              </w:rPr>
            </w:pPr>
          </w:p>
        </w:tc>
      </w:tr>
      <w:tr>
        <w:trPr>
          <w:trHeight w:val="398"/>
        </w:trPr>
        <w:tc>
          <w:tcPr>
            <w:tcW w:w="760" w:type="dxa"/>
            <w:vAlign w:val="bottom"/>
          </w:tcPr>
          <w:p>
            <w:pPr>
              <w:spacing w:after="0"/>
              <w:rPr>
                <w:sz w:val="24"/>
                <w:szCs w:val="24"/>
                <w:color w:val="auto"/>
              </w:rPr>
            </w:pPr>
          </w:p>
        </w:tc>
        <w:tc>
          <w:tcPr>
            <w:tcW w:w="2980" w:type="dxa"/>
            <w:vAlign w:val="bottom"/>
            <w:tcBorders>
              <w:top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920" w:type="dxa"/>
            <w:vAlign w:val="bottom"/>
            <w:tcBorders>
              <w:top w:val="single" w:sz="8" w:color="00C08A"/>
            </w:tcBorders>
          </w:tcPr>
          <w:p>
            <w:pPr>
              <w:spacing w:after="0"/>
              <w:rPr>
                <w:sz w:val="24"/>
                <w:szCs w:val="24"/>
                <w:color w:val="auto"/>
              </w:rPr>
            </w:pPr>
          </w:p>
        </w:tc>
        <w:tc>
          <w:tcPr>
            <w:tcW w:w="340" w:type="dxa"/>
            <w:vAlign w:val="bottom"/>
            <w:tcBorders>
              <w:top w:val="single" w:sz="8" w:color="00C08A"/>
            </w:tcBorders>
            <w:gridSpan w:val="2"/>
          </w:tcPr>
          <w:p>
            <w:pPr>
              <w:ind w:left="160"/>
              <w:spacing w:after="0"/>
              <w:rPr>
                <w:sz w:val="20"/>
                <w:szCs w:val="20"/>
                <w:color w:val="auto"/>
              </w:rPr>
            </w:pPr>
            <w:r>
              <w:rPr>
                <w:rFonts w:ascii="Arial" w:cs="Arial" w:eastAsia="Arial" w:hAnsi="Arial"/>
                <w:sz w:val="14"/>
                <w:szCs w:val="14"/>
                <w:b w:val="1"/>
                <w:bCs w:val="1"/>
                <w:color w:val="002453"/>
              </w:rPr>
              <w:t>​ ​</w:t>
            </w:r>
          </w:p>
        </w:tc>
        <w:tc>
          <w:tcPr>
            <w:tcW w:w="1040" w:type="dxa"/>
            <w:vAlign w:val="bottom"/>
            <w:tcBorders>
              <w:top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(a)</w:t>
            </w:r>
          </w:p>
        </w:tc>
        <w:tc>
          <w:tcPr>
            <w:tcW w:w="220" w:type="dxa"/>
            <w:vAlign w:val="bottom"/>
            <w:tcBorders>
              <w:top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top w:val="single" w:sz="8" w:color="00C08A"/>
            </w:tcBorders>
          </w:tcPr>
          <w:p>
            <w:pPr>
              <w:jc w:val="center"/>
              <w:spacing w:after="0"/>
              <w:rPr>
                <w:sz w:val="20"/>
                <w:szCs w:val="20"/>
                <w:color w:val="auto"/>
              </w:rPr>
            </w:pPr>
            <w:r>
              <w:rPr>
                <w:rFonts w:ascii="Arial" w:cs="Arial" w:eastAsia="Arial" w:hAnsi="Arial"/>
                <w:sz w:val="14"/>
                <w:szCs w:val="14"/>
                <w:b w:val="1"/>
                <w:bCs w:val="1"/>
                <w:color w:val="002453"/>
              </w:rPr>
              <w:t>(b)</w:t>
            </w:r>
          </w:p>
        </w:tc>
        <w:tc>
          <w:tcPr>
            <w:tcW w:w="220" w:type="dxa"/>
            <w:vAlign w:val="bottom"/>
            <w:tcBorders>
              <w:top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480" w:type="dxa"/>
            <w:vAlign w:val="bottom"/>
            <w:tcBorders>
              <w:top w:val="single" w:sz="8" w:color="00C08A"/>
            </w:tcBorders>
          </w:tcPr>
          <w:p>
            <w:pPr>
              <w:spacing w:after="0"/>
              <w:rPr>
                <w:sz w:val="24"/>
                <w:szCs w:val="24"/>
                <w:color w:val="auto"/>
              </w:rPr>
            </w:pPr>
          </w:p>
        </w:tc>
        <w:tc>
          <w:tcPr>
            <w:tcW w:w="720" w:type="dxa"/>
            <w:vAlign w:val="bottom"/>
            <w:tcBorders>
              <w:top w:val="single" w:sz="8" w:color="00C08A"/>
            </w:tcBorders>
          </w:tcPr>
          <w:p>
            <w:pPr>
              <w:jc w:val="center"/>
              <w:ind w:right="397"/>
              <w:spacing w:after="0"/>
              <w:rPr>
                <w:sz w:val="20"/>
                <w:szCs w:val="20"/>
                <w:color w:val="auto"/>
              </w:rPr>
            </w:pPr>
            <w:r>
              <w:rPr>
                <w:rFonts w:ascii="Arial" w:cs="Arial" w:eastAsia="Arial" w:hAnsi="Arial"/>
                <w:sz w:val="14"/>
                <w:szCs w:val="14"/>
                <w:b w:val="1"/>
                <w:bCs w:val="1"/>
                <w:color w:val="002453"/>
                <w:w w:val="93"/>
              </w:rPr>
              <w:t>(c)</w:t>
            </w:r>
          </w:p>
        </w:tc>
        <w:tc>
          <w:tcPr>
            <w:tcW w:w="780" w:type="dxa"/>
            <w:vAlign w:val="bottom"/>
          </w:tcPr>
          <w:p>
            <w:pPr>
              <w:jc w:val="right"/>
              <w:ind w:right="653"/>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00C08A"/>
            </w:tcBorders>
          </w:tcPr>
          <w:p>
            <w:pPr>
              <w:spacing w:after="0"/>
              <w:rPr>
                <w:sz w:val="15"/>
                <w:szCs w:val="15"/>
                <w:color w:val="auto"/>
              </w:rPr>
            </w:pPr>
          </w:p>
        </w:tc>
        <w:tc>
          <w:tcPr>
            <w:tcW w:w="480" w:type="dxa"/>
            <w:vAlign w:val="bottom"/>
            <w:tcBorders>
              <w:top w:val="single" w:sz="8" w:color="00C08A"/>
            </w:tcBorders>
          </w:tcPr>
          <w:p>
            <w:pPr>
              <w:spacing w:after="0"/>
              <w:rPr>
                <w:sz w:val="15"/>
                <w:szCs w:val="15"/>
                <w:color w:val="auto"/>
              </w:rPr>
            </w:pPr>
          </w:p>
        </w:tc>
        <w:tc>
          <w:tcPr>
            <w:tcW w:w="560" w:type="dxa"/>
            <w:vAlign w:val="bottom"/>
            <w:tcBorders>
              <w:top w:val="single" w:sz="8" w:color="00C08A"/>
            </w:tcBorders>
          </w:tcPr>
          <w:p>
            <w:pPr>
              <w:spacing w:after="0"/>
              <w:rPr>
                <w:sz w:val="15"/>
                <w:szCs w:val="15"/>
                <w:color w:val="auto"/>
              </w:rPr>
            </w:pPr>
          </w:p>
        </w:tc>
        <w:tc>
          <w:tcPr>
            <w:tcW w:w="220" w:type="dxa"/>
            <w:vAlign w:val="bottom"/>
            <w:tcBorders>
              <w:top w:val="single" w:sz="8" w:color="00C08A"/>
            </w:tcBorders>
          </w:tcPr>
          <w:p>
            <w:pPr>
              <w:spacing w:after="0"/>
              <w:rPr>
                <w:sz w:val="15"/>
                <w:szCs w:val="15"/>
                <w:color w:val="auto"/>
              </w:rPr>
            </w:pPr>
          </w:p>
        </w:tc>
        <w:tc>
          <w:tcPr>
            <w:tcW w:w="1260" w:type="dxa"/>
            <w:vAlign w:val="bottom"/>
            <w:tcBorders>
              <w:top w:val="single" w:sz="8" w:color="00C08A"/>
            </w:tcBorders>
          </w:tcPr>
          <w:p>
            <w:pPr>
              <w:spacing w:after="0"/>
              <w:rPr>
                <w:sz w:val="15"/>
                <w:szCs w:val="15"/>
                <w:color w:val="auto"/>
              </w:rPr>
            </w:pPr>
          </w:p>
        </w:tc>
        <w:tc>
          <w:tcPr>
            <w:tcW w:w="220" w:type="dxa"/>
            <w:vAlign w:val="bottom"/>
            <w:tcBorders>
              <w:top w:val="single" w:sz="8" w:color="00C08A"/>
            </w:tcBorders>
          </w:tcPr>
          <w:p>
            <w:pPr>
              <w:spacing w:after="0"/>
              <w:rPr>
                <w:sz w:val="15"/>
                <w:szCs w:val="15"/>
                <w:color w:val="auto"/>
              </w:rPr>
            </w:pPr>
          </w:p>
        </w:tc>
        <w:tc>
          <w:tcPr>
            <w:tcW w:w="1200" w:type="dxa"/>
            <w:vAlign w:val="bottom"/>
            <w:tcBorders>
              <w:top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Number of</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Securities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453"/>
              </w:rPr>
              <w:t>Number of</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453"/>
              </w:rPr>
              <w:t>Remaining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002453"/>
              </w:rPr>
              <w:t>Weighted-Average</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w w:val="99"/>
              </w:rPr>
              <w:t>Available for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Securities to</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453"/>
              </w:rPr>
              <w:t>Future Issuance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center"/>
              <w:ind w:left="8"/>
              <w:spacing w:after="0" w:line="135" w:lineRule="exact"/>
              <w:rPr>
                <w:sz w:val="20"/>
                <w:szCs w:val="20"/>
                <w:color w:val="auto"/>
              </w:rPr>
            </w:pPr>
            <w:r>
              <w:rPr>
                <w:rFonts w:ascii="Arial" w:cs="Arial" w:eastAsia="Arial" w:hAnsi="Arial"/>
                <w:sz w:val="14"/>
                <w:szCs w:val="14"/>
                <w:b w:val="1"/>
                <w:bCs w:val="1"/>
                <w:color w:val="002453"/>
              </w:rPr>
              <w:t>be Issued Upon</w:t>
            </w:r>
          </w:p>
        </w:tc>
        <w:tc>
          <w:tcPr>
            <w:tcW w:w="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Exercise</w:t>
            </w:r>
          </w:p>
        </w:tc>
        <w:tc>
          <w:tcPr>
            <w:tcW w:w="22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Under Equity</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Exercise of</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Price of</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Compensation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Outstanding</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Outstanding</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Plans (Excluding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002453"/>
              </w:rPr>
              <w:t>Options,</w:t>
            </w:r>
          </w:p>
        </w:tc>
        <w:tc>
          <w:tcPr>
            <w:tcW w:w="22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453"/>
              </w:rPr>
              <w:t>Securities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Warrants and</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002453"/>
              </w:rPr>
              <w:t>Warrants and</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453"/>
              </w:rPr>
              <w:t>Reflected in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98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920" w:type="dxa"/>
            <w:vAlign w:val="bottom"/>
            <w:tcBorders>
              <w:bottom w:val="single" w:sz="8" w:color="00C08A"/>
            </w:tcBorders>
          </w:tcPr>
          <w:p>
            <w:pPr>
              <w:spacing w:after="0"/>
              <w:rPr>
                <w:sz w:val="17"/>
                <w:szCs w:val="17"/>
                <w:color w:val="auto"/>
              </w:rPr>
            </w:pPr>
          </w:p>
        </w:tc>
        <w:tc>
          <w:tcPr>
            <w:tcW w:w="340" w:type="dxa"/>
            <w:vAlign w:val="bottom"/>
            <w:tcBorders>
              <w:bottom w:val="single" w:sz="8" w:color="00C08A"/>
            </w:tcBorders>
            <w:gridSpan w:val="2"/>
          </w:tcPr>
          <w:p>
            <w:pPr>
              <w:ind w:left="160"/>
              <w:spacing w:after="0"/>
              <w:rPr>
                <w:sz w:val="20"/>
                <w:szCs w:val="20"/>
                <w:color w:val="auto"/>
              </w:rPr>
            </w:pPr>
            <w:r>
              <w:rPr>
                <w:rFonts w:ascii="Arial" w:cs="Arial" w:eastAsia="Arial" w:hAnsi="Arial"/>
                <w:sz w:val="14"/>
                <w:szCs w:val="14"/>
                <w:b w:val="1"/>
                <w:bCs w:val="1"/>
                <w:color w:val="002453"/>
              </w:rPr>
              <w:t>​ ​</w:t>
            </w:r>
          </w:p>
        </w:tc>
        <w:tc>
          <w:tcPr>
            <w:tcW w:w="104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Rights</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Rights ($)</w:t>
            </w:r>
          </w:p>
        </w:tc>
        <w:tc>
          <w:tcPr>
            <w:tcW w:w="220" w:type="dxa"/>
            <w:vAlign w:val="bottom"/>
            <w:tcBorders>
              <w:bottom w:val="single" w:sz="8" w:color="00C08A"/>
            </w:tcBorders>
          </w:tcPr>
          <w:p>
            <w:pPr>
              <w:jc w:val="right"/>
              <w:spacing w:after="0"/>
              <w:rPr>
                <w:sz w:val="20"/>
                <w:szCs w:val="20"/>
                <w:color w:val="auto"/>
              </w:rPr>
            </w:pPr>
            <w:r>
              <w:rPr>
                <w:rFonts w:ascii="Arial" w:cs="Arial" w:eastAsia="Arial" w:hAnsi="Arial"/>
                <w:sz w:val="14"/>
                <w:szCs w:val="14"/>
                <w:b w:val="1"/>
                <w:bCs w:val="1"/>
                <w:color w:val="002453"/>
              </w:rPr>
              <w:t>​ ​</w:t>
            </w:r>
          </w:p>
        </w:tc>
        <w:tc>
          <w:tcPr>
            <w:tcW w:w="1200" w:type="dxa"/>
            <w:vAlign w:val="bottom"/>
            <w:tcBorders>
              <w:bottom w:val="single" w:sz="8" w:color="00C08A"/>
            </w:tcBorders>
            <w:gridSpan w:val="2"/>
          </w:tcPr>
          <w:p>
            <w:pPr>
              <w:jc w:val="center"/>
              <w:spacing w:after="0"/>
              <w:rPr>
                <w:sz w:val="20"/>
                <w:szCs w:val="20"/>
                <w:color w:val="auto"/>
              </w:rPr>
            </w:pPr>
            <w:r>
              <w:rPr>
                <w:rFonts w:ascii="Arial" w:cs="Arial" w:eastAsia="Arial" w:hAnsi="Arial"/>
                <w:sz w:val="14"/>
                <w:szCs w:val="14"/>
                <w:b w:val="1"/>
                <w:bCs w:val="1"/>
                <w:color w:val="002453"/>
              </w:rPr>
              <w:t>Column (a))</w:t>
            </w:r>
          </w:p>
        </w:tc>
        <w:tc>
          <w:tcPr>
            <w:tcW w:w="780" w:type="dxa"/>
            <w:vAlign w:val="bottom"/>
          </w:tcPr>
          <w:p>
            <w:pPr>
              <w:jc w:val="right"/>
              <w:ind w:right="653"/>
              <w:spacing w:after="0"/>
              <w:rPr>
                <w:sz w:val="20"/>
                <w:szCs w:val="20"/>
                <w:color w:val="auto"/>
              </w:rPr>
            </w:pPr>
            <w:r>
              <w:rPr>
                <w:rFonts w:ascii="Arial" w:cs="Arial" w:eastAsia="Arial" w:hAnsi="Arial"/>
                <w:sz w:val="14"/>
                <w:szCs w:val="14"/>
                <w:b w:val="1"/>
                <w:bCs w:val="1"/>
                <w:color w:val="002453"/>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98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Plan Category</w:t>
            </w:r>
          </w:p>
        </w:tc>
        <w:tc>
          <w:tcPr>
            <w:tcW w:w="1920" w:type="dxa"/>
            <w:vAlign w:val="bottom"/>
            <w:tcBorders>
              <w:bottom w:val="single" w:sz="8" w:color="00C08A"/>
            </w:tcBorders>
            <w:shd w:val="clear" w:color="auto" w:fill="CCEEFF"/>
          </w:tcPr>
          <w:p>
            <w:pPr>
              <w:spacing w:after="0"/>
              <w:rPr>
                <w:sz w:val="22"/>
                <w:szCs w:val="22"/>
                <w:color w:val="auto"/>
              </w:rPr>
            </w:pPr>
          </w:p>
        </w:tc>
        <w:tc>
          <w:tcPr>
            <w:tcW w:w="340" w:type="dxa"/>
            <w:vAlign w:val="bottom"/>
            <w:tcBorders>
              <w:bottom w:val="single" w:sz="8" w:color="00C08A"/>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0C08A"/>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00C08A"/>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0C08A"/>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​198,784</w:t>
            </w:r>
          </w:p>
        </w:tc>
        <w:tc>
          <w:tcPr>
            <w:tcW w:w="780" w:type="dxa"/>
            <w:vAlign w:val="bottom"/>
          </w:tcPr>
          <w:p>
            <w:pPr>
              <w:jc w:val="right"/>
              <w:ind w:right="6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490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340" w:type="dxa"/>
            <w:vAlign w:val="bottom"/>
            <w:tcBorders>
              <w:top w:val="single" w:sz="8" w:color="00C08A"/>
              <w:bottom w:val="single" w:sz="8" w:color="00C08A"/>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40" w:type="dxa"/>
            <w:vAlign w:val="bottom"/>
            <w:tcBorders>
              <w:top w:val="single" w:sz="8" w:color="00C08A"/>
              <w:bottom w:val="single" w:sz="8" w:color="00C08A"/>
            </w:tcBorders>
            <w:gridSpan w:val="2"/>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08A"/>
              <w:bottom w:val="single" w:sz="8" w:color="00C08A"/>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​n/a</w:t>
            </w:r>
          </w:p>
        </w:tc>
        <w:tc>
          <w:tcPr>
            <w:tcW w:w="22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00C08A"/>
              <w:bottom w:val="single" w:sz="8" w:color="00C08A"/>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00C08A"/>
              <w:bottom w:val="single" w:sz="8" w:color="00C08A"/>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780" w:type="dxa"/>
            <w:vAlign w:val="bottom"/>
          </w:tcPr>
          <w:p>
            <w:pPr>
              <w:jc w:val="right"/>
              <w:ind w:right="6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2"/>
                <w:szCs w:val="22"/>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​198,784</w:t>
            </w:r>
          </w:p>
        </w:tc>
        <w:tc>
          <w:tcPr>
            <w:tcW w:w="780" w:type="dxa"/>
            <w:vAlign w:val="bottom"/>
          </w:tcPr>
          <w:p>
            <w:pPr>
              <w:jc w:val="right"/>
              <w:ind w:right="63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980" w:type="dxa"/>
            <w:vAlign w:val="bottom"/>
            <w:shd w:val="clear" w:color="auto" w:fill="00C08A"/>
          </w:tcPr>
          <w:p>
            <w:pPr>
              <w:spacing w:after="0" w:line="20" w:lineRule="exact"/>
              <w:rPr>
                <w:sz w:val="1"/>
                <w:szCs w:val="1"/>
                <w:color w:val="auto"/>
              </w:rPr>
            </w:pPr>
          </w:p>
        </w:tc>
        <w:tc>
          <w:tcPr>
            <w:tcW w:w="1920" w:type="dxa"/>
            <w:vAlign w:val="bottom"/>
            <w:shd w:val="clear" w:color="auto" w:fill="00C08A"/>
          </w:tcPr>
          <w:p>
            <w:pPr>
              <w:spacing w:after="0" w:line="20" w:lineRule="exact"/>
              <w:rPr>
                <w:sz w:val="1"/>
                <w:szCs w:val="1"/>
                <w:color w:val="auto"/>
              </w:rPr>
            </w:pPr>
          </w:p>
        </w:tc>
        <w:tc>
          <w:tcPr>
            <w:tcW w:w="200" w:type="dxa"/>
            <w:vAlign w:val="bottom"/>
            <w:shd w:val="clear" w:color="auto" w:fill="00C08A"/>
          </w:tcPr>
          <w:p>
            <w:pPr>
              <w:spacing w:after="0" w:line="20" w:lineRule="exact"/>
              <w:rPr>
                <w:sz w:val="1"/>
                <w:szCs w:val="1"/>
                <w:color w:val="auto"/>
              </w:rPr>
            </w:pPr>
          </w:p>
        </w:tc>
        <w:tc>
          <w:tcPr>
            <w:tcW w:w="140" w:type="dxa"/>
            <w:vAlign w:val="bottom"/>
            <w:shd w:val="clear" w:color="auto" w:fill="00C08A"/>
          </w:tcPr>
          <w:p>
            <w:pPr>
              <w:spacing w:after="0" w:line="20" w:lineRule="exact"/>
              <w:rPr>
                <w:sz w:val="1"/>
                <w:szCs w:val="1"/>
                <w:color w:val="auto"/>
              </w:rPr>
            </w:pPr>
          </w:p>
        </w:tc>
        <w:tc>
          <w:tcPr>
            <w:tcW w:w="480" w:type="dxa"/>
            <w:vAlign w:val="bottom"/>
            <w:shd w:val="clear" w:color="auto" w:fill="00C08A"/>
          </w:tcPr>
          <w:p>
            <w:pPr>
              <w:spacing w:after="0" w:line="20" w:lineRule="exact"/>
              <w:rPr>
                <w:sz w:val="1"/>
                <w:szCs w:val="1"/>
                <w:color w:val="auto"/>
              </w:rPr>
            </w:pPr>
          </w:p>
        </w:tc>
        <w:tc>
          <w:tcPr>
            <w:tcW w:w="560" w:type="dxa"/>
            <w:vAlign w:val="bottom"/>
            <w:shd w:val="clear" w:color="auto" w:fill="00C08A"/>
          </w:tcPr>
          <w:p>
            <w:pPr>
              <w:spacing w:after="0" w:line="20" w:lineRule="exact"/>
              <w:rPr>
                <w:sz w:val="1"/>
                <w:szCs w:val="1"/>
                <w:color w:val="auto"/>
              </w:rPr>
            </w:pPr>
          </w:p>
        </w:tc>
        <w:tc>
          <w:tcPr>
            <w:tcW w:w="220" w:type="dxa"/>
            <w:vAlign w:val="bottom"/>
            <w:shd w:val="clear" w:color="auto" w:fill="00C08A"/>
          </w:tcPr>
          <w:p>
            <w:pPr>
              <w:spacing w:after="0" w:line="20" w:lineRule="exact"/>
              <w:rPr>
                <w:sz w:val="1"/>
                <w:szCs w:val="1"/>
                <w:color w:val="auto"/>
              </w:rPr>
            </w:pPr>
          </w:p>
        </w:tc>
        <w:tc>
          <w:tcPr>
            <w:tcW w:w="2680" w:type="dxa"/>
            <w:vAlign w:val="bottom"/>
            <w:tcBorders>
              <w:right w:val="single" w:sz="8" w:color="00C08A"/>
            </w:tcBorders>
            <w:gridSpan w:val="4"/>
            <w:shd w:val="clear" w:color="auto" w:fill="00C08A"/>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2"/>
        </w:trPr>
        <w:tc>
          <w:tcPr>
            <w:tcW w:w="76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​61</w:t>
            </w:r>
          </w:p>
        </w:tc>
        <w:tc>
          <w:tcPr>
            <w:tcW w:w="1920" w:type="dxa"/>
            <w:vAlign w:val="bottom"/>
          </w:tcPr>
          <w:p>
            <w:pPr>
              <w:ind w:left="15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5"/>
          </w:tcPr>
          <w:p>
            <w:pPr>
              <w:jc w:val="right"/>
              <w:ind w:right="633"/>
              <w:spacing w:after="0"/>
              <w:rPr>
                <w:sz w:val="20"/>
                <w:szCs w:val="20"/>
                <w:color w:val="auto"/>
              </w:rPr>
            </w:pPr>
            <w:r>
              <w:rPr>
                <w:rFonts w:ascii="Arial" w:cs="Arial" w:eastAsia="Arial" w:hAnsi="Arial"/>
                <w:sz w:val="18"/>
                <w:szCs w:val="18"/>
                <w:color w:val="auto"/>
              </w:rPr>
              <w:t>2025 Proxy Statement​</w:t>
            </w:r>
          </w:p>
        </w:tc>
        <w:tc>
          <w:tcPr>
            <w:tcW w:w="0" w:type="dxa"/>
            <w:vAlign w:val="bottom"/>
          </w:tcPr>
          <w:p>
            <w:pPr>
              <w:spacing w:after="0"/>
              <w:rPr>
                <w:sz w:val="1"/>
                <w:szCs w:val="1"/>
                <w:color w:val="auto"/>
              </w:rPr>
            </w:pPr>
          </w:p>
        </w:tc>
      </w:tr>
      <w:tr>
        <w:trPr>
          <w:trHeight w:val="557"/>
        </w:trPr>
        <w:tc>
          <w:tcPr>
            <w:tcW w:w="7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-608330</wp:posOffset>
            </wp:positionV>
            <wp:extent cx="754380" cy="2311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1480"/>
        <w:spacing w:after="0" w:line="334" w:lineRule="auto"/>
        <w:rPr>
          <w:sz w:val="20"/>
          <w:szCs w:val="20"/>
          <w:color w:val="auto"/>
        </w:rPr>
      </w:pPr>
      <w:r>
        <w:rPr>
          <w:rFonts w:ascii="Arial" w:cs="Arial" w:eastAsia="Arial" w:hAnsi="Arial"/>
          <w:sz w:val="18"/>
          <w:szCs w:val="18"/>
          <w:color w:val="auto"/>
        </w:rPr>
        <w:t>PROPOSAL 5: APPROVAL OF THE VIRTU FINANCIAL, INC. SECOND AMENDED AND RESTATED 2015​ MANAGEMENT INCENTIVE PLAN​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Second Amended Plan. Broker non-voters have no effect on the proposal, and abstentions have the same effect as a vote “against” the proposal.</w:t>
      </w:r>
    </w:p>
    <w:p>
      <w:pPr>
        <w:spacing w:after="0" w:line="200" w:lineRule="exact"/>
        <w:rPr>
          <w:sz w:val="20"/>
          <w:szCs w:val="20"/>
          <w:color w:val="auto"/>
        </w:rPr>
      </w:pPr>
    </w:p>
    <w:p>
      <w:pPr>
        <w:spacing w:after="0" w:line="246" w:lineRule="exact"/>
        <w:rPr>
          <w:sz w:val="20"/>
          <w:szCs w:val="20"/>
          <w:color w:val="auto"/>
        </w:rPr>
      </w:pPr>
    </w:p>
    <w:tbl>
      <w:tblPr>
        <w:tblLayout w:type="fixed"/>
        <w:tblInd w:w="760" w:type="dxa"/>
        <w:tblCellMar>
          <w:top w:w="0" w:type="dxa"/>
          <w:left w:w="0" w:type="dxa"/>
          <w:bottom w:w="0" w:type="dxa"/>
          <w:right w:w="0" w:type="dxa"/>
        </w:tblCellMar>
      </w:tblPr>
      <w:tr>
        <w:trPr>
          <w:trHeight w:val="467"/>
        </w:trPr>
        <w:tc>
          <w:tcPr>
            <w:tcW w:w="240" w:type="dxa"/>
            <w:vAlign w:val="bottom"/>
            <w:shd w:val="clear" w:color="auto" w:fill="00C08A"/>
          </w:tcPr>
          <w:p>
            <w:pPr>
              <w:spacing w:after="0"/>
              <w:rPr>
                <w:sz w:val="24"/>
                <w:szCs w:val="24"/>
                <w:color w:val="auto"/>
              </w:rPr>
            </w:pPr>
          </w:p>
        </w:tc>
        <w:tc>
          <w:tcPr>
            <w:tcW w:w="8720" w:type="dxa"/>
            <w:vAlign w:val="bottom"/>
            <w:shd w:val="clear" w:color="auto" w:fill="00C08A"/>
          </w:tcPr>
          <w:p>
            <w:pPr>
              <w:jc w:val="center"/>
              <w:spacing w:after="0"/>
              <w:rPr>
                <w:sz w:val="20"/>
                <w:szCs w:val="20"/>
                <w:color w:val="auto"/>
              </w:rPr>
            </w:pPr>
            <w:r>
              <w:rPr>
                <w:rFonts w:ascii="Arial" w:cs="Arial" w:eastAsia="Arial" w:hAnsi="Arial"/>
                <w:sz w:val="18"/>
                <w:szCs w:val="18"/>
                <w:b w:val="1"/>
                <w:bCs w:val="1"/>
                <w:color w:val="002453"/>
                <w:w w:val="99"/>
              </w:rPr>
              <w:t>Our board of directors recommends that you vote “FOR” the amendment to the Virtu Financial, Inc.</w:t>
            </w:r>
          </w:p>
        </w:tc>
        <w:tc>
          <w:tcPr>
            <w:tcW w:w="220" w:type="dxa"/>
            <w:vAlign w:val="bottom"/>
            <w:shd w:val="clear" w:color="auto" w:fill="00C08A"/>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00C08A"/>
          </w:tcPr>
          <w:p>
            <w:pPr>
              <w:spacing w:after="0"/>
              <w:rPr>
                <w:sz w:val="18"/>
                <w:szCs w:val="18"/>
                <w:color w:val="auto"/>
              </w:rPr>
            </w:pPr>
          </w:p>
        </w:tc>
        <w:tc>
          <w:tcPr>
            <w:tcW w:w="8720" w:type="dxa"/>
            <w:vAlign w:val="bottom"/>
            <w:shd w:val="clear" w:color="auto" w:fill="00C08A"/>
          </w:tcPr>
          <w:p>
            <w:pPr>
              <w:jc w:val="center"/>
              <w:spacing w:after="0"/>
              <w:rPr>
                <w:sz w:val="20"/>
                <w:szCs w:val="20"/>
                <w:color w:val="auto"/>
              </w:rPr>
            </w:pPr>
            <w:r>
              <w:rPr>
                <w:rFonts w:ascii="Arial" w:cs="Arial" w:eastAsia="Arial" w:hAnsi="Arial"/>
                <w:sz w:val="18"/>
                <w:szCs w:val="18"/>
                <w:b w:val="1"/>
                <w:bCs w:val="1"/>
                <w:color w:val="002453"/>
                <w:w w:val="99"/>
              </w:rPr>
              <w:t>Second Amended and Restated 2015 Management Incentive Plan to increase the number of shares</w:t>
            </w:r>
          </w:p>
        </w:tc>
        <w:tc>
          <w:tcPr>
            <w:tcW w:w="220" w:type="dxa"/>
            <w:vAlign w:val="bottom"/>
            <w:shd w:val="clear" w:color="auto" w:fill="00C08A"/>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40" w:type="dxa"/>
            <w:vAlign w:val="bottom"/>
            <w:vMerge w:val="restart"/>
            <w:shd w:val="clear" w:color="auto" w:fill="00C08A"/>
          </w:tcPr>
          <w:p>
            <w:pPr>
              <w:ind w:left="60"/>
              <w:spacing w:after="0"/>
              <w:rPr>
                <w:sz w:val="20"/>
                <w:szCs w:val="20"/>
                <w:color w:val="auto"/>
              </w:rPr>
            </w:pPr>
            <w:r>
              <w:rPr>
                <w:rFonts w:ascii="Arial" w:cs="Arial" w:eastAsia="Arial" w:hAnsi="Arial"/>
                <w:sz w:val="18"/>
                <w:szCs w:val="18"/>
                <w:b w:val="1"/>
                <w:bCs w:val="1"/>
                <w:color w:val="002453"/>
              </w:rPr>
              <w:t>​</w:t>
            </w:r>
          </w:p>
        </w:tc>
        <w:tc>
          <w:tcPr>
            <w:tcW w:w="8720" w:type="dxa"/>
            <w:vAlign w:val="bottom"/>
            <w:shd w:val="clear" w:color="auto" w:fill="00C08A"/>
          </w:tcPr>
          <w:p>
            <w:pPr>
              <w:jc w:val="center"/>
              <w:spacing w:after="0"/>
              <w:rPr>
                <w:sz w:val="20"/>
                <w:szCs w:val="20"/>
                <w:color w:val="auto"/>
              </w:rPr>
            </w:pPr>
            <w:r>
              <w:rPr>
                <w:rFonts w:ascii="Arial" w:cs="Arial" w:eastAsia="Arial" w:hAnsi="Arial"/>
                <w:sz w:val="18"/>
                <w:szCs w:val="18"/>
                <w:b w:val="1"/>
                <w:bCs w:val="1"/>
                <w:color w:val="002453"/>
                <w:w w:val="99"/>
              </w:rPr>
              <w:t>authorized for issuance thereunder.</w:t>
            </w:r>
          </w:p>
        </w:tc>
        <w:tc>
          <w:tcPr>
            <w:tcW w:w="220" w:type="dxa"/>
            <w:vAlign w:val="bottom"/>
            <w:vMerge w:val="restart"/>
            <w:shd w:val="clear" w:color="auto" w:fill="00C08A"/>
          </w:tcPr>
          <w:p>
            <w:pPr>
              <w:ind w:left="160"/>
              <w:spacing w:after="0"/>
              <w:rPr>
                <w:sz w:val="20"/>
                <w:szCs w:val="20"/>
                <w:color w:val="auto"/>
              </w:rPr>
            </w:pPr>
            <w:r>
              <w:rPr>
                <w:rFonts w:ascii="Arial" w:cs="Arial" w:eastAsia="Arial" w:hAnsi="Arial"/>
                <w:sz w:val="18"/>
                <w:szCs w:val="18"/>
                <w:b w:val="1"/>
                <w:bCs w:val="1"/>
                <w:color w:val="002453"/>
              </w:rPr>
              <w:t>​</w:t>
            </w:r>
          </w:p>
        </w:tc>
        <w:tc>
          <w:tcPr>
            <w:tcW w:w="0" w:type="dxa"/>
            <w:vAlign w:val="bottom"/>
          </w:tcPr>
          <w:p>
            <w:pPr>
              <w:spacing w:after="0"/>
              <w:rPr>
                <w:sz w:val="1"/>
                <w:szCs w:val="1"/>
                <w:color w:val="auto"/>
              </w:rPr>
            </w:pPr>
          </w:p>
        </w:tc>
      </w:tr>
      <w:tr>
        <w:trPr>
          <w:trHeight w:val="42"/>
        </w:trPr>
        <w:tc>
          <w:tcPr>
            <w:tcW w:w="240" w:type="dxa"/>
            <w:vAlign w:val="bottom"/>
            <w:vMerge w:val="continue"/>
            <w:shd w:val="clear" w:color="auto" w:fill="00C08A"/>
          </w:tcPr>
          <w:p>
            <w:pPr>
              <w:spacing w:after="0"/>
              <w:rPr>
                <w:sz w:val="3"/>
                <w:szCs w:val="3"/>
                <w:color w:val="auto"/>
              </w:rPr>
            </w:pPr>
          </w:p>
        </w:tc>
        <w:tc>
          <w:tcPr>
            <w:tcW w:w="8720" w:type="dxa"/>
            <w:vAlign w:val="bottom"/>
            <w:shd w:val="clear" w:color="auto" w:fill="00C08A"/>
          </w:tcPr>
          <w:p>
            <w:pPr>
              <w:spacing w:after="0"/>
              <w:rPr>
                <w:sz w:val="3"/>
                <w:szCs w:val="3"/>
                <w:color w:val="auto"/>
              </w:rPr>
            </w:pPr>
          </w:p>
        </w:tc>
        <w:tc>
          <w:tcPr>
            <w:tcW w:w="220" w:type="dxa"/>
            <w:vAlign w:val="bottom"/>
            <w:vMerge w:val="continue"/>
            <w:shd w:val="clear" w:color="auto" w:fill="00C08A"/>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5940425</wp:posOffset>
            </wp:positionV>
            <wp:extent cx="754380" cy="2317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320"/>
        <w:spacing w:after="0" w:line="260" w:lineRule="auto"/>
        <w:rPr>
          <w:sz w:val="20"/>
          <w:szCs w:val="20"/>
          <w:color w:val="auto"/>
        </w:rPr>
      </w:pPr>
      <w:r>
        <w:rPr>
          <w:rFonts w:ascii="Arial" w:cs="Arial" w:eastAsia="Arial" w:hAnsi="Arial"/>
          <w:sz w:val="54"/>
          <w:szCs w:val="54"/>
          <w:color w:val="002453"/>
        </w:rPr>
        <w:t>Stock Ownership of Certain Beneficial Owners and Management</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set forth information with respect to the beneficial ownership of our Class A common stock and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by:</w:t>
      </w:r>
    </w:p>
    <w:p>
      <w:pPr>
        <w:spacing w:after="0" w:line="99" w:lineRule="exact"/>
        <w:rPr>
          <w:sz w:val="20"/>
          <w:szCs w:val="20"/>
          <w:color w:val="auto"/>
        </w:rPr>
      </w:pPr>
    </w:p>
    <w:p>
      <w:pPr>
        <w:ind w:left="1340" w:hanging="218"/>
        <w:spacing w:after="0"/>
        <w:tabs>
          <w:tab w:leader="none" w:pos="1340" w:val="left"/>
        </w:tabs>
        <w:numPr>
          <w:ilvl w:val="0"/>
          <w:numId w:val="43"/>
        </w:numPr>
        <w:rPr>
          <w:rFonts w:ascii="Arial" w:cs="Arial" w:eastAsia="Arial" w:hAnsi="Arial"/>
          <w:sz w:val="18"/>
          <w:szCs w:val="18"/>
          <w:color w:val="002453"/>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002453"/>
        </w:rPr>
      </w:pPr>
    </w:p>
    <w:p>
      <w:pPr>
        <w:ind w:left="1340" w:right="600" w:hanging="218"/>
        <w:spacing w:after="0" w:line="287" w:lineRule="auto"/>
        <w:tabs>
          <w:tab w:leader="none" w:pos="1340" w:val="left"/>
        </w:tabs>
        <w:numPr>
          <w:ilvl w:val="0"/>
          <w:numId w:val="43"/>
        </w:numPr>
        <w:rPr>
          <w:rFonts w:ascii="Arial" w:cs="Arial" w:eastAsia="Arial" w:hAnsi="Arial"/>
          <w:sz w:val="18"/>
          <w:szCs w:val="18"/>
          <w:color w:val="002453"/>
        </w:rPr>
      </w:pPr>
      <w:r>
        <w:rPr>
          <w:rFonts w:ascii="Arial" w:cs="Arial" w:eastAsia="Arial" w:hAnsi="Arial"/>
          <w:sz w:val="18"/>
          <w:szCs w:val="18"/>
          <w:color w:val="auto"/>
        </w:rPr>
        <w:t>Each person who is known to be the beneficial owner of more than 5% of the outstanding shares of our Class A common stock and Class B common stock; and</w:t>
      </w:r>
    </w:p>
    <w:p>
      <w:pPr>
        <w:spacing w:after="0" w:line="44" w:lineRule="exact"/>
        <w:rPr>
          <w:rFonts w:ascii="Arial" w:cs="Arial" w:eastAsia="Arial" w:hAnsi="Arial"/>
          <w:sz w:val="18"/>
          <w:szCs w:val="18"/>
          <w:color w:val="002453"/>
        </w:rPr>
      </w:pPr>
    </w:p>
    <w:p>
      <w:pPr>
        <w:ind w:left="1340" w:hanging="218"/>
        <w:spacing w:after="0"/>
        <w:tabs>
          <w:tab w:leader="none" w:pos="1340" w:val="left"/>
        </w:tabs>
        <w:numPr>
          <w:ilvl w:val="0"/>
          <w:numId w:val="43"/>
        </w:numPr>
        <w:rPr>
          <w:rFonts w:ascii="Arial" w:cs="Arial" w:eastAsia="Arial" w:hAnsi="Arial"/>
          <w:sz w:val="18"/>
          <w:szCs w:val="18"/>
          <w:color w:val="002453"/>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760" w:right="100"/>
        <w:spacing w:after="0" w:line="291" w:lineRule="auto"/>
        <w:rPr>
          <w:sz w:val="20"/>
          <w:szCs w:val="20"/>
          <w:color w:val="auto"/>
        </w:rPr>
      </w:pPr>
      <w:r>
        <w:rPr>
          <w:rFonts w:ascii="Arial" w:cs="Arial" w:eastAsia="Arial" w:hAnsi="Arial"/>
          <w:sz w:val="17"/>
          <w:szCs w:val="17"/>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Prior to our initial public offering, our business was conducted through Virtu Financial and its subsidiaries. In a series</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transactions that occurred in connection with our initial public offering, (i) we became the sole managing member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Virtu Financial and acquired non-voting common interest units of Virtu Financial Units, (ii) certain direct or indirect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equity holders of Virtu Financial acquired shares of our Class A common stock and (iii) certain direct or indirect equity</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holders of Virtu Financial had their interests reclassified into Virtu Financial Units and acquired shares of our Class 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or, in the case of the Founder Member only, shares of our Class D common stock (collectively,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Virtu Members</w:t>
      </w:r>
      <w:r>
        <w:rPr>
          <w:rFonts w:ascii="Arial" w:cs="Arial" w:eastAsia="Arial" w:hAnsi="Arial"/>
          <w:sz w:val="18"/>
          <w:szCs w:val="18"/>
          <w:color w:val="auto"/>
        </w:rPr>
        <w:t>”). Subject to certain restrictions, each Virtu Member, other than the Founder Member, has the right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 any time to exchange any vested Virtu Financial Units (together with a corresponding number of shares of Class 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for shares of Class A common stock on a one for one basis. Subject to certain restrictions,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Founder Member has the right at any time to exchange any Virtu Financial Units (together with a corresponding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number of shares of Class D common stock) for shares of Class B common stock on a one for one basis. Shares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may be converted into shares of Class A common stock on a one for one basis.</w:t>
      </w:r>
    </w:p>
    <w:p>
      <w:pPr>
        <w:spacing w:after="0" w:line="99" w:lineRule="exact"/>
        <w:rPr>
          <w:sz w:val="20"/>
          <w:szCs w:val="20"/>
          <w:color w:val="auto"/>
        </w:rPr>
      </w:pPr>
    </w:p>
    <w:p>
      <w:pPr>
        <w:ind w:left="760" w:right="300"/>
        <w:spacing w:after="0" w:line="268" w:lineRule="auto"/>
        <w:rPr>
          <w:sz w:val="20"/>
          <w:szCs w:val="20"/>
          <w:color w:val="auto"/>
        </w:rPr>
      </w:pPr>
      <w:r>
        <w:rPr>
          <w:rFonts w:ascii="Arial" w:cs="Arial" w:eastAsia="Arial" w:hAnsi="Arial"/>
          <w:sz w:val="17"/>
          <w:szCs w:val="17"/>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w:t>
      </w:r>
    </w:p>
    <w:p>
      <w:pPr>
        <w:spacing w:after="0" w:line="4" w:lineRule="exact"/>
        <w:rPr>
          <w:sz w:val="20"/>
          <w:szCs w:val="20"/>
          <w:color w:val="auto"/>
        </w:rPr>
      </w:pPr>
    </w:p>
    <w:p>
      <w:pPr>
        <w:jc w:val="both"/>
        <w:ind w:left="760" w:right="120"/>
        <w:spacing w:after="0" w:line="253" w:lineRule="auto"/>
        <w:rPr>
          <w:sz w:val="20"/>
          <w:szCs w:val="20"/>
          <w:color w:val="auto"/>
        </w:rPr>
      </w:pPr>
      <w:r>
        <w:rPr>
          <w:rFonts w:ascii="Arial" w:cs="Arial" w:eastAsia="Arial" w:hAnsi="Arial"/>
          <w:sz w:val="18"/>
          <w:szCs w:val="18"/>
          <w:color w:val="auto"/>
        </w:rPr>
        <w:t>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75"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Except as set forth in the footnotes below, the percentages included in the following table are based on 86,142,860 shares of Class A common stock outstanding, 8,194,847 Virtu Financial Units and related shares of Class C common stock and 60,091,740 Virtu Financial Units and related shares of Class D common stock outstanding as of April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25" w:lineRule="exact"/>
        <w:rPr>
          <w:sz w:val="20"/>
          <w:szCs w:val="20"/>
          <w:color w:val="auto"/>
        </w:rPr>
      </w:pPr>
    </w:p>
    <w:p>
      <w:pPr>
        <w:ind w:left="760" w:right="580"/>
        <w:spacing w:after="0" w:line="271" w:lineRule="auto"/>
        <w:rPr>
          <w:sz w:val="20"/>
          <w:szCs w:val="20"/>
          <w:color w:val="auto"/>
        </w:rPr>
      </w:pPr>
      <w:r>
        <w:rPr>
          <w:rFonts w:ascii="Arial" w:cs="Arial" w:eastAsia="Arial" w:hAnsi="Arial"/>
          <w:sz w:val="18"/>
          <w:szCs w:val="18"/>
          <w:color w:val="auto"/>
        </w:rPr>
        <w:t>Unless otherwise indicated, the address for each beneficial owner listed below is: c/o Virtu Financial, Inc., 1633 Broadway, New York, New York 10019.</w:t>
      </w:r>
    </w:p>
    <w:p>
      <w:pPr>
        <w:spacing w:after="0" w:line="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002453"/>
              </w:rPr>
              <w:t>Class A Common Stock</w:t>
            </w:r>
          </w:p>
        </w:tc>
        <w:tc>
          <w:tcPr>
            <w:tcW w:w="360" w:type="dxa"/>
            <w:vAlign w:val="bottom"/>
          </w:tcPr>
          <w:p>
            <w:pPr>
              <w:spacing w:after="0"/>
              <w:rPr>
                <w:sz w:val="14"/>
                <w:szCs w:val="14"/>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002453"/>
              </w:rPr>
              <w:t>Class B Common Stock</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002453"/>
              </w:rPr>
              <w:t>Combined</w:t>
            </w:r>
          </w:p>
        </w:tc>
        <w:tc>
          <w:tcPr>
            <w:tcW w:w="60" w:type="dxa"/>
            <w:vAlign w:val="bottom"/>
          </w:tcPr>
          <w:p>
            <w:pPr>
              <w:spacing w:after="0"/>
              <w:rPr>
                <w:sz w:val="14"/>
                <w:szCs w:val="14"/>
                <w:color w:val="auto"/>
              </w:rPr>
            </w:pPr>
          </w:p>
        </w:tc>
      </w:tr>
      <w:tr>
        <w:trPr>
          <w:trHeight w:val="148"/>
        </w:trPr>
        <w:tc>
          <w:tcPr>
            <w:tcW w:w="4140" w:type="dxa"/>
            <w:vAlign w:val="bottom"/>
          </w:tcPr>
          <w:p>
            <w:pPr>
              <w:spacing w:after="0"/>
              <w:rPr>
                <w:sz w:val="12"/>
                <w:szCs w:val="12"/>
                <w:color w:val="auto"/>
              </w:rPr>
            </w:pPr>
          </w:p>
        </w:tc>
        <w:tc>
          <w:tcPr>
            <w:tcW w:w="1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002453"/>
              </w:rPr>
              <w:t>(on a fully exchanged and</w:t>
            </w:r>
          </w:p>
        </w:tc>
        <w:tc>
          <w:tcPr>
            <w:tcW w:w="360" w:type="dxa"/>
            <w:vAlign w:val="bottom"/>
          </w:tcPr>
          <w:p>
            <w:pPr>
              <w:spacing w:after="0"/>
              <w:rPr>
                <w:sz w:val="12"/>
                <w:szCs w:val="12"/>
                <w:color w:val="auto"/>
              </w:rPr>
            </w:pPr>
          </w:p>
        </w:tc>
        <w:tc>
          <w:tcPr>
            <w:tcW w:w="194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002453"/>
              </w:rPr>
              <w:t>(on a fully exchanged and</w:t>
            </w:r>
          </w:p>
        </w:tc>
        <w:tc>
          <w:tcPr>
            <w:tcW w:w="180" w:type="dxa"/>
            <w:vAlign w:val="bottom"/>
          </w:tcPr>
          <w:p>
            <w:pPr>
              <w:spacing w:after="0"/>
              <w:rPr>
                <w:sz w:val="12"/>
                <w:szCs w:val="12"/>
                <w:color w:val="auto"/>
              </w:rPr>
            </w:pPr>
          </w:p>
        </w:tc>
        <w:tc>
          <w:tcPr>
            <w:tcW w:w="680" w:type="dxa"/>
            <w:vAlign w:val="bottom"/>
            <w:gridSpan w:val="2"/>
          </w:tcPr>
          <w:p>
            <w:pPr>
              <w:jc w:val="right"/>
              <w:ind w:right="110"/>
              <w:spacing w:after="0" w:line="149" w:lineRule="exact"/>
              <w:rPr>
                <w:sz w:val="20"/>
                <w:szCs w:val="20"/>
                <w:color w:val="auto"/>
              </w:rPr>
            </w:pPr>
            <w:r>
              <w:rPr>
                <w:rFonts w:ascii="Arial" w:cs="Arial" w:eastAsia="Arial" w:hAnsi="Arial"/>
                <w:sz w:val="14"/>
                <w:szCs w:val="14"/>
                <w:b w:val="1"/>
                <w:bCs w:val="1"/>
                <w:color w:val="002453"/>
              </w:rPr>
              <w:t>Voting</w:t>
            </w:r>
          </w:p>
        </w:tc>
        <w:tc>
          <w:tcPr>
            <w:tcW w:w="60" w:type="dxa"/>
            <w:vAlign w:val="bottom"/>
          </w:tcPr>
          <w:p>
            <w:pPr>
              <w:spacing w:after="0"/>
              <w:rPr>
                <w:sz w:val="12"/>
                <w:szCs w:val="12"/>
                <w:color w:val="auto"/>
              </w:rPr>
            </w:pPr>
          </w:p>
        </w:tc>
      </w:tr>
      <w:tr>
        <w:trPr>
          <w:trHeight w:val="185"/>
        </w:trPr>
        <w:tc>
          <w:tcPr>
            <w:tcW w:w="41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480" w:type="dxa"/>
            <w:vAlign w:val="bottom"/>
            <w:tcBorders>
              <w:bottom w:val="single" w:sz="8" w:color="00C08A"/>
            </w:tcBorders>
            <w:gridSpan w:val="2"/>
          </w:tcPr>
          <w:p>
            <w:pPr>
              <w:jc w:val="center"/>
              <w:ind w:left="134"/>
              <w:spacing w:after="0"/>
              <w:rPr>
                <w:sz w:val="20"/>
                <w:szCs w:val="20"/>
                <w:color w:val="auto"/>
              </w:rPr>
            </w:pPr>
            <w:r>
              <w:rPr>
                <w:rFonts w:ascii="Arial" w:cs="Arial" w:eastAsia="Arial" w:hAnsi="Arial"/>
                <w:sz w:val="14"/>
                <w:szCs w:val="14"/>
                <w:b w:val="1"/>
                <w:bCs w:val="1"/>
                <w:color w:val="002453"/>
              </w:rPr>
              <w:t>converted basis)</w:t>
            </w:r>
          </w:p>
        </w:tc>
        <w:tc>
          <w:tcPr>
            <w:tcW w:w="300" w:type="dxa"/>
            <w:vAlign w:val="bottom"/>
            <w:tcBorders>
              <w:bottom w:val="single" w:sz="8" w:color="00C08A"/>
            </w:tcBorders>
          </w:tcPr>
          <w:p>
            <w:pPr>
              <w:spacing w:after="0"/>
              <w:rPr>
                <w:sz w:val="16"/>
                <w:szCs w:val="16"/>
                <w:color w:val="auto"/>
              </w:rPr>
            </w:pPr>
          </w:p>
        </w:tc>
        <w:tc>
          <w:tcPr>
            <w:tcW w:w="360" w:type="dxa"/>
            <w:vAlign w:val="bottom"/>
            <w:tcBorders>
              <w:bottom w:val="single" w:sz="8" w:color="00C08A"/>
            </w:tcBorders>
          </w:tcPr>
          <w:p>
            <w:pPr>
              <w:jc w:val="center"/>
              <w:spacing w:after="0"/>
              <w:rPr>
                <w:sz w:val="20"/>
                <w:szCs w:val="20"/>
                <w:color w:val="auto"/>
              </w:rPr>
            </w:pPr>
            <w:r>
              <w:rPr>
                <w:rFonts w:ascii="Arial" w:cs="Arial" w:eastAsia="Arial" w:hAnsi="Arial"/>
                <w:sz w:val="14"/>
                <w:szCs w:val="14"/>
                <w:b w:val="1"/>
                <w:bCs w:val="1"/>
                <w:color w:val="002453"/>
              </w:rPr>
              <w:t>​ ​</w:t>
            </w:r>
          </w:p>
        </w:tc>
        <w:tc>
          <w:tcPr>
            <w:tcW w:w="1940" w:type="dxa"/>
            <w:vAlign w:val="bottom"/>
            <w:tcBorders>
              <w:bottom w:val="single" w:sz="8" w:color="00C08A"/>
            </w:tcBorders>
            <w:gridSpan w:val="3"/>
          </w:tcPr>
          <w:p>
            <w:pPr>
              <w:jc w:val="right"/>
              <w:ind w:right="250"/>
              <w:spacing w:after="0"/>
              <w:rPr>
                <w:sz w:val="20"/>
                <w:szCs w:val="20"/>
                <w:color w:val="auto"/>
              </w:rPr>
            </w:pPr>
            <w:r>
              <w:rPr>
                <w:rFonts w:ascii="Arial" w:cs="Arial" w:eastAsia="Arial" w:hAnsi="Arial"/>
                <w:sz w:val="14"/>
                <w:szCs w:val="14"/>
                <w:b w:val="1"/>
                <w:bCs w:val="1"/>
                <w:color w:val="002453"/>
              </w:rPr>
              <w:t>converted basis)(1)</w:t>
            </w:r>
          </w:p>
        </w:tc>
        <w:tc>
          <w:tcPr>
            <w:tcW w:w="860" w:type="dxa"/>
            <w:vAlign w:val="bottom"/>
            <w:tcBorders>
              <w:bottom w:val="single" w:sz="8" w:color="00C08A"/>
            </w:tcBorders>
            <w:gridSpan w:val="3"/>
          </w:tcPr>
          <w:p>
            <w:pPr>
              <w:ind w:left="80"/>
              <w:spacing w:after="0"/>
              <w:rPr>
                <w:sz w:val="20"/>
                <w:szCs w:val="20"/>
                <w:color w:val="auto"/>
              </w:rPr>
            </w:pPr>
            <w:r>
              <w:rPr>
                <w:rFonts w:ascii="Arial" w:cs="Arial" w:eastAsia="Arial" w:hAnsi="Arial"/>
                <w:sz w:val="14"/>
                <w:szCs w:val="14"/>
                <w:b w:val="1"/>
                <w:bCs w:val="1"/>
                <w:color w:val="002453"/>
              </w:rPr>
              <w:t>​ Power(2)</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r>
      <w:tr>
        <w:trPr>
          <w:trHeight w:val="210"/>
        </w:trPr>
        <w:tc>
          <w:tcPr>
            <w:tcW w:w="4140" w:type="dxa"/>
            <w:vAlign w:val="bottom"/>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Pr>
          <w:p>
            <w:pPr>
              <w:spacing w:after="0"/>
              <w:rPr>
                <w:sz w:val="20"/>
                <w:szCs w:val="20"/>
                <w:color w:val="auto"/>
              </w:rPr>
            </w:pPr>
            <w:r>
              <w:rPr>
                <w:rFonts w:ascii="Arial" w:cs="Arial" w:eastAsia="Arial" w:hAnsi="Arial"/>
                <w:sz w:val="14"/>
                <w:szCs w:val="14"/>
                <w:b w:val="1"/>
                <w:bCs w:val="1"/>
                <w:color w:val="002453"/>
              </w:rPr>
              <w:t>​</w:t>
            </w:r>
          </w:p>
        </w:tc>
        <w:tc>
          <w:tcPr>
            <w:tcW w:w="2140" w:type="dxa"/>
            <w:vAlign w:val="bottom"/>
            <w:gridSpan w:val="4"/>
          </w:tcPr>
          <w:p>
            <w:pPr>
              <w:ind w:left="80"/>
              <w:spacing w:after="0" w:line="210" w:lineRule="exact"/>
              <w:rPr>
                <w:sz w:val="20"/>
                <w:szCs w:val="20"/>
                <w:color w:val="auto"/>
              </w:rPr>
            </w:pPr>
            <w:r>
              <w:rPr>
                <w:rFonts w:ascii="Arial" w:cs="Arial" w:eastAsia="Arial" w:hAnsi="Arial"/>
                <w:sz w:val="13"/>
                <w:szCs w:val="13"/>
                <w:b w:val="1"/>
                <w:bCs w:val="1"/>
                <w:color w:val="002453"/>
              </w:rPr>
              <w:t xml:space="preserve">Number   </w:t>
            </w:r>
            <w:r>
              <w:rPr>
                <w:rFonts w:ascii="Arial" w:cs="Arial" w:eastAsia="Arial" w:hAnsi="Arial"/>
                <w:sz w:val="24"/>
                <w:szCs w:val="24"/>
                <w:b w:val="1"/>
                <w:bCs w:val="1"/>
                <w:color w:val="002453"/>
                <w:vertAlign w:val="subscript"/>
              </w:rPr>
              <w:t>​ ​</w:t>
            </w:r>
            <w:r>
              <w:rPr>
                <w:rFonts w:ascii="Arial" w:cs="Arial" w:eastAsia="Arial" w:hAnsi="Arial"/>
                <w:sz w:val="13"/>
                <w:szCs w:val="13"/>
                <w:b w:val="1"/>
                <w:bCs w:val="1"/>
                <w:color w:val="002453"/>
              </w:rPr>
              <w:t xml:space="preserve"> Percentage </w:t>
            </w:r>
            <w:r>
              <w:rPr>
                <w:rFonts w:ascii="Arial" w:cs="Arial" w:eastAsia="Arial" w:hAnsi="Arial"/>
                <w:sz w:val="24"/>
                <w:szCs w:val="24"/>
                <w:b w:val="1"/>
                <w:bCs w:val="1"/>
                <w:color w:val="002453"/>
                <w:vertAlign w:val="subscript"/>
              </w:rPr>
              <w:t>​ ​</w:t>
            </w:r>
          </w:p>
        </w:tc>
        <w:tc>
          <w:tcPr>
            <w:tcW w:w="1000" w:type="dxa"/>
            <w:vAlign w:val="bottom"/>
          </w:tcPr>
          <w:p>
            <w:pPr>
              <w:jc w:val="right"/>
              <w:spacing w:after="0" w:line="210" w:lineRule="exact"/>
              <w:rPr>
                <w:sz w:val="20"/>
                <w:szCs w:val="20"/>
                <w:color w:val="auto"/>
              </w:rPr>
            </w:pPr>
            <w:r>
              <w:rPr>
                <w:rFonts w:ascii="Arial" w:cs="Arial" w:eastAsia="Arial" w:hAnsi="Arial"/>
                <w:sz w:val="13"/>
                <w:szCs w:val="13"/>
                <w:b w:val="1"/>
                <w:bCs w:val="1"/>
                <w:color w:val="002453"/>
              </w:rPr>
              <w:t xml:space="preserve">Number   </w:t>
            </w:r>
            <w:r>
              <w:rPr>
                <w:rFonts w:ascii="Arial" w:cs="Arial" w:eastAsia="Arial" w:hAnsi="Arial"/>
                <w:sz w:val="24"/>
                <w:szCs w:val="24"/>
                <w:b w:val="1"/>
                <w:bCs w:val="1"/>
                <w:color w:val="002453"/>
                <w:vertAlign w:val="subscript"/>
              </w:rPr>
              <w:t>​​</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002453"/>
              </w:rPr>
              <w:t>Percentage</w:t>
            </w:r>
          </w:p>
        </w:tc>
        <w:tc>
          <w:tcPr>
            <w:tcW w:w="920" w:type="dxa"/>
            <w:vAlign w:val="bottom"/>
            <w:gridSpan w:val="4"/>
          </w:tcPr>
          <w:p>
            <w:pPr>
              <w:ind w:left="80"/>
              <w:spacing w:after="0" w:line="210" w:lineRule="exact"/>
              <w:rPr>
                <w:sz w:val="20"/>
                <w:szCs w:val="20"/>
                <w:color w:val="auto"/>
              </w:rPr>
            </w:pPr>
            <w:r>
              <w:rPr>
                <w:rFonts w:ascii="Arial" w:cs="Arial" w:eastAsia="Arial" w:hAnsi="Arial"/>
                <w:sz w:val="24"/>
                <w:szCs w:val="24"/>
                <w:b w:val="1"/>
                <w:bCs w:val="1"/>
                <w:color w:val="002453"/>
                <w:vertAlign w:val="subscript"/>
              </w:rPr>
              <w:t>​</w:t>
            </w:r>
            <w:r>
              <w:rPr>
                <w:rFonts w:ascii="Arial" w:cs="Arial" w:eastAsia="Arial" w:hAnsi="Arial"/>
                <w:sz w:val="13"/>
                <w:szCs w:val="13"/>
                <w:b w:val="1"/>
                <w:bCs w:val="1"/>
                <w:color w:val="002453"/>
              </w:rPr>
              <w:t>Percentage</w:t>
            </w:r>
            <w:r>
              <w:rPr>
                <w:rFonts w:ascii="Arial" w:cs="Arial" w:eastAsia="Arial" w:hAnsi="Arial"/>
                <w:sz w:val="24"/>
                <w:szCs w:val="24"/>
                <w:b w:val="1"/>
                <w:bCs w:val="1"/>
                <w:color w:val="002453"/>
                <w:vertAlign w:val="subscript"/>
              </w:rPr>
              <w:t>​</w:t>
            </w:r>
          </w:p>
        </w:tc>
      </w:tr>
      <w:tr>
        <w:trPr>
          <w:trHeight w:val="209"/>
        </w:trPr>
        <w:tc>
          <w:tcPr>
            <w:tcW w:w="4140" w:type="dxa"/>
            <w:vAlign w:val="bottom"/>
            <w:tcBorders>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100" w:type="dxa"/>
            <w:vAlign w:val="bottom"/>
            <w:tcBorders>
              <w:top w:val="single" w:sz="8" w:color="00C08A"/>
              <w:bottom w:val="single" w:sz="8" w:color="00C08A"/>
            </w:tcBorders>
          </w:tcPr>
          <w:p>
            <w:pPr>
              <w:spacing w:after="0"/>
              <w:rPr>
                <w:sz w:val="20"/>
                <w:szCs w:val="20"/>
                <w:color w:val="auto"/>
              </w:rPr>
            </w:pPr>
            <w:r>
              <w:rPr>
                <w:rFonts w:ascii="Arial" w:cs="Arial" w:eastAsia="Arial" w:hAnsi="Arial"/>
                <w:sz w:val="14"/>
                <w:szCs w:val="14"/>
                <w:b w:val="1"/>
                <w:bCs w:val="1"/>
                <w:color w:val="002453"/>
              </w:rPr>
              <w:t>​</w:t>
            </w:r>
          </w:p>
        </w:tc>
        <w:tc>
          <w:tcPr>
            <w:tcW w:w="4940" w:type="dxa"/>
            <w:vAlign w:val="bottom"/>
            <w:tcBorders>
              <w:top w:val="single" w:sz="8" w:color="00C08A"/>
              <w:bottom w:val="single" w:sz="8" w:color="00C08A"/>
            </w:tcBorders>
            <w:gridSpan w:val="10"/>
          </w:tcPr>
          <w:p>
            <w:pPr>
              <w:jc w:val="right"/>
              <w:ind w:right="110"/>
              <w:spacing w:after="0"/>
              <w:rPr>
                <w:sz w:val="20"/>
                <w:szCs w:val="20"/>
                <w:color w:val="auto"/>
              </w:rPr>
            </w:pPr>
            <w:r>
              <w:rPr>
                <w:rFonts w:ascii="Arial" w:cs="Arial" w:eastAsia="Arial" w:hAnsi="Arial"/>
                <w:sz w:val="14"/>
                <w:szCs w:val="14"/>
                <w:b w:val="1"/>
                <w:bCs w:val="1"/>
                <w:color w:val="002453"/>
              </w:rPr>
              <w:t>As of April 11, 2025 (unless otherwise stated in the footnotes below)</w:t>
            </w:r>
          </w:p>
        </w:tc>
        <w:tc>
          <w:tcPr>
            <w:tcW w:w="60" w:type="dxa"/>
            <w:vAlign w:val="bottom"/>
          </w:tcPr>
          <w:p>
            <w:pPr>
              <w:spacing w:after="0"/>
              <w:rPr>
                <w:sz w:val="20"/>
                <w:szCs w:val="20"/>
                <w:color w:val="auto"/>
              </w:rPr>
            </w:pPr>
            <w:r>
              <w:rPr>
                <w:rFonts w:ascii="Arial" w:cs="Arial" w:eastAsia="Arial" w:hAnsi="Arial"/>
                <w:sz w:val="14"/>
                <w:szCs w:val="14"/>
                <w:b w:val="1"/>
                <w:bCs w:val="1"/>
                <w:color w:val="002453"/>
              </w:rPr>
              <w:t>​</w:t>
            </w:r>
          </w:p>
        </w:tc>
      </w:tr>
      <w:tr>
        <w:trPr>
          <w:trHeight w:val="237"/>
        </w:trPr>
        <w:tc>
          <w:tcPr>
            <w:tcW w:w="414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Borders>
              <w:bottom w:val="single" w:sz="8" w:color="00C08A"/>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08A"/>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08A"/>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08A"/>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08A"/>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Pr>
          <w:p>
            <w:pPr>
              <w:spacing w:after="0"/>
              <w:rPr>
                <w:sz w:val="20"/>
                <w:szCs w:val="20"/>
                <w:color w:val="auto"/>
              </w:rPr>
            </w:pPr>
            <w:r>
              <w:rPr>
                <w:rFonts w:ascii="Arial" w:cs="Arial" w:eastAsia="Arial" w:hAnsi="Arial"/>
                <w:sz w:val="18"/>
                <w:szCs w:val="18"/>
                <w:b w:val="1"/>
                <w:bCs w:val="1"/>
                <w:color w:val="auto"/>
              </w:rPr>
              <w:t>5% Equity holders</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TJMT Holdings LLC(3)</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​67,597,894​​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43.1%</w:t>
            </w:r>
          </w:p>
        </w:tc>
        <w:tc>
          <w:tcPr>
            <w:tcW w:w="136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top w:val="single" w:sz="8" w:color="00C08A"/>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87.1%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Virtu Employee Holdco LLC(4)</w:t>
            </w:r>
          </w:p>
        </w:tc>
        <w:tc>
          <w:tcPr>
            <w:tcW w:w="1240" w:type="dxa"/>
            <w:vAlign w:val="bottom"/>
            <w:gridSpan w:val="2"/>
          </w:tcPr>
          <w:p>
            <w:pPr>
              <w:spacing w:after="0"/>
              <w:rPr>
                <w:sz w:val="20"/>
                <w:szCs w:val="20"/>
                <w:color w:val="auto"/>
              </w:rPr>
            </w:pPr>
            <w:r>
              <w:rPr>
                <w:rFonts w:ascii="Arial" w:cs="Arial" w:eastAsia="Arial" w:hAnsi="Arial"/>
                <w:sz w:val="18"/>
                <w:szCs w:val="18"/>
                <w:color w:val="auto"/>
              </w:rPr>
              <w:t>​ 3,481,296​​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2.2%</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BlackRock, Inc.(5)</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​11,037,299​​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7.0%</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The Vanguard Group(6)</w:t>
            </w:r>
          </w:p>
        </w:tc>
        <w:tc>
          <w:tcPr>
            <w:tcW w:w="1240" w:type="dxa"/>
            <w:vAlign w:val="bottom"/>
            <w:gridSpan w:val="2"/>
          </w:tcPr>
          <w:p>
            <w:pPr>
              <w:spacing w:after="0"/>
              <w:rPr>
                <w:sz w:val="20"/>
                <w:szCs w:val="20"/>
                <w:color w:val="auto"/>
              </w:rPr>
            </w:pPr>
            <w:r>
              <w:rPr>
                <w:rFonts w:ascii="Arial" w:cs="Arial" w:eastAsia="Arial" w:hAnsi="Arial"/>
                <w:sz w:val="18"/>
                <w:szCs w:val="18"/>
                <w:color w:val="auto"/>
              </w:rPr>
              <w:t>​ 9,523,078​​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6.1%</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1.4%</w:t>
            </w:r>
            <w:r>
              <w:rPr>
                <w:rFonts w:ascii="Arial" w:cs="Arial" w:eastAsia="Arial" w:hAnsi="Arial"/>
                <w:sz w:val="18"/>
                <w:szCs w:val="18"/>
                <w:b w:val="1"/>
                <w:bCs w:val="1"/>
                <w:color w:val="auto"/>
              </w:rPr>
              <w:t xml:space="preserve"> ​</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FMR LLC(7)</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 6,235,568​​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4.0%</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Michael T. Viola(3)</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​67,597,894​​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43.1%</w:t>
            </w:r>
          </w:p>
        </w:tc>
        <w:tc>
          <w:tcPr>
            <w:tcW w:w="1360" w:type="dxa"/>
            <w:vAlign w:val="bottom"/>
            <w:tcBorders>
              <w:top w:val="single" w:sz="8" w:color="00C08A"/>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top w:val="single" w:sz="8" w:color="00C08A"/>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08A"/>
              <w:bottom w:val="single" w:sz="8" w:color="00C08A"/>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87.1%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Vincent Viola(3)</w:t>
            </w:r>
          </w:p>
        </w:tc>
        <w:tc>
          <w:tcPr>
            <w:tcW w:w="1240" w:type="dxa"/>
            <w:vAlign w:val="bottom"/>
            <w:gridSpan w:val="2"/>
          </w:tcPr>
          <w:p>
            <w:pPr>
              <w:spacing w:after="0"/>
              <w:rPr>
                <w:sz w:val="20"/>
                <w:szCs w:val="20"/>
                <w:color w:val="auto"/>
              </w:rPr>
            </w:pPr>
            <w:r>
              <w:rPr>
                <w:rFonts w:ascii="Arial" w:cs="Arial" w:eastAsia="Arial" w:hAnsi="Arial"/>
                <w:sz w:val="18"/>
                <w:szCs w:val="18"/>
                <w:color w:val="auto"/>
              </w:rPr>
              <w:t>​67,597,894​​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87.1%</w:t>
            </w:r>
            <w:r>
              <w:rPr>
                <w:rFonts w:ascii="Arial" w:cs="Arial" w:eastAsia="Arial" w:hAnsi="Arial"/>
                <w:sz w:val="18"/>
                <w:szCs w:val="18"/>
                <w:b w:val="1"/>
                <w:bCs w:val="1"/>
                <w:color w:val="auto"/>
              </w:rPr>
              <w:t xml:space="preserve"> ​</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Douglas A. Cifu(8)</w:t>
            </w:r>
          </w:p>
        </w:tc>
        <w:tc>
          <w:tcPr>
            <w:tcW w:w="1240" w:type="dxa"/>
            <w:vAlign w:val="bottom"/>
            <w:tcBorders>
              <w:top w:val="single" w:sz="8" w:color="00C08A"/>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 5,278,800​​ ​</w:t>
            </w:r>
          </w:p>
        </w:tc>
        <w:tc>
          <w:tcPr>
            <w:tcW w:w="640" w:type="dxa"/>
            <w:vAlign w:val="bottom"/>
            <w:tcBorders>
              <w:top w:val="single" w:sz="8" w:color="00C08A"/>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3.4%</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Stephen Cavoli</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157,703​​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Brett Fairclough(9)</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101,679​​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Cindy Lee(9)</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18,137​​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Joseph Molluso(10)</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528,143​​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William F. Cruger, Jr.(9)</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64,091​​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Virginia Gambale</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24,122​​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Joseph J. Grano, Jr.</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32,141​​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Joanne M. Minieri</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31,312​​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John D. Nixon</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40,888​​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00" w:type="dxa"/>
            <w:vAlign w:val="bottom"/>
            <w:tcBorders>
              <w:top w:val="single" w:sz="8" w:color="00C08A"/>
              <w:bottom w:val="single" w:sz="8" w:color="00C08A"/>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00C08A"/>
              <w:bottom w:val="single" w:sz="8" w:color="00C08A"/>
            </w:tcBorders>
            <w:shd w:val="clear" w:color="auto" w:fill="CCEEFF"/>
          </w:tcPr>
          <w:p>
            <w:pPr>
              <w:jc w:val="right"/>
              <w:ind w:right="34"/>
              <w:spacing w:after="0"/>
              <w:rPr>
                <w:sz w:val="20"/>
                <w:szCs w:val="20"/>
                <w:color w:val="auto"/>
              </w:rPr>
            </w:pPr>
            <w:r>
              <w:rPr>
                <w:rFonts w:ascii="Arial" w:cs="Arial" w:eastAsia="Arial" w:hAnsi="Arial"/>
                <w:sz w:val="18"/>
                <w:szCs w:val="18"/>
                <w:color w:val="auto"/>
              </w:rPr>
              <w:t>51,123​​ ​</w:t>
            </w:r>
          </w:p>
        </w:tc>
        <w:tc>
          <w:tcPr>
            <w:tcW w:w="340" w:type="dxa"/>
            <w:vAlign w:val="bottom"/>
            <w:tcBorders>
              <w:top w:val="single" w:sz="8" w:color="00C08A"/>
              <w:bottom w:val="single" w:sz="8" w:color="00C08A"/>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C08A"/>
              <w:bottom w:val="single" w:sz="8" w:color="00C08A"/>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00C08A"/>
              <w:bottom w:val="single" w:sz="8" w:color="00C08A"/>
            </w:tcBorders>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08A"/>
              <w:bottom w:val="single" w:sz="8" w:color="00C08A"/>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08A"/>
              <w:bottom w:val="single" w:sz="8" w:color="00C08A"/>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08A"/>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00C08A"/>
              <w:bottom w:val="single" w:sz="8" w:color="00C08A"/>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08A"/>
              <w:bottom w:val="single" w:sz="8" w:color="00C08A"/>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David J. Urban</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34,966​​ ​</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4"/>
        </w:trPr>
        <w:tc>
          <w:tcPr>
            <w:tcW w:w="4140" w:type="dxa"/>
            <w:vAlign w:val="bottom"/>
            <w:tcBorders>
              <w:top w:val="single" w:sz="8" w:color="00C08A"/>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00" w:type="dxa"/>
            <w:vAlign w:val="bottom"/>
            <w:tcBorders>
              <w:top w:val="single" w:sz="8" w:color="00C08A"/>
            </w:tcBorders>
            <w:shd w:val="clear" w:color="auto" w:fill="CCEEFF"/>
          </w:tcPr>
          <w:p>
            <w:pPr>
              <w:spacing w:after="0"/>
              <w:rPr>
                <w:sz w:val="17"/>
                <w:szCs w:val="17"/>
                <w:color w:val="auto"/>
              </w:rPr>
            </w:pPr>
          </w:p>
        </w:tc>
        <w:tc>
          <w:tcPr>
            <w:tcW w:w="1140" w:type="dxa"/>
            <w:vAlign w:val="bottom"/>
            <w:tcBorders>
              <w:top w:val="single" w:sz="8" w:color="00C08A"/>
            </w:tcBorders>
            <w:shd w:val="clear" w:color="auto" w:fill="CCEEFF"/>
          </w:tcPr>
          <w:p>
            <w:pPr>
              <w:spacing w:after="0"/>
              <w:rPr>
                <w:sz w:val="17"/>
                <w:szCs w:val="17"/>
                <w:color w:val="auto"/>
              </w:rPr>
            </w:pPr>
          </w:p>
        </w:tc>
        <w:tc>
          <w:tcPr>
            <w:tcW w:w="340" w:type="dxa"/>
            <w:vAlign w:val="bottom"/>
            <w:tcBorders>
              <w:top w:val="single" w:sz="8" w:color="00C08A"/>
            </w:tcBorders>
            <w:shd w:val="clear" w:color="auto" w:fill="CCEEFF"/>
          </w:tcPr>
          <w:p>
            <w:pPr>
              <w:spacing w:after="0"/>
              <w:rPr>
                <w:sz w:val="17"/>
                <w:szCs w:val="17"/>
                <w:color w:val="auto"/>
              </w:rPr>
            </w:pPr>
          </w:p>
        </w:tc>
        <w:tc>
          <w:tcPr>
            <w:tcW w:w="300" w:type="dxa"/>
            <w:vAlign w:val="bottom"/>
            <w:tcBorders>
              <w:top w:val="single" w:sz="8" w:color="00C08A"/>
            </w:tcBorders>
            <w:shd w:val="clear" w:color="auto" w:fill="CCEEFF"/>
          </w:tcPr>
          <w:p>
            <w:pPr>
              <w:spacing w:after="0"/>
              <w:rPr>
                <w:sz w:val="17"/>
                <w:szCs w:val="17"/>
                <w:color w:val="auto"/>
              </w:rPr>
            </w:pPr>
          </w:p>
        </w:tc>
        <w:tc>
          <w:tcPr>
            <w:tcW w:w="360" w:type="dxa"/>
            <w:vAlign w:val="bottom"/>
            <w:tcBorders>
              <w:top w:val="single" w:sz="8" w:color="00C08A"/>
            </w:tcBorders>
            <w:shd w:val="clear" w:color="auto" w:fill="CCEEFF"/>
          </w:tcPr>
          <w:p>
            <w:pPr>
              <w:spacing w:after="0"/>
              <w:rPr>
                <w:sz w:val="17"/>
                <w:szCs w:val="17"/>
                <w:color w:val="auto"/>
              </w:rPr>
            </w:pPr>
          </w:p>
        </w:tc>
        <w:tc>
          <w:tcPr>
            <w:tcW w:w="1000" w:type="dxa"/>
            <w:vAlign w:val="bottom"/>
            <w:tcBorders>
              <w:top w:val="single" w:sz="8" w:color="00C08A"/>
            </w:tcBorders>
            <w:shd w:val="clear" w:color="auto" w:fill="CCEEFF"/>
          </w:tcPr>
          <w:p>
            <w:pPr>
              <w:spacing w:after="0"/>
              <w:rPr>
                <w:sz w:val="17"/>
                <w:szCs w:val="17"/>
                <w:color w:val="auto"/>
              </w:rPr>
            </w:pPr>
          </w:p>
        </w:tc>
        <w:tc>
          <w:tcPr>
            <w:tcW w:w="400" w:type="dxa"/>
            <w:vAlign w:val="bottom"/>
            <w:tcBorders>
              <w:top w:val="single" w:sz="8" w:color="00C08A"/>
            </w:tcBorders>
            <w:shd w:val="clear" w:color="auto" w:fill="CCEEFF"/>
          </w:tcPr>
          <w:p>
            <w:pPr>
              <w:spacing w:after="0"/>
              <w:rPr>
                <w:sz w:val="17"/>
                <w:szCs w:val="17"/>
                <w:color w:val="auto"/>
              </w:rPr>
            </w:pPr>
          </w:p>
        </w:tc>
        <w:tc>
          <w:tcPr>
            <w:tcW w:w="540" w:type="dxa"/>
            <w:vAlign w:val="bottom"/>
            <w:tcBorders>
              <w:top w:val="single" w:sz="8" w:color="00C08A"/>
            </w:tcBorders>
            <w:shd w:val="clear" w:color="auto" w:fill="CCEEFF"/>
          </w:tcPr>
          <w:p>
            <w:pPr>
              <w:spacing w:after="0"/>
              <w:rPr>
                <w:sz w:val="17"/>
                <w:szCs w:val="17"/>
                <w:color w:val="auto"/>
              </w:rPr>
            </w:pPr>
          </w:p>
        </w:tc>
        <w:tc>
          <w:tcPr>
            <w:tcW w:w="180" w:type="dxa"/>
            <w:vAlign w:val="bottom"/>
            <w:tcBorders>
              <w:top w:val="single" w:sz="8" w:color="00C08A"/>
            </w:tcBorders>
            <w:shd w:val="clear" w:color="auto" w:fill="CCEEFF"/>
          </w:tcPr>
          <w:p>
            <w:pPr>
              <w:spacing w:after="0"/>
              <w:rPr>
                <w:sz w:val="17"/>
                <w:szCs w:val="17"/>
                <w:color w:val="auto"/>
              </w:rPr>
            </w:pPr>
          </w:p>
        </w:tc>
        <w:tc>
          <w:tcPr>
            <w:tcW w:w="280" w:type="dxa"/>
            <w:vAlign w:val="bottom"/>
            <w:tcBorders>
              <w:top w:val="single" w:sz="8" w:color="00C08A"/>
            </w:tcBorders>
            <w:shd w:val="clear" w:color="auto" w:fill="CCEEFF"/>
          </w:tcPr>
          <w:p>
            <w:pPr>
              <w:spacing w:after="0"/>
              <w:rPr>
                <w:sz w:val="17"/>
                <w:szCs w:val="17"/>
                <w:color w:val="auto"/>
              </w:rPr>
            </w:pPr>
          </w:p>
        </w:tc>
        <w:tc>
          <w:tcPr>
            <w:tcW w:w="400" w:type="dxa"/>
            <w:vAlign w:val="bottom"/>
            <w:tcBorders>
              <w:top w:val="single" w:sz="8" w:color="00C08A"/>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62"/>
        </w:trPr>
        <w:tc>
          <w:tcPr>
            <w:tcW w:w="4140" w:type="dxa"/>
            <w:vAlign w:val="bottom"/>
            <w:tcBorders>
              <w:bottom w:val="single" w:sz="8" w:color="00C08A"/>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(15 persons)</w:t>
            </w:r>
          </w:p>
        </w:tc>
        <w:tc>
          <w:tcPr>
            <w:tcW w:w="1240" w:type="dxa"/>
            <w:vAlign w:val="bottom"/>
            <w:tcBorders>
              <w:bottom w:val="single" w:sz="8" w:color="00C08A"/>
            </w:tcBorders>
            <w:gridSpan w:val="2"/>
            <w:shd w:val="clear" w:color="auto" w:fill="CCEEFF"/>
          </w:tcPr>
          <w:p>
            <w:pPr>
              <w:spacing w:after="0"/>
              <w:rPr>
                <w:sz w:val="20"/>
                <w:szCs w:val="20"/>
                <w:color w:val="auto"/>
              </w:rPr>
            </w:pPr>
            <w:r>
              <w:rPr>
                <w:rFonts w:ascii="Arial" w:cs="Arial" w:eastAsia="Arial" w:hAnsi="Arial"/>
                <w:sz w:val="18"/>
                <w:szCs w:val="18"/>
                <w:color w:val="auto"/>
              </w:rPr>
              <w:t>​74,007,358​​ ​</w:t>
            </w:r>
          </w:p>
        </w:tc>
        <w:tc>
          <w:tcPr>
            <w:tcW w:w="640" w:type="dxa"/>
            <w:vAlign w:val="bottom"/>
            <w:tcBorders>
              <w:bottom w:val="single" w:sz="8" w:color="00C08A"/>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47.2%</w:t>
            </w:r>
          </w:p>
        </w:tc>
        <w:tc>
          <w:tcPr>
            <w:tcW w:w="1360" w:type="dxa"/>
            <w:vAlign w:val="bottom"/>
            <w:tcBorders>
              <w:bottom w:val="single" w:sz="8" w:color="00C08A"/>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08A"/>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08A"/>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08A"/>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88.0%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85" w:lineRule="exact"/>
        <w:rPr>
          <w:sz w:val="20"/>
          <w:szCs w:val="20"/>
          <w:color w:val="auto"/>
        </w:rPr>
      </w:pPr>
    </w:p>
    <w:p>
      <w:pPr>
        <w:ind w:left="1080" w:hanging="318"/>
        <w:spacing w:after="0"/>
        <w:tabs>
          <w:tab w:leader="none" w:pos="10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1080" w:right="60" w:hanging="318"/>
        <w:spacing w:after="0" w:line="293" w:lineRule="auto"/>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58" w:lineRule="exact"/>
        <w:rPr>
          <w:rFonts w:ascii="Arial" w:cs="Arial" w:eastAsia="Arial" w:hAnsi="Arial"/>
          <w:sz w:val="14"/>
          <w:szCs w:val="14"/>
          <w:color w:val="auto"/>
        </w:rPr>
      </w:pPr>
    </w:p>
    <w:p>
      <w:pPr>
        <w:ind w:left="1080" w:right="220" w:hanging="318"/>
        <w:spacing w:after="0" w:line="278" w:lineRule="auto"/>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55" w:lineRule="exact"/>
        <w:rPr>
          <w:rFonts w:ascii="Arial" w:cs="Arial" w:eastAsia="Arial" w:hAnsi="Arial"/>
          <w:sz w:val="14"/>
          <w:szCs w:val="14"/>
          <w:color w:val="auto"/>
        </w:rPr>
      </w:pPr>
    </w:p>
    <w:p>
      <w:pPr>
        <w:ind w:left="1080" w:hanging="318"/>
        <w:spacing w:after="0"/>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Founder Member is owned by trusts for the benefit of family members of Vincent Viola and Teresa Viola, Vincent Viola’s wife. Teresa</w:t>
      </w:r>
    </w:p>
    <w:p>
      <w:pPr>
        <w:spacing w:after="0" w:line="29" w:lineRule="exact"/>
        <w:rPr>
          <w:sz w:val="20"/>
          <w:szCs w:val="20"/>
          <w:color w:val="auto"/>
        </w:rPr>
      </w:pPr>
    </w:p>
    <w:p>
      <w:pPr>
        <w:ind w:left="1080" w:right="180"/>
        <w:spacing w:after="0" w:line="271" w:lineRule="auto"/>
        <w:rPr>
          <w:sz w:val="20"/>
          <w:szCs w:val="20"/>
          <w:color w:val="auto"/>
        </w:rPr>
      </w:pPr>
      <w:r>
        <w:rPr>
          <w:rFonts w:ascii="Arial" w:cs="Arial" w:eastAsia="Arial" w:hAnsi="Arial"/>
          <w:sz w:val="14"/>
          <w:szCs w:val="14"/>
          <w:color w:val="auto"/>
        </w:rPr>
        <w:t>Viola and Michael T. Viola, Vincent Viola’s son and one of our directors, share dispositive control and voting control over the shares held by the Founder Member. As a result of these relationships, Teresa Viola, Michael T. Viola and Vincent Viola may be deemed to beneficially own</w:t>
      </w:r>
    </w:p>
    <w:p>
      <w:pPr>
        <w:ind w:left="1080" w:right="120"/>
        <w:spacing w:after="0" w:line="272" w:lineRule="auto"/>
        <w:rPr>
          <w:sz w:val="20"/>
          <w:szCs w:val="20"/>
          <w:color w:val="auto"/>
        </w:rPr>
      </w:pPr>
      <w:r>
        <w:rPr>
          <w:rFonts w:ascii="Arial" w:cs="Arial" w:eastAsia="Arial" w:hAnsi="Arial"/>
          <w:sz w:val="14"/>
          <w:szCs w:val="14"/>
          <w:color w:val="auto"/>
        </w:rPr>
        <w:t>(i) 60,091,740 shares of Class A common stock issuable to the Founder Member upon the exchange of Virtu Financial Units and an equal number of shares of Class D common stock held by the Founder Member, (ii) 216,680 shares of Class A common stock issuable to the Founder Member upon the exchange of Virtu Financial Units and an equal number of shares of Class C common stock held by the Founder Member, (iii) 3,000,000 shares of Class A common stock held directly by the Founder, (iv) 3,481,296 shares of Class A common stock issuable to Virtu Employee Holdco upon the exchange of Virtu Financial Units and an equal number of shares of Class C common stock held by Virtu Employee Holdco, (v) 114,428 shares of Class A common stock held directly by Michael T. Viola, and (vi) 693,750 shares of Class A common stock issued to Mr. Vincent Viola upon the exercise of stock options on April 11, 2025.</w:t>
      </w:r>
    </w:p>
    <w:p>
      <w:pPr>
        <w:spacing w:after="0" w:line="72" w:lineRule="exact"/>
        <w:rPr>
          <w:sz w:val="20"/>
          <w:szCs w:val="20"/>
          <w:color w:val="auto"/>
        </w:rPr>
      </w:pPr>
    </w:p>
    <w:p>
      <w:pPr>
        <w:ind w:left="1080" w:right="500" w:hanging="318"/>
        <w:spacing w:after="0" w:line="325" w:lineRule="auto"/>
        <w:tabs>
          <w:tab w:leader="none" w:pos="10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3,481,296 shares of Class A common stock issuable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166370</wp:posOffset>
            </wp:positionV>
            <wp:extent cx="75438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39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35" w:lineRule="exact"/>
        <w:rPr>
          <w:sz w:val="20"/>
          <w:szCs w:val="20"/>
          <w:color w:val="auto"/>
        </w:rPr>
      </w:pPr>
    </w:p>
    <w:p>
      <w:pPr>
        <w:ind w:left="1080" w:right="140"/>
        <w:spacing w:after="0" w:line="282" w:lineRule="auto"/>
        <w:rPr>
          <w:sz w:val="20"/>
          <w:szCs w:val="20"/>
          <w:color w:val="auto"/>
        </w:rPr>
      </w:pPr>
      <w:r>
        <w:rPr>
          <w:rFonts w:ascii="Arial" w:cs="Arial" w:eastAsia="Arial" w:hAnsi="Arial"/>
          <w:sz w:val="14"/>
          <w:szCs w:val="14"/>
          <w:color w:val="auto"/>
        </w:rPr>
        <w:t>exchange of Virtu Financial Units and corresponding shares of Class C common stock held by Virtu Employee Holdco (including both vested and unvested Virtu Financial Units and corresponding shares of Class C common stock), which represents 2.2% of the shares of Class A common stock on a fully exchanged and converted basis as of April 11, 2025. Mr. Viola disclaims beneficial ownership in such shares except to the extent of his pecuniary interest therein.</w:t>
      </w:r>
    </w:p>
    <w:p>
      <w:pPr>
        <w:spacing w:after="0" w:line="67" w:lineRule="exact"/>
        <w:rPr>
          <w:sz w:val="20"/>
          <w:szCs w:val="20"/>
          <w:color w:val="auto"/>
        </w:rPr>
      </w:pPr>
    </w:p>
    <w:p>
      <w:pPr>
        <w:ind w:left="1080" w:hanging="318"/>
        <w:spacing w:after="0"/>
        <w:tabs>
          <w:tab w:leader="none" w:pos="10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BlackRock, Inc. (“</w:t>
      </w:r>
      <w:r>
        <w:rPr>
          <w:rFonts w:ascii="Arial" w:cs="Arial" w:eastAsia="Arial" w:hAnsi="Arial"/>
          <w:sz w:val="14"/>
          <w:szCs w:val="14"/>
          <w:b w:val="1"/>
          <w:bCs w:val="1"/>
          <w:color w:val="auto"/>
        </w:rPr>
        <w:t>BlackRock</w:t>
      </w:r>
      <w:r>
        <w:rPr>
          <w:rFonts w:ascii="Arial" w:cs="Arial" w:eastAsia="Arial" w:hAnsi="Arial"/>
          <w:sz w:val="14"/>
          <w:szCs w:val="14"/>
          <w:color w:val="auto"/>
        </w:rPr>
        <w:t>”) on July 8, 2024. BlackRock has sole voting</w:t>
      </w:r>
    </w:p>
    <w:p>
      <w:pPr>
        <w:spacing w:after="0" w:line="35" w:lineRule="exact"/>
        <w:rPr>
          <w:rFonts w:ascii="Arial" w:cs="Arial" w:eastAsia="Arial" w:hAnsi="Arial"/>
          <w:sz w:val="14"/>
          <w:szCs w:val="14"/>
          <w:color w:val="auto"/>
        </w:rPr>
      </w:pPr>
    </w:p>
    <w:p>
      <w:pPr>
        <w:ind w:left="1080" w:right="80"/>
        <w:spacing w:after="0" w:line="278" w:lineRule="auto"/>
        <w:rPr>
          <w:rFonts w:ascii="Arial" w:cs="Arial" w:eastAsia="Arial" w:hAnsi="Arial"/>
          <w:sz w:val="14"/>
          <w:szCs w:val="14"/>
          <w:color w:val="auto"/>
        </w:rPr>
      </w:pPr>
      <w:r>
        <w:rPr>
          <w:rFonts w:ascii="Arial" w:cs="Arial" w:eastAsia="Arial" w:hAnsi="Arial"/>
          <w:sz w:val="14"/>
          <w:szCs w:val="14"/>
          <w:color w:val="auto"/>
        </w:rPr>
        <w:t>and dispositive power over 11,037,299 shares of Class A common stock. The aggregate amount of Class A common stock beneficially owned by BlackRock represents 7.0% of the shares of Class A common stock on a fully exchanged and converted basis as of April 11, 2025. The address of BlackRock is 50 Hudson Yards, New York, NY 10001.</w:t>
      </w:r>
    </w:p>
    <w:p>
      <w:pPr>
        <w:spacing w:after="0" w:line="81" w:lineRule="exact"/>
        <w:rPr>
          <w:rFonts w:ascii="Arial" w:cs="Arial" w:eastAsia="Arial" w:hAnsi="Arial"/>
          <w:sz w:val="14"/>
          <w:szCs w:val="14"/>
          <w:color w:val="auto"/>
        </w:rPr>
      </w:pPr>
    </w:p>
    <w:p>
      <w:pPr>
        <w:ind w:left="1080" w:right="180" w:hanging="318"/>
        <w:spacing w:after="0" w:line="268" w:lineRule="auto"/>
        <w:tabs>
          <w:tab w:leader="none" w:pos="10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The Vanguard Group (“</w:t>
      </w:r>
      <w:r>
        <w:rPr>
          <w:rFonts w:ascii="Arial" w:cs="Arial" w:eastAsia="Arial" w:hAnsi="Arial"/>
          <w:sz w:val="14"/>
          <w:szCs w:val="14"/>
          <w:b w:val="1"/>
          <w:bCs w:val="1"/>
          <w:color w:val="auto"/>
        </w:rPr>
        <w:t>Vanguard</w:t>
      </w:r>
      <w:r>
        <w:rPr>
          <w:rFonts w:ascii="Arial" w:cs="Arial" w:eastAsia="Arial" w:hAnsi="Arial"/>
          <w:sz w:val="14"/>
          <w:szCs w:val="14"/>
          <w:color w:val="auto"/>
        </w:rPr>
        <w:t>”) on February 13, 2024. Vanguard has (i) shared voting power over 29,971 shares of Class A common stock; (ii) sole dispositive power over 9,397,581 shares of Class A common stock; and (iii) shared dispositive power over 125,497 shares of Class A common stock. The aggregate amount of Class A common stock beneficially</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owned by Vanguard represents 6.1% of the shares of Class A common stock on a fully exchanged and converted basis as of April 11, 2025.</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address of Vanguard is 100 Vanguard Blvd., Malvern, PA 19355.</w:t>
      </w:r>
    </w:p>
    <w:p>
      <w:pPr>
        <w:spacing w:after="0" w:line="109" w:lineRule="exact"/>
        <w:rPr>
          <w:sz w:val="20"/>
          <w:szCs w:val="20"/>
          <w:color w:val="auto"/>
        </w:rPr>
      </w:pPr>
    </w:p>
    <w:p>
      <w:pPr>
        <w:ind w:left="1080" w:right="180" w:hanging="318"/>
        <w:spacing w:after="0" w:line="282" w:lineRule="auto"/>
        <w:tabs>
          <w:tab w:leader="none" w:pos="10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FMR LLC (“</w:t>
      </w:r>
      <w:r>
        <w:rPr>
          <w:rFonts w:ascii="Arial" w:cs="Arial" w:eastAsia="Arial" w:hAnsi="Arial"/>
          <w:sz w:val="14"/>
          <w:szCs w:val="14"/>
          <w:b w:val="1"/>
          <w:bCs w:val="1"/>
          <w:color w:val="auto"/>
        </w:rPr>
        <w:t>FMR</w:t>
      </w:r>
      <w:r>
        <w:rPr>
          <w:rFonts w:ascii="Arial" w:cs="Arial" w:eastAsia="Arial" w:hAnsi="Arial"/>
          <w:sz w:val="14"/>
          <w:szCs w:val="14"/>
          <w:color w:val="auto"/>
        </w:rPr>
        <w:t>”) on February 12, 2025. FMR has (i) shared voting power over 5,582,499 shares of Class A common stock and (ii) sole dispositive power over 6,235,568 shares of Class A common stock. The aggregate amount of Class A common stock beneficially owned by FMR represents 4.0% of the shares of Class A common stock on a fully exchanged and converted basis as of April 11, 2025. The address of FMR is 245 Summer Street, Boston, Massachusetts 02210.</w:t>
      </w:r>
    </w:p>
    <w:p>
      <w:pPr>
        <w:spacing w:after="0" w:line="80" w:lineRule="exact"/>
        <w:rPr>
          <w:rFonts w:ascii="Arial" w:cs="Arial" w:eastAsia="Arial" w:hAnsi="Arial"/>
          <w:sz w:val="14"/>
          <w:szCs w:val="14"/>
          <w:color w:val="auto"/>
        </w:rPr>
      </w:pPr>
    </w:p>
    <w:p>
      <w:pPr>
        <w:ind w:left="1080" w:right="140" w:hanging="318"/>
        <w:spacing w:after="0" w:line="272" w:lineRule="auto"/>
        <w:tabs>
          <w:tab w:leader="none" w:pos="10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Class A common stock owned by Mr. Cifu is comprised of (i) 2,830,742 shares of Class A common stock issuable upon the exchange of Virtu Financial Units and corresponding shares of Class C common stock held by DAC Investment LLC, owned by Mr. Cifu and Melissa</w:t>
      </w:r>
    </w:p>
    <w:p>
      <w:pPr>
        <w:ind w:left="1080"/>
        <w:spacing w:after="0"/>
        <w:rPr>
          <w:rFonts w:ascii="Arial" w:cs="Arial" w:eastAsia="Arial" w:hAnsi="Arial"/>
          <w:sz w:val="14"/>
          <w:szCs w:val="14"/>
          <w:color w:val="auto"/>
        </w:rPr>
      </w:pPr>
      <w:r>
        <w:rPr>
          <w:rFonts w:ascii="Arial" w:cs="Arial" w:eastAsia="Arial" w:hAnsi="Arial"/>
          <w:sz w:val="14"/>
          <w:szCs w:val="14"/>
          <w:color w:val="auto"/>
        </w:rPr>
        <w:t>L. Cifu, Mr. Cifu’s wife; (ii) 819,804 shares of Class A common stock issuable upon the exchange of Virtu Financial Units and corresponding</w:t>
      </w:r>
    </w:p>
    <w:p>
      <w:pPr>
        <w:spacing w:after="0" w:line="15" w:lineRule="exact"/>
        <w:rPr>
          <w:sz w:val="20"/>
          <w:szCs w:val="20"/>
          <w:color w:val="auto"/>
        </w:rPr>
      </w:pPr>
    </w:p>
    <w:p>
      <w:pPr>
        <w:ind w:left="1080" w:right="80"/>
        <w:spacing w:after="0" w:line="275" w:lineRule="auto"/>
        <w:rPr>
          <w:sz w:val="20"/>
          <w:szCs w:val="20"/>
          <w:color w:val="auto"/>
        </w:rPr>
      </w:pPr>
      <w:r>
        <w:rPr>
          <w:rFonts w:ascii="Arial" w:cs="Arial" w:eastAsia="Arial" w:hAnsi="Arial"/>
          <w:sz w:val="14"/>
          <w:szCs w:val="14"/>
          <w:color w:val="auto"/>
        </w:rPr>
        <w:t>shares of Class C common stock held by Melissa L. Cifu, as Trustee of the Cifu 2025 GST Trust (the “</w:t>
      </w:r>
      <w:r>
        <w:rPr>
          <w:rFonts w:ascii="Arial" w:cs="Arial" w:eastAsia="Arial" w:hAnsi="Arial"/>
          <w:sz w:val="14"/>
          <w:szCs w:val="14"/>
          <w:b w:val="1"/>
          <w:bCs w:val="1"/>
          <w:color w:val="auto"/>
        </w:rPr>
        <w:t>Cifu 2025 GST Trust</w:t>
      </w:r>
      <w:r>
        <w:rPr>
          <w:rFonts w:ascii="Arial" w:cs="Arial" w:eastAsia="Arial" w:hAnsi="Arial"/>
          <w:sz w:val="14"/>
          <w:szCs w:val="14"/>
          <w:color w:val="auto"/>
        </w:rPr>
        <w:t>”), (iii) 587,187 shares of Class A common stock held by Mr. Cifu directly; (iv) 114,000 shares of Class A common stock held by Melissa L. Cifu, as Trustee of the Cifu 2025 GST Trust (v) 442,755 shares of Class A common stock held by a trust for the benefit of the Cifu Family (the “</w:t>
      </w:r>
      <w:r>
        <w:rPr>
          <w:rFonts w:ascii="Arial" w:cs="Arial" w:eastAsia="Arial" w:hAnsi="Arial"/>
          <w:sz w:val="14"/>
          <w:szCs w:val="14"/>
          <w:b w:val="1"/>
          <w:bCs w:val="1"/>
          <w:color w:val="auto"/>
        </w:rPr>
        <w:t>2020 Cifu Family</w:t>
      </w:r>
      <w:r>
        <w:rPr>
          <w:rFonts w:ascii="Arial" w:cs="Arial" w:eastAsia="Arial" w:hAnsi="Arial"/>
          <w:sz w:val="14"/>
          <w:szCs w:val="14"/>
          <w:color w:val="auto"/>
        </w:rPr>
        <w:t xml:space="preserve"> </w:t>
      </w:r>
      <w:r>
        <w:rPr>
          <w:rFonts w:ascii="Arial" w:cs="Arial" w:eastAsia="Arial" w:hAnsi="Arial"/>
          <w:sz w:val="14"/>
          <w:szCs w:val="14"/>
          <w:b w:val="1"/>
          <w:bCs w:val="1"/>
          <w:color w:val="auto"/>
        </w:rPr>
        <w:t>Trust</w:t>
      </w:r>
      <w:r>
        <w:rPr>
          <w:rFonts w:ascii="Arial" w:cs="Arial" w:eastAsia="Arial" w:hAnsi="Arial"/>
          <w:sz w:val="14"/>
          <w:szCs w:val="14"/>
          <w:color w:val="auto"/>
        </w:rPr>
        <w:t>”); and (vi) 484,312 deferred stock units which will be settled in shares of Class A common stock upon the expiration of a specified</w:t>
      </w:r>
      <w:r>
        <w:rPr>
          <w:rFonts w:ascii="Arial" w:cs="Arial" w:eastAsia="Arial" w:hAnsi="Arial"/>
          <w:sz w:val="14"/>
          <w:szCs w:val="14"/>
          <w:b w:val="1"/>
          <w:bCs w:val="1"/>
          <w:color w:val="auto"/>
        </w:rPr>
        <w:t xml:space="preserve"> </w:t>
      </w:r>
      <w:r>
        <w:rPr>
          <w:rFonts w:ascii="Arial" w:cs="Arial" w:eastAsia="Arial" w:hAnsi="Arial"/>
          <w:sz w:val="14"/>
          <w:szCs w:val="14"/>
          <w:color w:val="auto"/>
        </w:rPr>
        <w:t>deferral period or an earlier triggering event. Mrs. Cifu, and Dr. Mitchel A. Lautenberg, Mrs. Cifu’s brother, share dispositive control and voting control over the shares held by the 2020 Cifu Family Trust. Mr. Cifu may be deemed to beneficially own the shares held by the 2020 Cifu Family Trust and the Cifu 2025 GST Trust by virtue of his relationship with Mrs. Cifu.</w:t>
      </w:r>
    </w:p>
    <w:p>
      <w:pPr>
        <w:spacing w:after="0" w:line="71" w:lineRule="exact"/>
        <w:rPr>
          <w:sz w:val="20"/>
          <w:szCs w:val="20"/>
          <w:color w:val="auto"/>
        </w:rPr>
      </w:pPr>
    </w:p>
    <w:p>
      <w:pPr>
        <w:ind w:left="1080" w:right="220" w:hanging="318"/>
        <w:spacing w:after="0" w:line="305" w:lineRule="auto"/>
        <w:tabs>
          <w:tab w:leader="none" w:pos="10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Virtu Financial Units and corresponding shares of Class C common stock held by Virtu Employee Holdco on behalf of such person that have vested or will vest within the next 60 days.</w:t>
      </w:r>
    </w:p>
    <w:p>
      <w:pPr>
        <w:spacing w:after="0" w:line="63" w:lineRule="exact"/>
        <w:rPr>
          <w:rFonts w:ascii="Arial" w:cs="Arial" w:eastAsia="Arial" w:hAnsi="Arial"/>
          <w:sz w:val="14"/>
          <w:szCs w:val="14"/>
          <w:color w:val="auto"/>
        </w:rPr>
      </w:pPr>
    </w:p>
    <w:p>
      <w:pPr>
        <w:ind w:left="1080" w:right="240" w:hanging="318"/>
        <w:spacing w:after="0" w:line="283" w:lineRule="auto"/>
        <w:tabs>
          <w:tab w:leader="none" w:pos="10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Class A common stock owned by Mr. Molluso is comprised of (i) 429,945 shares of Class A common stock and (ii) 98,198 deferred stock units which will be settled in shares of Class A common stock upon the expiration of a specified deferral period or an earlier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180"/>
        <w:spacing w:after="0" w:line="256" w:lineRule="auto"/>
        <w:rPr>
          <w:sz w:val="20"/>
          <w:szCs w:val="20"/>
          <w:color w:val="auto"/>
        </w:rPr>
      </w:pPr>
      <w:r>
        <w:rPr>
          <w:rFonts w:ascii="Arial" w:cs="Arial" w:eastAsia="Arial" w:hAnsi="Arial"/>
          <w:sz w:val="54"/>
          <w:szCs w:val="54"/>
          <w:color w:val="002453"/>
        </w:rPr>
        <w:t>Certain Relationships and Related Party Transactions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80"/>
        <w:spacing w:after="0" w:line="252" w:lineRule="auto"/>
        <w:rPr>
          <w:sz w:val="20"/>
          <w:szCs w:val="20"/>
          <w:color w:val="auto"/>
        </w:rPr>
      </w:pPr>
      <w:r>
        <w:rPr>
          <w:rFonts w:ascii="Arial" w:cs="Arial" w:eastAsia="Arial" w:hAnsi="Arial"/>
          <w:sz w:val="18"/>
          <w:szCs w:val="18"/>
          <w:color w:val="auto"/>
        </w:rPr>
        <w:t>Upon the consummation of our initial public offering, we adopted a written Related Person Transaction Policy (the “</w:t>
      </w:r>
      <w:r>
        <w:rPr>
          <w:rFonts w:ascii="Arial" w:cs="Arial" w:eastAsia="Arial" w:hAnsi="Arial"/>
          <w:sz w:val="18"/>
          <w:szCs w:val="18"/>
          <w:b w:val="1"/>
          <w:bCs w:val="1"/>
          <w:color w:val="auto"/>
        </w:rPr>
        <w:t>Policy</w:t>
      </w:r>
      <w:r>
        <w:rPr>
          <w:rFonts w:ascii="Arial" w:cs="Arial" w:eastAsia="Arial" w:hAnsi="Arial"/>
          <w:sz w:val="18"/>
          <w:szCs w:val="18"/>
          <w:color w:val="auto"/>
        </w:rPr>
        <w:t>”),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62"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67"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71" w:lineRule="exact"/>
        <w:rPr>
          <w:sz w:val="20"/>
          <w:szCs w:val="20"/>
          <w:color w:val="auto"/>
        </w:rPr>
      </w:pPr>
    </w:p>
    <w:p>
      <w:pPr>
        <w:ind w:left="760" w:right="140"/>
        <w:spacing w:after="0" w:line="271" w:lineRule="auto"/>
        <w:rPr>
          <w:sz w:val="20"/>
          <w:szCs w:val="20"/>
          <w:color w:val="auto"/>
        </w:rPr>
      </w:pPr>
      <w:r>
        <w:rPr>
          <w:rFonts w:ascii="Arial" w:cs="Arial" w:eastAsia="Arial" w:hAnsi="Arial"/>
          <w:sz w:val="17"/>
          <w:szCs w:val="17"/>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60" w:lineRule="exact"/>
        <w:rPr>
          <w:sz w:val="20"/>
          <w:szCs w:val="20"/>
          <w:color w:val="auto"/>
        </w:rPr>
      </w:pPr>
    </w:p>
    <w:p>
      <w:pPr>
        <w:ind w:left="760" w:right="360"/>
        <w:spacing w:after="0" w:line="268" w:lineRule="auto"/>
        <w:rPr>
          <w:sz w:val="20"/>
          <w:szCs w:val="20"/>
          <w:color w:val="auto"/>
        </w:rPr>
      </w:pPr>
      <w:r>
        <w:rPr>
          <w:rFonts w:ascii="Arial" w:cs="Arial" w:eastAsia="Arial" w:hAnsi="Arial"/>
          <w:sz w:val="29"/>
          <w:szCs w:val="29"/>
          <w:b w:val="1"/>
          <w:bCs w:val="1"/>
          <w:color w:val="002453"/>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reorganization transactions preceding our initial public offering (which we refer to as the</w:t>
      </w:r>
    </w:p>
    <w:p>
      <w:pPr>
        <w:spacing w:after="0" w:line="27" w:lineRule="exact"/>
        <w:rPr>
          <w:sz w:val="20"/>
          <w:szCs w:val="20"/>
          <w:color w:val="auto"/>
        </w:rPr>
      </w:pPr>
    </w:p>
    <w:p>
      <w:pPr>
        <w:jc w:val="both"/>
        <w:ind w:left="760" w:right="8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transactions</w:t>
      </w:r>
      <w:r>
        <w:rPr>
          <w:rFonts w:ascii="Arial" w:cs="Arial" w:eastAsia="Arial" w:hAnsi="Arial"/>
          <w:sz w:val="18"/>
          <w:szCs w:val="18"/>
          <w:color w:val="auto"/>
        </w:rPr>
        <w:t>”),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85"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 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196850</wp:posOffset>
            </wp:positionV>
            <wp:extent cx="754380"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 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p>
    <w:p>
      <w:pPr>
        <w:spacing w:after="0" w:line="82"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81"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71" w:lineRule="exact"/>
        <w:rPr>
          <w:sz w:val="20"/>
          <w:szCs w:val="20"/>
          <w:color w:val="auto"/>
        </w:rPr>
      </w:pPr>
    </w:p>
    <w:p>
      <w:pPr>
        <w:ind w:left="760" w:right="200"/>
        <w:spacing w:after="0" w:line="262" w:lineRule="auto"/>
        <w:rPr>
          <w:sz w:val="20"/>
          <w:szCs w:val="20"/>
          <w:color w:val="auto"/>
        </w:rPr>
      </w:pPr>
      <w:r>
        <w:rPr>
          <w:rFonts w:ascii="Arial" w:cs="Arial" w:eastAsia="Arial" w:hAnsi="Arial"/>
          <w:sz w:val="18"/>
          <w:szCs w:val="18"/>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68" w:lineRule="exact"/>
        <w:rPr>
          <w:sz w:val="20"/>
          <w:szCs w:val="20"/>
          <w:color w:val="auto"/>
        </w:rPr>
      </w:pPr>
    </w:p>
    <w:p>
      <w:pPr>
        <w:ind w:left="760" w:right="80"/>
        <w:spacing w:after="0" w:line="269" w:lineRule="auto"/>
        <w:rPr>
          <w:sz w:val="20"/>
          <w:szCs w:val="20"/>
          <w:color w:val="auto"/>
        </w:rPr>
      </w:pPr>
      <w:r>
        <w:rPr>
          <w:rFonts w:ascii="Arial" w:cs="Arial" w:eastAsia="Arial" w:hAnsi="Arial"/>
          <w:sz w:val="17"/>
          <w:szCs w:val="17"/>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w:t>
      </w:r>
    </w:p>
    <w:p>
      <w:pPr>
        <w:spacing w:after="0" w:line="3" w:lineRule="exact"/>
        <w:rPr>
          <w:sz w:val="20"/>
          <w:szCs w:val="20"/>
          <w:color w:val="auto"/>
        </w:rPr>
      </w:pPr>
    </w:p>
    <w:p>
      <w:pPr>
        <w:ind w:left="760" w:right="200" w:firstLine="2"/>
        <w:spacing w:after="0" w:line="266" w:lineRule="auto"/>
        <w:tabs>
          <w:tab w:leader="none" w:pos="10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second, to the members in proportion to their vested Virtu Financial Units (after giving effect to any obligations of Virtu Financial to make tax distributions).</w:t>
      </w:r>
    </w:p>
    <w:p>
      <w:pPr>
        <w:spacing w:after="0" w:line="63" w:lineRule="exact"/>
        <w:rPr>
          <w:sz w:val="20"/>
          <w:szCs w:val="20"/>
          <w:color w:val="auto"/>
        </w:rPr>
      </w:pPr>
    </w:p>
    <w:p>
      <w:pPr>
        <w:ind w:left="760" w:right="180"/>
        <w:spacing w:after="0" w:line="291" w:lineRule="auto"/>
        <w:rPr>
          <w:sz w:val="20"/>
          <w:szCs w:val="20"/>
          <w:color w:val="auto"/>
        </w:rPr>
      </w:pPr>
      <w:r>
        <w:rPr>
          <w:rFonts w:ascii="Arial" w:cs="Arial" w:eastAsia="Arial" w:hAnsi="Arial"/>
          <w:sz w:val="17"/>
          <w:szCs w:val="17"/>
          <w:color w:val="auto"/>
        </w:rPr>
        <w:t>Historically, Virtu Financial has regularly declared and paid distributions on its equity interests to its members, including the Company. During the year ended December 31, 2024, Virtu Financial declared and paid $497.0 million in cash distributions to its members (including our Founder Member, Employee Holdco, and our executive officers).</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CERTAIN RELATIONSHIPS AND RELATED PARTY TRANSACTIONS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40"/>
        <w:spacing w:after="0" w:line="243" w:lineRule="auto"/>
        <w:rPr>
          <w:sz w:val="20"/>
          <w:szCs w:val="20"/>
          <w:color w:val="auto"/>
        </w:rPr>
      </w:pPr>
      <w:r>
        <w:rPr>
          <w:rFonts w:ascii="Arial" w:cs="Arial" w:eastAsia="Arial" w:hAnsi="Arial"/>
          <w:sz w:val="18"/>
          <w:szCs w:val="18"/>
          <w:color w:val="auto"/>
        </w:rPr>
        <w:t>In connection with the reorganization transactions, we acquired equity interests in Virtu Financial from certain affiliates of Silver Lake Partners and Temasek, as a result of a series of transactions (the “</w:t>
      </w:r>
      <w:r>
        <w:rPr>
          <w:rFonts w:ascii="Arial" w:cs="Arial" w:eastAsia="Arial" w:hAnsi="Arial"/>
          <w:sz w:val="18"/>
          <w:szCs w:val="18"/>
          <w:b w:val="1"/>
          <w:bCs w:val="1"/>
          <w:color w:val="auto"/>
        </w:rPr>
        <w:t>Mergers</w:t>
      </w:r>
      <w:r>
        <w:rPr>
          <w:rFonts w:ascii="Arial" w:cs="Arial" w:eastAsia="Arial" w:hAnsi="Arial"/>
          <w:sz w:val="18"/>
          <w:szCs w:val="18"/>
          <w:color w:val="auto"/>
        </w:rPr>
        <w:t>”).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77" w:lineRule="exact"/>
        <w:rPr>
          <w:sz w:val="20"/>
          <w:szCs w:val="20"/>
          <w:color w:val="auto"/>
        </w:rPr>
      </w:pPr>
    </w:p>
    <w:p>
      <w:pPr>
        <w:ind w:left="760" w:right="120"/>
        <w:spacing w:after="0" w:line="257" w:lineRule="auto"/>
        <w:rPr>
          <w:sz w:val="20"/>
          <w:szCs w:val="20"/>
          <w:color w:val="auto"/>
        </w:rPr>
      </w:pPr>
      <w:r>
        <w:rPr>
          <w:rFonts w:ascii="Arial" w:cs="Arial" w:eastAsia="Arial" w:hAnsi="Arial"/>
          <w:sz w:val="17"/>
          <w:szCs w:val="17"/>
          <w:color w:val="auto"/>
        </w:rPr>
        <w:t>We entered into three tax receivable agreements with certain direct or indirect equity holders of Virtu Financial (one with the Founder Member, Virtu Employee Holdco, the Employee Trust, certain management members and other post 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w:t>
      </w:r>
    </w:p>
    <w:p>
      <w:pPr>
        <w:spacing w:after="0" w:line="4" w:lineRule="exact"/>
        <w:rPr>
          <w:sz w:val="20"/>
          <w:szCs w:val="20"/>
          <w:color w:val="auto"/>
        </w:rPr>
      </w:pPr>
    </w:p>
    <w:p>
      <w:pPr>
        <w:ind w:left="760" w:right="140" w:firstLine="2"/>
        <w:spacing w:after="0" w:line="255" w:lineRule="auto"/>
        <w:tabs>
          <w:tab w:leader="none" w:pos="9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increase in tax basis in Virtu Financial’s assets resulting from (a) the acquisition of equity interests in Virtu Financial from an affiliate of Silver Lake Partners and an affiliate of Temasek, and another affiliate of Temasek (the “</w:t>
      </w:r>
      <w:r>
        <w:rPr>
          <w:rFonts w:ascii="Arial" w:cs="Arial" w:eastAsia="Arial" w:hAnsi="Arial"/>
          <w:sz w:val="17"/>
          <w:szCs w:val="17"/>
          <w:b w:val="1"/>
          <w:bCs w:val="1"/>
          <w:color w:val="auto"/>
        </w:rPr>
        <w:t>Temasek Member</w:t>
      </w:r>
      <w:r>
        <w:rPr>
          <w:rFonts w:ascii="Arial" w:cs="Arial" w:eastAsia="Arial" w:hAnsi="Arial"/>
          <w:sz w:val="17"/>
          <w:szCs w:val="17"/>
          <w:color w:val="auto"/>
        </w:rPr>
        <w:t>”)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82" w:lineRule="exact"/>
        <w:rPr>
          <w:sz w:val="20"/>
          <w:szCs w:val="20"/>
          <w:color w:val="auto"/>
        </w:rPr>
      </w:pPr>
    </w:p>
    <w:p>
      <w:pPr>
        <w:ind w:left="760" w:right="200"/>
        <w:spacing w:after="0" w:line="266"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51"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$0.1 million to $22.1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83" w:lineRule="exact"/>
        <w:rPr>
          <w:sz w:val="20"/>
          <w:szCs w:val="20"/>
          <w:color w:val="auto"/>
        </w:rPr>
      </w:pPr>
    </w:p>
    <w:p>
      <w:pPr>
        <w:ind w:left="760" w:right="140"/>
        <w:spacing w:after="0" w:line="266"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189865</wp:posOffset>
            </wp:positionV>
            <wp:extent cx="754380" cy="2317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180"/>
        <w:spacing w:after="0" w:line="262" w:lineRule="auto"/>
        <w:rPr>
          <w:sz w:val="20"/>
          <w:szCs w:val="20"/>
          <w:color w:val="auto"/>
        </w:rPr>
      </w:pPr>
      <w:r>
        <w:rPr>
          <w:rFonts w:ascii="Arial" w:cs="Arial" w:eastAsia="Arial" w:hAnsi="Arial"/>
          <w:sz w:val="18"/>
          <w:szCs w:val="18"/>
          <w:color w:val="auto"/>
        </w:rPr>
        <w:t>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68"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75" w:lineRule="exact"/>
        <w:rPr>
          <w:sz w:val="20"/>
          <w:szCs w:val="20"/>
          <w:color w:val="auto"/>
        </w:rPr>
      </w:pPr>
    </w:p>
    <w:p>
      <w:pPr>
        <w:ind w:left="760" w:right="220"/>
        <w:spacing w:after="0" w:line="253" w:lineRule="auto"/>
        <w:rPr>
          <w:sz w:val="20"/>
          <w:szCs w:val="20"/>
          <w:color w:val="auto"/>
        </w:rPr>
      </w:pPr>
      <w:r>
        <w:rPr>
          <w:rFonts w:ascii="Arial" w:cs="Arial" w:eastAsia="Arial" w:hAnsi="Arial"/>
          <w:sz w:val="18"/>
          <w:szCs w:val="18"/>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 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79"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71"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The Company made payments totaling $114.0 million from February 2017 through December 2024 with respect to its the tax receivable agreement obligations. During the year ended December 31, 2024, the Founder Member received $7.1 million, and members and former members of Virtu Employee Holdco LLC received $3.3 million. Through April 14, 2025, during the year ending December 31, 2024, an additional payment of $20.8 million was made under the tax receivable agreements, of which the Founder Member received $7.2 million and members and former members of Virtu Employee Holdco LLC received $3.6 million.</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20"/>
        <w:spacing w:after="0" w:line="268" w:lineRule="auto"/>
        <w:rPr>
          <w:sz w:val="20"/>
          <w:szCs w:val="20"/>
          <w:color w:val="auto"/>
        </w:rPr>
      </w:pPr>
      <w:r>
        <w:rPr>
          <w:rFonts w:ascii="Arial" w:cs="Arial" w:eastAsia="Arial" w:hAnsi="Arial"/>
          <w:sz w:val="18"/>
          <w:szCs w:val="18"/>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400"/>
        <w:spacing w:after="0" w:line="268"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December 31, 2023, the Company had a net payable to its affiliates of $1.8 million and a net receivable from its affiliates of $1.5 million.</w:t>
      </w:r>
    </w:p>
    <w:p>
      <w:pPr>
        <w:spacing w:after="0" w:line="63" w:lineRule="exact"/>
        <w:rPr>
          <w:sz w:val="20"/>
          <w:szCs w:val="20"/>
          <w:color w:val="auto"/>
        </w:rPr>
      </w:pPr>
    </w:p>
    <w:p>
      <w:pPr>
        <w:jc w:val="both"/>
        <w:ind w:left="760" w:right="200"/>
        <w:spacing w:after="0" w:line="262" w:lineRule="auto"/>
        <w:rPr>
          <w:sz w:val="20"/>
          <w:szCs w:val="20"/>
          <w:color w:val="auto"/>
        </w:rPr>
      </w:pPr>
      <w:r>
        <w:rPr>
          <w:rFonts w:ascii="Arial" w:cs="Arial" w:eastAsia="Arial" w:hAnsi="Arial"/>
          <w:sz w:val="18"/>
          <w:szCs w:val="18"/>
          <w:color w:val="auto"/>
        </w:rPr>
        <w:t>The Company has held a minority interest in Japannext Co., Ltd. (“</w:t>
      </w:r>
      <w:r>
        <w:rPr>
          <w:rFonts w:ascii="Arial" w:cs="Arial" w:eastAsia="Arial" w:hAnsi="Arial"/>
          <w:sz w:val="18"/>
          <w:szCs w:val="18"/>
          <w:b w:val="1"/>
          <w:bCs w:val="1"/>
          <w:color w:val="auto"/>
        </w:rPr>
        <w:t>JNX</w:t>
      </w:r>
      <w:r>
        <w:rPr>
          <w:rFonts w:ascii="Arial" w:cs="Arial" w:eastAsia="Arial" w:hAnsi="Arial"/>
          <w:sz w:val="18"/>
          <w:szCs w:val="18"/>
          <w:color w:val="auto"/>
        </w:rPr>
        <w:t>”) since 2016. The Company pays exchange fees to JNX for the trading activities conducted on its proprietary trading system. For the year ended December 31, 2023, the Company paid $12.1 million to JNX for these trading activities, and for the quarter ended March 31, 2024, the Company paid $2.2 million to JNX for these trading activities.</w:t>
      </w:r>
    </w:p>
    <w:p>
      <w:pPr>
        <w:spacing w:after="0" w:line="28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CERTAIN RELATIONSHIPS AND RELATED PARTY TRANSACTIONS</w:t>
      </w:r>
    </w:p>
    <w:p>
      <w:pPr>
        <w:spacing w:after="0" w:line="237"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color w:val="auto"/>
        </w:rPr>
        <w:t>The Company makes payments to two joint ventures (“</w:t>
      </w:r>
      <w:r>
        <w:rPr>
          <w:rFonts w:ascii="Arial" w:cs="Arial" w:eastAsia="Arial" w:hAnsi="Arial"/>
          <w:sz w:val="18"/>
          <w:szCs w:val="18"/>
          <w:b w:val="1"/>
          <w:bCs w:val="1"/>
          <w:color w:val="auto"/>
        </w:rPr>
        <w:t>JVs</w:t>
      </w:r>
      <w:r>
        <w:rPr>
          <w:rFonts w:ascii="Arial" w:cs="Arial" w:eastAsia="Arial" w:hAnsi="Arial"/>
          <w:sz w:val="18"/>
          <w:szCs w:val="18"/>
          <w:color w:val="auto"/>
        </w:rPr>
        <w:t>”) to fund the construction of the microwave communication networks, and to purchase microwave communication networks. For the year ended December 31, 2023, the Company paid $32.6 million to the JVs, and for the quarter ended March 31, 2024, the Company paid $7.4 million to the JVs.</w:t>
      </w:r>
    </w:p>
    <w:p>
      <w:pPr>
        <w:spacing w:after="0" w:line="68"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The Company has an interest in Members Exchange, a member-owned equities exchange. The Company pays regulatory and transaction fees and receives rebates from trading activities. For the year ended December 31, 2023, the Company paid $4.8 million to Members Exchange on a net basis, and for the quarter ended March 31, 2024, the Company paid $1.5 million to the Members Exchange.</w:t>
      </w:r>
    </w:p>
    <w:p>
      <w:pPr>
        <w:spacing w:after="0" w:line="68"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The Company provides brokerage and related services to BlackRock, Inc. and affiliates (“</w:t>
      </w:r>
      <w:r>
        <w:rPr>
          <w:rFonts w:ascii="Arial" w:cs="Arial" w:eastAsia="Arial" w:hAnsi="Arial"/>
          <w:sz w:val="18"/>
          <w:szCs w:val="18"/>
          <w:b w:val="1"/>
          <w:bCs w:val="1"/>
          <w:color w:val="auto"/>
        </w:rPr>
        <w:t>BlackRock</w:t>
      </w:r>
      <w:r>
        <w:rPr>
          <w:rFonts w:ascii="Arial" w:cs="Arial" w:eastAsia="Arial" w:hAnsi="Arial"/>
          <w:sz w:val="18"/>
          <w:szCs w:val="18"/>
          <w:color w:val="auto"/>
        </w:rPr>
        <w:t>”). As noted in footnote 5 to the beneficial ownership table on page 67 of this proxy statement, according to the Schedule 13G filed by BlackRock on July 8, 2024, BlackRock may have been deemed to have shared voting and dispositive power over more than 5% of the Company’s issued and outstanding Class A common shares. For the year ended December 31, 2024, the Company received $4.9 million from BlackRock for these services and through April 11, 2025, during the year ending December 31, 2025, the Company received approximately $0.9 million from Vanguard for these services.</w:t>
      </w:r>
    </w:p>
    <w:p>
      <w:pPr>
        <w:spacing w:after="0" w:line="75"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The Company provides brokerage and related services to The Vanguard Group, Inc. and affiliates (“</w:t>
      </w:r>
      <w:r>
        <w:rPr>
          <w:rFonts w:ascii="Arial" w:cs="Arial" w:eastAsia="Arial" w:hAnsi="Arial"/>
          <w:sz w:val="18"/>
          <w:szCs w:val="18"/>
          <w:b w:val="1"/>
          <w:bCs w:val="1"/>
          <w:color w:val="auto"/>
        </w:rPr>
        <w:t>Vanguard</w:t>
      </w:r>
      <w:r>
        <w:rPr>
          <w:rFonts w:ascii="Arial" w:cs="Arial" w:eastAsia="Arial" w:hAnsi="Arial"/>
          <w:sz w:val="18"/>
          <w:szCs w:val="18"/>
          <w:color w:val="auto"/>
        </w:rPr>
        <w:t>”). As noted in footnote 6 to the beneficial ownership table on page 67 of this proxy statement, according to the Schedule 13G/A filed by Vanguard on February 13, 2024, Vanguard may have been deemed to have shared voting and dispositive power over more than 5% of the Company’s issued and outstanding Class A common shares. For the year ended December 31, 2024, the Company received $2.8 million from Vanguard for these services and through April 11, 2025, during the year ending December 31, 2025, the Company received approximately $0.2 million from Vanguard for these services.</w:t>
      </w:r>
    </w:p>
    <w:p>
      <w:pPr>
        <w:spacing w:after="0" w:line="75"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The Company provides brokerage and related services to FMR, LLC and affiliates. (“</w:t>
      </w:r>
      <w:r>
        <w:rPr>
          <w:rFonts w:ascii="Arial" w:cs="Arial" w:eastAsia="Arial" w:hAnsi="Arial"/>
          <w:sz w:val="18"/>
          <w:szCs w:val="18"/>
          <w:b w:val="1"/>
          <w:bCs w:val="1"/>
          <w:color w:val="auto"/>
        </w:rPr>
        <w:t>FMR</w:t>
      </w:r>
      <w:r>
        <w:rPr>
          <w:rFonts w:ascii="Arial" w:cs="Arial" w:eastAsia="Arial" w:hAnsi="Arial"/>
          <w:sz w:val="18"/>
          <w:szCs w:val="18"/>
          <w:color w:val="auto"/>
        </w:rPr>
        <w:t>”). As noted in footnote 7 to the beneficial ownership table on page 67 of this proxy statement, according to the Schedule 13G filed by FMR on February 12, 2025, FMR may have been deemed to have shared voting and dispositive power over more than 5% of the Company’s issued and outstanding Class A common shares. For the year ended December 31, 2024, the Company received $7.6 million from FMR for these services and through April 11, 2025, during the year ending December 31, 2025, the Company received approximately $2.4 million from FMR for these services.</w:t>
      </w:r>
    </w:p>
    <w:p>
      <w:pPr>
        <w:spacing w:after="0" w:line="74"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On February 6, 2025, the Company entered into a senior secured revolving loan agreement (“EDX Revolving Credit Agreement”) with EDX Markets LLC (“EDX Markets”) pursuant to which the Company and the other lenders party thereto, agreed to make loans on a pro rata basis based on their committed amounts, subject to the terms and conditions of the EDX Revolving Credit Agreement. The EDX Revolving Credit Agreement has a 90 day commitment period which may be renewed for additional 90 day periods. The Company’s committed amount under the EDX Revolving Credit Agreement is $5.0 million and the total committed amount is $17.0 million. Loans outstanding under the EDX Revolving Credit Agreement bear interest at a rate equal to the term SOFR rate then in effect for an interest period of 90 days plus 10%. The Company’s affiliate, Virtu Investments LLC, maintains a minority equity interest in EDX Markets’ ultimate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2218690</wp:posOffset>
            </wp:positionV>
            <wp:extent cx="754380" cy="2400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Delinquent Section 16(a) Reports</w:t>
      </w:r>
    </w:p>
    <w:p>
      <w:pPr>
        <w:spacing w:after="0" w:line="146" w:lineRule="exact"/>
        <w:rPr>
          <w:sz w:val="20"/>
          <w:szCs w:val="20"/>
          <w:color w:val="auto"/>
        </w:rPr>
      </w:pPr>
    </w:p>
    <w:p>
      <w:pPr>
        <w:ind w:left="760" w:right="120"/>
        <w:spacing w:after="0" w:line="271" w:lineRule="auto"/>
        <w:rPr>
          <w:sz w:val="20"/>
          <w:szCs w:val="20"/>
          <w:color w:val="auto"/>
        </w:rPr>
      </w:pPr>
      <w:r>
        <w:rPr>
          <w:rFonts w:ascii="Arial" w:cs="Arial" w:eastAsia="Arial" w:hAnsi="Arial"/>
          <w:sz w:val="17"/>
          <w:szCs w:val="17"/>
          <w:color w:val="auto"/>
        </w:rPr>
        <w:t>Section 16(a) of the Exchange Act requires our directors, executive officers and persons who own more than 10% of a registered class of the Company’s equity securities (collectively, the “</w:t>
      </w:r>
      <w:r>
        <w:rPr>
          <w:rFonts w:ascii="Arial" w:cs="Arial" w:eastAsia="Arial" w:hAnsi="Arial"/>
          <w:sz w:val="17"/>
          <w:szCs w:val="17"/>
          <w:b w:val="1"/>
          <w:bCs w:val="1"/>
          <w:color w:val="auto"/>
        </w:rPr>
        <w:t>Reporting Persons</w:t>
      </w:r>
      <w:r>
        <w:rPr>
          <w:rFonts w:ascii="Arial" w:cs="Arial" w:eastAsia="Arial" w:hAnsi="Arial"/>
          <w:sz w:val="17"/>
          <w:szCs w:val="17"/>
          <w:color w:val="auto"/>
        </w:rPr>
        <w:t>”),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2024, except that, due to administrative oversight one Form 4 of director John Nixon reporting the gift of 5,740 shares was filed late on May 21, 2024 and one Form 4 of Virtu Employee Holdco reporting the disposition of 367,123 shares of Class C common stock and corresponding Virtu Financial Units was filed late on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Additional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42" w:lineRule="exact"/>
        <w:rPr>
          <w:sz w:val="20"/>
          <w:szCs w:val="20"/>
          <w:color w:val="auto"/>
        </w:rPr>
      </w:pPr>
    </w:p>
    <w:p>
      <w:pPr>
        <w:ind w:left="760" w:right="260"/>
        <w:spacing w:after="0" w:line="252" w:lineRule="auto"/>
        <w:rPr>
          <w:sz w:val="20"/>
          <w:szCs w:val="20"/>
          <w:color w:val="auto"/>
        </w:rPr>
      </w:pPr>
      <w:r>
        <w:rPr>
          <w:rFonts w:ascii="Arial" w:cs="Arial" w:eastAsia="Arial" w:hAnsi="Arial"/>
          <w:sz w:val="18"/>
          <w:szCs w:val="18"/>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1633 Broadway, New York, New York 10019.</w:t>
      </w:r>
    </w:p>
    <w:p>
      <w:pPr>
        <w:spacing w:after="0" w:line="87" w:lineRule="exact"/>
        <w:rPr>
          <w:sz w:val="20"/>
          <w:szCs w:val="20"/>
          <w:color w:val="auto"/>
        </w:rPr>
      </w:pPr>
    </w:p>
    <w:p>
      <w:pPr>
        <w:ind w:left="760" w:right="1040"/>
        <w:spacing w:after="0" w:line="278" w:lineRule="auto"/>
        <w:rPr>
          <w:sz w:val="20"/>
          <w:szCs w:val="20"/>
          <w:color w:val="auto"/>
        </w:rPr>
      </w:pPr>
      <w:r>
        <w:rPr>
          <w:rFonts w:ascii="Arial" w:cs="Arial" w:eastAsia="Arial" w:hAnsi="Arial"/>
          <w:sz w:val="29"/>
          <w:szCs w:val="29"/>
          <w:b w:val="1"/>
          <w:bCs w:val="1"/>
          <w:color w:val="002453"/>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-5080</wp:posOffset>
            </wp:positionV>
            <wp:extent cx="58293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1" w:lineRule="exact"/>
        <w:rPr>
          <w:sz w:val="20"/>
          <w:szCs w:val="20"/>
          <w:color w:val="auto"/>
        </w:rPr>
      </w:pPr>
    </w:p>
    <w:p>
      <w:pPr>
        <w:ind w:left="760" w:right="100"/>
        <w:spacing w:after="0" w:line="251" w:lineRule="auto"/>
        <w:rPr>
          <w:sz w:val="20"/>
          <w:szCs w:val="20"/>
          <w:color w:val="auto"/>
        </w:rPr>
      </w:pPr>
      <w:r>
        <w:rPr>
          <w:rFonts w:ascii="Arial" w:cs="Arial" w:eastAsia="Arial" w:hAnsi="Arial"/>
          <w:sz w:val="18"/>
          <w:szCs w:val="18"/>
          <w:color w:val="auto"/>
        </w:rPr>
        <w:t>To be considered for inclusion in next year’s proxy statement and form of proxy, stockholder proposals for the 2026 Annual Meeting of Stockholders must be received at our principal executive offices no later than December 27, 2025, unless the date of the 2026 Annual Meeting of Stockholders is more than 30 days before or after June 2, 2026, in which case the stockholder proposal must be received a reasonable time before we begin to print and mail our proxy materials.</w:t>
      </w:r>
    </w:p>
    <w:p>
      <w:pPr>
        <w:spacing w:after="0" w:line="65" w:lineRule="exact"/>
        <w:rPr>
          <w:sz w:val="20"/>
          <w:szCs w:val="20"/>
          <w:color w:val="auto"/>
        </w:rPr>
      </w:pPr>
    </w:p>
    <w:p>
      <w:pPr>
        <w:ind w:left="760" w:right="180"/>
        <w:spacing w:after="0" w:line="255" w:lineRule="auto"/>
        <w:rPr>
          <w:sz w:val="20"/>
          <w:szCs w:val="20"/>
          <w:color w:val="auto"/>
        </w:rPr>
      </w:pPr>
      <w:r>
        <w:rPr>
          <w:rFonts w:ascii="Arial" w:cs="Arial" w:eastAsia="Arial" w:hAnsi="Arial"/>
          <w:sz w:val="17"/>
          <w:szCs w:val="17"/>
          <w:color w:val="auto"/>
        </w:rPr>
        <w:t>For any stockholder proposal or director nomination that is not submitted for inclusion in next year’s proxy statement pursuant to the process set forth above but is instead sought to be presented directly at the 2026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6, 2026, and March 8, 2026, for the 2026 Annual Meeting of Stockholders. In the event that the 2024 Annual Meeting of Stockholders is convened more than 30 days prior to or delayed by more than</w:t>
      </w:r>
    </w:p>
    <w:p>
      <w:pPr>
        <w:spacing w:after="0" w:line="3"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60 days after June 2, 2025, notice by the stockholder, to be timely, must be received no earlier than the 120th day prior to the 2025 Annual Meeting of Stockholders and no later than the later of (1) the 90th day prior to the 2026 Annual Meeting of stockholders and (2) the tenth day following the day on which we notify stockholders of the date of the 2026 Annual Meeting of Stockholders, either by mail or other public disclosure.</w:t>
      </w:r>
    </w:p>
    <w:p>
      <w:pPr>
        <w:spacing w:after="0" w:line="82"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7, 2026.</w:t>
      </w:r>
    </w:p>
    <w:p>
      <w:pPr>
        <w:spacing w:after="0" w:line="74"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All stockholder proposals should be sent to our principal executive offices at Virtu Financial, Inc., 1633 Broadway, New York, New York 10019, Attn: Secretary.</w:t>
      </w:r>
    </w:p>
    <w:p>
      <w:pPr>
        <w:spacing w:after="0" w:line="46" w:lineRule="exact"/>
        <w:rPr>
          <w:sz w:val="20"/>
          <w:szCs w:val="20"/>
          <w:color w:val="auto"/>
        </w:rPr>
      </w:pPr>
    </w:p>
    <w:p>
      <w:pPr>
        <w:jc w:val="both"/>
        <w:ind w:left="760" w:right="200"/>
        <w:spacing w:after="0" w:line="261" w:lineRule="auto"/>
        <w:rPr>
          <w:sz w:val="20"/>
          <w:szCs w:val="20"/>
          <w:color w:val="auto"/>
        </w:rPr>
      </w:pPr>
      <w:r>
        <w:rPr>
          <w:rFonts w:ascii="Arial" w:cs="Arial" w:eastAsia="Arial" w:hAnsi="Arial"/>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Consideration of Stockholder 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240"/>
        <w:spacing w:after="0" w:line="261" w:lineRule="auto"/>
        <w:rPr>
          <w:sz w:val="20"/>
          <w:szCs w:val="20"/>
          <w:color w:val="auto"/>
        </w:rPr>
      </w:pPr>
      <w:r>
        <w:rPr>
          <w:rFonts w:ascii="Arial" w:cs="Arial" w:eastAsia="Arial" w:hAnsi="Arial"/>
          <w:sz w:val="17"/>
          <w:szCs w:val="17"/>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1633 Broadway, New York, New York 10019, Attn: Secretary.</w:t>
      </w:r>
    </w:p>
    <w:p>
      <w:pPr>
        <w:spacing w:after="0" w:line="86"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194310</wp:posOffset>
            </wp:positionV>
            <wp:extent cx="754380" cy="2400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INFORMATION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453"/>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Any stockholder or other interested party may contact our board of directors as a group, our non-employee directors as a group, or any individual director by sending written correspondence to the following address: Virtu Financial, Inc., 1633 Broadway, New York, New York 10019, Attn: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General Information</w:t>
      </w:r>
    </w:p>
    <w:p>
      <w:pPr>
        <w:spacing w:after="0" w:line="132" w:lineRule="exact"/>
        <w:rPr>
          <w:sz w:val="20"/>
          <w:szCs w:val="20"/>
          <w:color w:val="auto"/>
        </w:rPr>
      </w:pPr>
    </w:p>
    <w:p>
      <w:pPr>
        <w:ind w:left="760" w:right="100"/>
        <w:spacing w:after="0" w:line="259" w:lineRule="auto"/>
        <w:rPr>
          <w:sz w:val="20"/>
          <w:szCs w:val="20"/>
          <w:color w:val="auto"/>
        </w:rPr>
      </w:pPr>
      <w:r>
        <w:rPr>
          <w:rFonts w:ascii="Arial" w:cs="Arial" w:eastAsia="Arial" w:hAnsi="Arial"/>
          <w:sz w:val="17"/>
          <w:szCs w:val="17"/>
          <w:color w:val="auto"/>
        </w:rPr>
        <w:t>We are making this proxy statement available to our stockholders on or about April 23, 2025 in connection with the solicitation of proxies by our board of directors for the Annual Meeting, which will be held on Monday, June 2, 2025 at</w:t>
      </w:r>
    </w:p>
    <w:p>
      <w:pPr>
        <w:spacing w:after="0" w:line="1" w:lineRule="exact"/>
        <w:rPr>
          <w:sz w:val="20"/>
          <w:szCs w:val="20"/>
          <w:color w:val="auto"/>
        </w:rPr>
      </w:pPr>
    </w:p>
    <w:p>
      <w:pPr>
        <w:ind w:left="760" w:right="340"/>
        <w:spacing w:after="0"/>
        <w:rPr>
          <w:sz w:val="20"/>
          <w:szCs w:val="20"/>
          <w:color w:val="auto"/>
        </w:rPr>
      </w:pPr>
      <w:r>
        <w:rPr>
          <w:rFonts w:ascii="Arial" w:cs="Arial" w:eastAsia="Arial" w:hAnsi="Arial"/>
          <w:sz w:val="17"/>
          <w:szCs w:val="17"/>
          <w:color w:val="auto"/>
        </w:rPr>
        <w:t>9:00 a.m. (Eastern Time) via webcast through the provided link. As a stockholder of Virtu, you are invited to attend the Virtual Annual Meeting and are entitled and encouraged to vote on the proposals described in this proxy</w:t>
      </w:r>
    </w:p>
    <w:p>
      <w:pPr>
        <w:spacing w:after="0" w:line="1" w:lineRule="exact"/>
        <w:rPr>
          <w:sz w:val="20"/>
          <w:szCs w:val="20"/>
          <w:color w:val="auto"/>
        </w:rPr>
      </w:pPr>
    </w:p>
    <w:p>
      <w:pPr>
        <w:ind w:left="760" w:right="360"/>
        <w:spacing w:after="0" w:line="250" w:lineRule="auto"/>
        <w:rPr>
          <w:sz w:val="20"/>
          <w:szCs w:val="20"/>
          <w:color w:val="auto"/>
        </w:rPr>
      </w:pPr>
      <w:r>
        <w:rPr>
          <w:rFonts w:ascii="Arial" w:cs="Arial" w:eastAsia="Arial" w:hAnsi="Arial"/>
          <w:sz w:val="18"/>
          <w:szCs w:val="18"/>
          <w:color w:val="auto"/>
        </w:rPr>
        <w:t>statement. Below are answers to common questions stockholders may have about the Annual Meeting. Our fiscal year ends on December 31.</w:t>
      </w:r>
    </w:p>
    <w:p>
      <w:pPr>
        <w:spacing w:after="0" w:line="50" w:lineRule="exact"/>
        <w:rPr>
          <w:sz w:val="20"/>
          <w:szCs w:val="20"/>
          <w:color w:val="auto"/>
        </w:rPr>
      </w:pPr>
    </w:p>
    <w:p>
      <w:pPr>
        <w:ind w:left="760" w:right="100"/>
        <w:spacing w:after="0" w:line="275" w:lineRule="auto"/>
        <w:rPr>
          <w:sz w:val="20"/>
          <w:szCs w:val="20"/>
          <w:color w:val="auto"/>
        </w:rPr>
      </w:pPr>
      <w:r>
        <w:rPr>
          <w:rFonts w:ascii="Arial" w:cs="Arial" w:eastAsia="Arial" w:hAnsi="Arial"/>
          <w:sz w:val="17"/>
          <w:szCs w:val="17"/>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30" w:lineRule="exact"/>
        <w:rPr>
          <w:sz w:val="20"/>
          <w:szCs w:val="20"/>
          <w:color w:val="auto"/>
        </w:rPr>
      </w:pPr>
    </w:p>
    <w:p>
      <w:pPr>
        <w:ind w:left="760" w:right="320"/>
        <w:spacing w:after="0" w:line="259" w:lineRule="auto"/>
        <w:rPr>
          <w:sz w:val="20"/>
          <w:szCs w:val="20"/>
          <w:color w:val="auto"/>
        </w:rPr>
      </w:pPr>
      <w:r>
        <w:rPr>
          <w:rFonts w:ascii="Arial" w:cs="Arial" w:eastAsia="Arial" w:hAnsi="Arial"/>
          <w:sz w:val="17"/>
          <w:szCs w:val="17"/>
          <w:color w:val="auto"/>
        </w:rPr>
        <w:t>The Founder Member, an affiliate of Mr. Vincent Viola, our founder and Chairman Emeritus, and other members of the Viola family, holds all of our issued and outstanding Class D common stock and controls approximately 87% of</w:t>
      </w:r>
    </w:p>
    <w:p>
      <w:pPr>
        <w:spacing w:after="0" w:line="1" w:lineRule="exact"/>
        <w:rPr>
          <w:sz w:val="20"/>
          <w:szCs w:val="20"/>
          <w:color w:val="auto"/>
        </w:rPr>
      </w:pPr>
    </w:p>
    <w:p>
      <w:pPr>
        <w:ind w:left="760" w:right="120"/>
        <w:spacing w:after="0"/>
        <w:rPr>
          <w:sz w:val="20"/>
          <w:szCs w:val="20"/>
          <w:color w:val="auto"/>
        </w:rPr>
      </w:pPr>
      <w:r>
        <w:rPr>
          <w:rFonts w:ascii="Arial" w:cs="Arial" w:eastAsia="Arial" w:hAnsi="Arial"/>
          <w:sz w:val="17"/>
          <w:szCs w:val="17"/>
          <w:color w:val="auto"/>
        </w:rPr>
        <w:t>the combined voting power of our outstanding common stock. As a result, it is able to control any action requiring the general approval of our stockholders, including the election of our board of directors, the adoption of amendments to</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certificate of incorporation and bylaws and the approval of any merger or sale of substantially all of our assets.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information is included in this proxy statement?</w:t>
      </w:r>
    </w:p>
    <w:p>
      <w:pPr>
        <w:spacing w:after="0" w:line="102" w:lineRule="exact"/>
        <w:rPr>
          <w:sz w:val="20"/>
          <w:szCs w:val="20"/>
          <w:color w:val="auto"/>
        </w:rPr>
      </w:pPr>
    </w:p>
    <w:p>
      <w:pPr>
        <w:ind w:left="760" w:right="300"/>
        <w:spacing w:after="0" w:line="253"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2024, and other information.</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are the Proxy Materials?</w:t>
      </w:r>
    </w:p>
    <w:p>
      <w:pPr>
        <w:spacing w:after="0" w:line="102"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The “Proxy Materials” are this proxy statement and our annual report to stockholders, which includes the Annual Report on Form 10-K for the fiscal year ended December 31, 2024.</w:t>
      </w:r>
    </w:p>
    <w:p>
      <w:pPr>
        <w:spacing w:after="0" w:line="48" w:lineRule="exact"/>
        <w:rPr>
          <w:sz w:val="20"/>
          <w:szCs w:val="20"/>
          <w:color w:val="auto"/>
        </w:rPr>
      </w:pPr>
    </w:p>
    <w:p>
      <w:pPr>
        <w:ind w:left="760" w:right="440"/>
        <w:spacing w:after="0" w:line="263" w:lineRule="auto"/>
        <w:rPr>
          <w:sz w:val="20"/>
          <w:szCs w:val="20"/>
          <w:color w:val="auto"/>
        </w:rPr>
      </w:pPr>
      <w:r>
        <w:rPr>
          <w:rFonts w:ascii="Arial" w:cs="Arial" w:eastAsia="Arial" w:hAnsi="Arial"/>
          <w:sz w:val="18"/>
          <w:szCs w:val="18"/>
          <w:b w:val="1"/>
          <w:bCs w:val="1"/>
          <w:i w:val="1"/>
          <w:iCs w:val="1"/>
          <w:color w:val="00C08A"/>
        </w:rPr>
        <w:t>Why did I receive a one-page notice in the mail regarding the Internet availability of the Proxy Materials instead of a full set of the Proxy Materials?</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rules adopted by the SEC, we have elected to provide access to our Proxy Materials over the Internet.</w:t>
      </w:r>
    </w:p>
    <w:p>
      <w:pPr>
        <w:spacing w:after="0" w:line="14" w:lineRule="exact"/>
        <w:rPr>
          <w:sz w:val="20"/>
          <w:szCs w:val="20"/>
          <w:color w:val="auto"/>
        </w:rPr>
      </w:pPr>
    </w:p>
    <w:p>
      <w:pPr>
        <w:ind w:left="760" w:right="280"/>
        <w:spacing w:after="0"/>
        <w:rPr>
          <w:sz w:val="20"/>
          <w:szCs w:val="20"/>
          <w:color w:val="auto"/>
        </w:rPr>
      </w:pPr>
      <w:r>
        <w:rPr>
          <w:rFonts w:ascii="Arial" w:cs="Arial" w:eastAsia="Arial" w:hAnsi="Arial"/>
          <w:sz w:val="17"/>
          <w:szCs w:val="17"/>
          <w:color w:val="auto"/>
        </w:rPr>
        <w:t>Accordingly, we are sending a Notice of Internet Availability of Proxy Materials to our stockholders. All stockholders will have the ability to access the Proxy Materials on the website referred to in the Notice of Internet Availability of</w:t>
      </w:r>
    </w:p>
    <w:p>
      <w:pPr>
        <w:ind w:left="760"/>
        <w:spacing w:after="0" w:line="235" w:lineRule="auto"/>
        <w:rPr>
          <w:sz w:val="20"/>
          <w:szCs w:val="20"/>
          <w:color w:val="auto"/>
        </w:rPr>
      </w:pPr>
      <w:r>
        <w:rPr>
          <w:rFonts w:ascii="Arial" w:cs="Arial" w:eastAsia="Arial" w:hAnsi="Arial"/>
          <w:sz w:val="18"/>
          <w:szCs w:val="18"/>
          <w:color w:val="auto"/>
        </w:rPr>
        <w:t>Proxy Materials or request to receive an electronic copy or printed set of the Proxy Materials. Instructions on how to</w:t>
      </w:r>
    </w:p>
    <w:p>
      <w:pPr>
        <w:ind w:left="760" w:right="140"/>
        <w:spacing w:after="0"/>
        <w:rPr>
          <w:sz w:val="20"/>
          <w:szCs w:val="20"/>
          <w:color w:val="auto"/>
        </w:rPr>
      </w:pPr>
      <w:r>
        <w:rPr>
          <w:rFonts w:ascii="Arial" w:cs="Arial" w:eastAsia="Arial" w:hAnsi="Arial"/>
          <w:sz w:val="17"/>
          <w:szCs w:val="17"/>
          <w:color w:val="auto"/>
        </w:rPr>
        <w:t>access the Proxy Materials over the Internet or to request an electronic copy or printed copy may be found in the Notice of Internet Availability of Proxy Materials. In addition, stockholders may request to receive the Proxy Materials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printed form by mail or electronically by email on an ongoing basis.</w:t>
      </w:r>
    </w:p>
    <w:p>
      <w:pPr>
        <w:spacing w:after="0" w:line="101" w:lineRule="exact"/>
        <w:rPr>
          <w:sz w:val="20"/>
          <w:szCs w:val="20"/>
          <w:color w:val="auto"/>
        </w:rPr>
      </w:pPr>
    </w:p>
    <w:p>
      <w:pPr>
        <w:ind w:left="760" w:right="260"/>
        <w:spacing w:after="0" w:line="278" w:lineRule="auto"/>
        <w:rPr>
          <w:sz w:val="20"/>
          <w:szCs w:val="20"/>
          <w:color w:val="auto"/>
        </w:rPr>
      </w:pPr>
      <w:r>
        <w:rPr>
          <w:rFonts w:ascii="Arial" w:cs="Arial" w:eastAsia="Arial" w:hAnsi="Arial"/>
          <w:sz w:val="18"/>
          <w:szCs w:val="18"/>
          <w:b w:val="1"/>
          <w:bCs w:val="1"/>
          <w:i w:val="1"/>
          <w:iCs w:val="1"/>
          <w:color w:val="00C08A"/>
        </w:rPr>
        <w:t>What items will be voted on at the Annual Meeting and how does the board of directors recommend that I vote?</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five proposals to be voted on at the Annual Meeting:</w:t>
      </w:r>
    </w:p>
    <w:p>
      <w:pPr>
        <w:spacing w:after="0" w:line="117" w:lineRule="exact"/>
        <w:rPr>
          <w:sz w:val="20"/>
          <w:szCs w:val="20"/>
          <w:color w:val="auto"/>
        </w:rPr>
      </w:pPr>
    </w:p>
    <w:p>
      <w:pPr>
        <w:ind w:left="1340" w:right="60" w:hanging="218"/>
        <w:spacing w:after="0" w:line="268"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elect four directors to our board of directors, each to serve as a Class III director for a term of three years expiring at the annual meeting of stockholders to be held in 2027 and until such director’s successor has been duly elected and qualified;</w:t>
      </w:r>
    </w:p>
    <w:p>
      <w:pPr>
        <w:spacing w:after="0" w:line="49" w:lineRule="exact"/>
        <w:rPr>
          <w:rFonts w:ascii="Arial" w:cs="Arial" w:eastAsia="Arial" w:hAnsi="Arial"/>
          <w:sz w:val="18"/>
          <w:szCs w:val="18"/>
          <w:color w:val="002453"/>
        </w:rPr>
      </w:pPr>
    </w:p>
    <w:p>
      <w:pPr>
        <w:ind w:left="1340" w:right="620" w:hanging="218"/>
        <w:spacing w:after="0" w:line="287"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31" w:lineRule="exact"/>
        <w:rPr>
          <w:rFonts w:ascii="Arial" w:cs="Arial" w:eastAsia="Arial" w:hAnsi="Arial"/>
          <w:sz w:val="18"/>
          <w:szCs w:val="18"/>
          <w:color w:val="002453"/>
        </w:rPr>
      </w:pPr>
    </w:p>
    <w:p>
      <w:pPr>
        <w:ind w:left="1340" w:right="420" w:hanging="218"/>
        <w:spacing w:after="0" w:line="287"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approve, on an advisory basis, the frequency (every one, two or three years) of future advisory votes to approve the compensation of our named executive officers;</w:t>
      </w:r>
    </w:p>
    <w:p>
      <w:pPr>
        <w:spacing w:after="0" w:line="44" w:lineRule="exact"/>
        <w:rPr>
          <w:rFonts w:ascii="Arial" w:cs="Arial" w:eastAsia="Arial" w:hAnsi="Arial"/>
          <w:sz w:val="18"/>
          <w:szCs w:val="18"/>
          <w:color w:val="002453"/>
        </w:rPr>
      </w:pPr>
    </w:p>
    <w:p>
      <w:pPr>
        <w:ind w:left="1340" w:right="340" w:hanging="218"/>
        <w:spacing w:after="0" w:line="287"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ratify the appointment of PricewaterhouseCoopers LLP as our independent registered public accounting firm for the fiscal year ending December 31, 2025; and</w:t>
      </w:r>
    </w:p>
    <w:p>
      <w:pPr>
        <w:spacing w:after="0" w:line="31" w:lineRule="exact"/>
        <w:rPr>
          <w:rFonts w:ascii="Arial" w:cs="Arial" w:eastAsia="Arial" w:hAnsi="Arial"/>
          <w:sz w:val="18"/>
          <w:szCs w:val="18"/>
          <w:color w:val="002453"/>
        </w:rPr>
      </w:pPr>
    </w:p>
    <w:p>
      <w:pPr>
        <w:ind w:left="1340" w:right="200" w:hanging="218"/>
        <w:spacing w:after="0" w:line="268" w:lineRule="auto"/>
        <w:tabs>
          <w:tab w:leader="none" w:pos="1340" w:val="left"/>
        </w:tabs>
        <w:numPr>
          <w:ilvl w:val="0"/>
          <w:numId w:val="52"/>
        </w:numPr>
        <w:rPr>
          <w:rFonts w:ascii="Arial" w:cs="Arial" w:eastAsia="Arial" w:hAnsi="Arial"/>
          <w:sz w:val="18"/>
          <w:szCs w:val="18"/>
          <w:color w:val="002453"/>
        </w:rPr>
      </w:pPr>
      <w:r>
        <w:rPr>
          <w:rFonts w:ascii="Arial" w:cs="Arial" w:eastAsia="Arial" w:hAnsi="Arial"/>
          <w:sz w:val="18"/>
          <w:szCs w:val="18"/>
          <w:color w:val="auto"/>
        </w:rPr>
        <w:t>to approve the Second Amended Plan to increase the number of shares authorized for issuance thereunder, extend the expiration date thereof and remove certain provisions related to Section 162(m) of the Code that are no longer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recommends that you vote FOR each of the five proposals.</w:t>
      </w:r>
    </w:p>
    <w:p>
      <w:pPr>
        <w:spacing w:after="0" w:line="117"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Our amended and restated bylaws (our “</w:t>
      </w:r>
      <w:r>
        <w:rPr>
          <w:rFonts w:ascii="Arial" w:cs="Arial" w:eastAsia="Arial" w:hAnsi="Arial"/>
          <w:sz w:val="18"/>
          <w:szCs w:val="18"/>
          <w:b w:val="1"/>
          <w:bCs w:val="1"/>
          <w:color w:val="auto"/>
        </w:rPr>
        <w:t>bylaws</w:t>
      </w:r>
      <w:r>
        <w:rPr>
          <w:rFonts w:ascii="Arial" w:cs="Arial" w:eastAsia="Arial" w:hAnsi="Arial"/>
          <w:sz w:val="18"/>
          <w:szCs w:val="18"/>
          <w:color w:val="auto"/>
        </w:rPr>
        <w:t>”)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may vote at the meeting?</w:t>
      </w:r>
    </w:p>
    <w:p>
      <w:pPr>
        <w:spacing w:after="0" w:line="115"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Holders of Class A common stock, Class C common stock and Class D common stock, together as a single class, as of the close of business on April 9, 2025, the Record Date, may vote at the Annual Meeting.</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many votes do I have?</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the Record Date, there were:</w:t>
      </w:r>
    </w:p>
    <w:p>
      <w:pPr>
        <w:spacing w:after="0" w:line="117" w:lineRule="exact"/>
        <w:rPr>
          <w:sz w:val="20"/>
          <w:szCs w:val="20"/>
          <w:color w:val="auto"/>
        </w:rPr>
      </w:pPr>
    </w:p>
    <w:p>
      <w:pPr>
        <w:ind w:left="1340" w:hanging="218"/>
        <w:spacing w:after="0"/>
        <w:tabs>
          <w:tab w:leader="none" w:pos="1340" w:val="left"/>
        </w:tabs>
        <w:numPr>
          <w:ilvl w:val="0"/>
          <w:numId w:val="53"/>
        </w:numPr>
        <w:rPr>
          <w:rFonts w:ascii="Arial" w:cs="Arial" w:eastAsia="Arial" w:hAnsi="Arial"/>
          <w:sz w:val="18"/>
          <w:szCs w:val="18"/>
          <w:color w:val="002453"/>
        </w:rPr>
      </w:pPr>
      <w:r>
        <w:rPr>
          <w:rFonts w:ascii="Arial" w:cs="Arial" w:eastAsia="Arial" w:hAnsi="Arial"/>
          <w:sz w:val="18"/>
          <w:szCs w:val="18"/>
          <w:color w:val="auto"/>
        </w:rPr>
        <w:t>85,520,838 shares of Class A common stock outstanding;</w:t>
      </w:r>
    </w:p>
    <w:p>
      <w:pPr>
        <w:spacing w:after="0" w:line="76" w:lineRule="exact"/>
        <w:rPr>
          <w:rFonts w:ascii="Arial" w:cs="Arial" w:eastAsia="Arial" w:hAnsi="Arial"/>
          <w:sz w:val="18"/>
          <w:szCs w:val="18"/>
          <w:color w:val="002453"/>
        </w:rPr>
      </w:pPr>
    </w:p>
    <w:p>
      <w:pPr>
        <w:ind w:left="1340" w:hanging="218"/>
        <w:spacing w:after="0"/>
        <w:tabs>
          <w:tab w:leader="none" w:pos="1340" w:val="left"/>
        </w:tabs>
        <w:numPr>
          <w:ilvl w:val="0"/>
          <w:numId w:val="53"/>
        </w:numPr>
        <w:rPr>
          <w:rFonts w:ascii="Arial" w:cs="Arial" w:eastAsia="Arial" w:hAnsi="Arial"/>
          <w:sz w:val="18"/>
          <w:szCs w:val="18"/>
          <w:color w:val="002453"/>
        </w:rPr>
      </w:pPr>
      <w:r>
        <w:rPr>
          <w:rFonts w:ascii="Arial" w:cs="Arial" w:eastAsia="Arial" w:hAnsi="Arial"/>
          <w:sz w:val="18"/>
          <w:szCs w:val="18"/>
          <w:color w:val="auto"/>
        </w:rPr>
        <w:t>8,194,847 shares of Class C common stock outstanding; and</w:t>
      </w:r>
    </w:p>
    <w:p>
      <w:pPr>
        <w:spacing w:after="0" w:line="76" w:lineRule="exact"/>
        <w:rPr>
          <w:rFonts w:ascii="Arial" w:cs="Arial" w:eastAsia="Arial" w:hAnsi="Arial"/>
          <w:sz w:val="18"/>
          <w:szCs w:val="18"/>
          <w:color w:val="002453"/>
        </w:rPr>
      </w:pPr>
    </w:p>
    <w:p>
      <w:pPr>
        <w:ind w:left="1340" w:hanging="218"/>
        <w:spacing w:after="0"/>
        <w:tabs>
          <w:tab w:leader="none" w:pos="1340" w:val="left"/>
        </w:tabs>
        <w:numPr>
          <w:ilvl w:val="0"/>
          <w:numId w:val="53"/>
        </w:numPr>
        <w:rPr>
          <w:rFonts w:ascii="Arial" w:cs="Arial" w:eastAsia="Arial" w:hAnsi="Arial"/>
          <w:sz w:val="18"/>
          <w:szCs w:val="18"/>
          <w:color w:val="002453"/>
        </w:rPr>
      </w:pPr>
      <w:r>
        <w:rPr>
          <w:rFonts w:ascii="Arial" w:cs="Arial" w:eastAsia="Arial" w:hAnsi="Arial"/>
          <w:sz w:val="18"/>
          <w:szCs w:val="18"/>
          <w:color w:val="auto"/>
        </w:rPr>
        <w:t>60,091,740 shares of Class D common stock outstanding.</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shares of Class B common stock outstanding.</w:t>
      </w:r>
    </w:p>
    <w:p>
      <w:pPr>
        <w:spacing w:after="0" w:line="117"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vote is required for each proposal?</w:t>
      </w:r>
    </w:p>
    <w:p>
      <w:pPr>
        <w:spacing w:after="0" w:line="115"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61"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approval, on an advisory basis, of the compensation of our named executive officers, the ratification of the appointment of the Company’s independent registered public accounting firm for the fiscal year ending December 31, 2025, and any other proposals that may come before the Annual Meeting will be determined by the affirmative vote of a majority in voting power of shares of stock present or represented by proxy and entitled to vote thereon.</w:t>
      </w:r>
    </w:p>
    <w:p>
      <w:pPr>
        <w:spacing w:after="0" w:line="76" w:lineRule="exact"/>
        <w:rPr>
          <w:sz w:val="20"/>
          <w:szCs w:val="20"/>
          <w:color w:val="auto"/>
        </w:rPr>
      </w:pPr>
    </w:p>
    <w:p>
      <w:pPr>
        <w:jc w:val="both"/>
        <w:ind w:left="760" w:right="220"/>
        <w:spacing w:after="0" w:line="275" w:lineRule="auto"/>
        <w:rPr>
          <w:sz w:val="20"/>
          <w:szCs w:val="20"/>
          <w:color w:val="auto"/>
        </w:rPr>
      </w:pPr>
      <w:r>
        <w:rPr>
          <w:rFonts w:ascii="Arial" w:cs="Arial" w:eastAsia="Arial" w:hAnsi="Arial"/>
          <w:sz w:val="17"/>
          <w:szCs w:val="17"/>
          <w:color w:val="auto"/>
        </w:rPr>
        <w:t>The Founder Member controls approximately 87% of the combined voting power of our outstanding common stock and, as a result, controls any action requiring the general approval of our stockholders, including the election of our board of directors. The Founder Member has informed us that it intends to vote “FOR” the four nominated directors.</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are abstentions and broker non-votes counted?</w:t>
      </w:r>
    </w:p>
    <w:p>
      <w:pPr>
        <w:spacing w:after="0" w:line="115" w:lineRule="exact"/>
        <w:rPr>
          <w:sz w:val="20"/>
          <w:szCs w:val="20"/>
          <w:color w:val="auto"/>
        </w:rPr>
      </w:pPr>
    </w:p>
    <w:p>
      <w:pPr>
        <w:ind w:left="760" w:right="160"/>
        <w:spacing w:after="0" w:line="246" w:lineRule="auto"/>
        <w:rPr>
          <w:sz w:val="20"/>
          <w:szCs w:val="20"/>
          <w:color w:val="auto"/>
        </w:rPr>
      </w:pPr>
      <w:r>
        <w:rPr>
          <w:rFonts w:ascii="Arial" w:cs="Arial" w:eastAsia="Arial" w:hAnsi="Arial"/>
          <w:sz w:val="18"/>
          <w:szCs w:val="18"/>
          <w:color w:val="auto"/>
        </w:rPr>
        <w:t>For the purposes of Proposal 1, abstentions (shares present at the meeting or by proxy that are voted “abstain”) and broker non-votes (explained below) are counted for the purpose of establishing the presence of a quorum but have no effect. For the purposes of Proposal 2 and 3, broker non-votes have no effect, and abstentions have the same effect as a vote “against” the proposal. For the purposes of Proposal 4, abstentions have the same effect as a vote “against” the proposal, and broker non-votes are not expected as the proposal is a “routine” proposal. For the purposes of Proposal 5, broker non-votes have no effect, and abstentions have the same effect as a vote “against” the proposal.</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constitutes a “quorum”?</w:t>
      </w:r>
    </w:p>
    <w:p>
      <w:pPr>
        <w:spacing w:after="0" w:line="115"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56" w:lineRule="exact"/>
        <w:rPr>
          <w:sz w:val="20"/>
          <w:szCs w:val="20"/>
          <w:color w:val="auto"/>
        </w:rPr>
      </w:pPr>
    </w:p>
    <w:p>
      <w:pPr>
        <w:ind w:left="760" w:right="560"/>
        <w:spacing w:after="0" w:line="278" w:lineRule="auto"/>
        <w:rPr>
          <w:sz w:val="20"/>
          <w:szCs w:val="20"/>
          <w:color w:val="auto"/>
        </w:rPr>
      </w:pPr>
      <w:r>
        <w:rPr>
          <w:rFonts w:ascii="Arial" w:cs="Arial" w:eastAsia="Arial" w:hAnsi="Arial"/>
          <w:sz w:val="18"/>
          <w:szCs w:val="18"/>
          <w:b w:val="1"/>
          <w:bCs w:val="1"/>
          <w:i w:val="1"/>
          <w:iCs w:val="1"/>
          <w:color w:val="00C08A"/>
        </w:rPr>
        <w:t>What is the difference between a stockholder of record and a beneficial owner of shares held in street name?</w:t>
      </w:r>
    </w:p>
    <w:p>
      <w:pPr>
        <w:spacing w:after="0" w:line="31" w:lineRule="exact"/>
        <w:rPr>
          <w:sz w:val="20"/>
          <w:szCs w:val="20"/>
          <w:color w:val="auto"/>
        </w:rPr>
      </w:pPr>
    </w:p>
    <w:p>
      <w:pPr>
        <w:ind w:left="1340" w:right="400" w:hanging="218"/>
        <w:spacing w:after="0" w:line="287" w:lineRule="auto"/>
        <w:tabs>
          <w:tab w:leader="none" w:pos="1340" w:val="left"/>
        </w:tabs>
        <w:numPr>
          <w:ilvl w:val="0"/>
          <w:numId w:val="54"/>
        </w:numPr>
        <w:rPr>
          <w:rFonts w:ascii="Arial" w:cs="Arial" w:eastAsia="Arial" w:hAnsi="Arial"/>
          <w:sz w:val="18"/>
          <w:szCs w:val="18"/>
          <w:color w:val="002453"/>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Equiniti</w:t>
      </w:r>
      <w:r>
        <w:rPr>
          <w:rFonts w:ascii="Arial" w:cs="Arial" w:eastAsia="Arial" w:hAnsi="Arial"/>
          <w:sz w:val="18"/>
          <w:szCs w:val="18"/>
          <w:i w:val="1"/>
          <w:iCs w:val="1"/>
          <w:color w:val="auto"/>
        </w:rPr>
        <w:t xml:space="preserve"> </w:t>
      </w:r>
      <w:r>
        <w:rPr>
          <w:rFonts w:ascii="Arial" w:cs="Arial" w:eastAsia="Arial" w:hAnsi="Arial"/>
          <w:sz w:val="18"/>
          <w:szCs w:val="18"/>
          <w:color w:val="auto"/>
        </w:rPr>
        <w:t>Trust Company, LLC, you are a stockholder of record.</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1340" w:right="220" w:hanging="218"/>
        <w:spacing w:after="0" w:line="259" w:lineRule="auto"/>
        <w:tabs>
          <w:tab w:leader="none" w:pos="1340" w:val="left"/>
        </w:tabs>
        <w:numPr>
          <w:ilvl w:val="0"/>
          <w:numId w:val="55"/>
        </w:numPr>
        <w:rPr>
          <w:rFonts w:ascii="Arial" w:cs="Arial" w:eastAsia="Arial" w:hAnsi="Arial"/>
          <w:sz w:val="18"/>
          <w:szCs w:val="18"/>
          <w:color w:val="002453"/>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 dealer or other similar organization, then 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do I vote?</w:t>
      </w:r>
    </w:p>
    <w:p>
      <w:pPr>
        <w:spacing w:after="0" w:line="115" w:lineRule="exact"/>
        <w:rPr>
          <w:sz w:val="20"/>
          <w:szCs w:val="20"/>
          <w:color w:val="auto"/>
        </w:rPr>
      </w:pPr>
    </w:p>
    <w:p>
      <w:pPr>
        <w:ind w:left="1340" w:right="100" w:hanging="218"/>
        <w:spacing w:after="0" w:line="257" w:lineRule="auto"/>
        <w:tabs>
          <w:tab w:leader="none" w:pos="1340" w:val="left"/>
        </w:tabs>
        <w:numPr>
          <w:ilvl w:val="0"/>
          <w:numId w:val="56"/>
        </w:numPr>
        <w:rPr>
          <w:rFonts w:ascii="Arial" w:cs="Arial" w:eastAsia="Arial" w:hAnsi="Arial"/>
          <w:sz w:val="18"/>
          <w:szCs w:val="18"/>
          <w:color w:val="002453"/>
        </w:rPr>
      </w:pPr>
      <w:r>
        <w:rPr>
          <w:rFonts w:ascii="Arial" w:cs="Arial" w:eastAsia="Arial" w:hAnsi="Arial"/>
          <w:sz w:val="18"/>
          <w:szCs w:val="18"/>
          <w:i w:val="1"/>
          <w:iCs w:val="1"/>
          <w:color w:val="auto"/>
        </w:rPr>
        <w:t>Vote by Internet</w:t>
      </w:r>
      <w:r>
        <w:rPr>
          <w:rFonts w:ascii="Arial" w:cs="Arial" w:eastAsia="Arial" w:hAnsi="Arial"/>
          <w:sz w:val="18"/>
          <w:szCs w:val="18"/>
          <w:color w:val="auto"/>
        </w:rPr>
        <w:t>. Visit www.proxyvote.com to vote via the Internet. Stockholders of record may submit proxies</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60" w:lineRule="exact"/>
        <w:rPr>
          <w:rFonts w:ascii="Arial" w:cs="Arial" w:eastAsia="Arial" w:hAnsi="Arial"/>
          <w:sz w:val="18"/>
          <w:szCs w:val="18"/>
          <w:color w:val="002453"/>
        </w:rPr>
      </w:pPr>
    </w:p>
    <w:p>
      <w:pPr>
        <w:ind w:left="1340" w:right="80" w:hanging="218"/>
        <w:spacing w:after="0" w:line="256" w:lineRule="auto"/>
        <w:tabs>
          <w:tab w:leader="none" w:pos="1340" w:val="left"/>
        </w:tabs>
        <w:numPr>
          <w:ilvl w:val="0"/>
          <w:numId w:val="56"/>
        </w:numPr>
        <w:rPr>
          <w:rFonts w:ascii="Arial" w:cs="Arial" w:eastAsia="Arial" w:hAnsi="Arial"/>
          <w:sz w:val="18"/>
          <w:szCs w:val="18"/>
          <w:color w:val="002453"/>
        </w:rPr>
      </w:pPr>
      <w:r>
        <w:rPr>
          <w:rFonts w:ascii="Arial" w:cs="Arial" w:eastAsia="Arial" w:hAnsi="Arial"/>
          <w:sz w:val="18"/>
          <w:szCs w:val="18"/>
          <w:i w:val="1"/>
          <w:iCs w:val="1"/>
          <w:color w:val="auto"/>
        </w:rPr>
        <w:t>Vote by Telephone</w:t>
      </w:r>
      <w:r>
        <w:rPr>
          <w:rFonts w:ascii="Arial" w:cs="Arial" w:eastAsia="Arial" w:hAnsi="Arial"/>
          <w:sz w:val="18"/>
          <w:szCs w:val="18"/>
          <w:color w:val="auto"/>
        </w:rPr>
        <w:t>. Call toll free 1 800 690 6903 in the United States or from foreign countries from any touch</w:t>
      </w:r>
      <w:r>
        <w:rPr>
          <w:rFonts w:ascii="Arial" w:cs="Arial" w:eastAsia="Arial" w:hAnsi="Arial"/>
          <w:sz w:val="18"/>
          <w:szCs w:val="18"/>
          <w:i w:val="1"/>
          <w:iCs w:val="1"/>
          <w:color w:val="auto"/>
        </w:rPr>
        <w:t xml:space="preserve"> </w:t>
      </w:r>
      <w:r>
        <w:rPr>
          <w:rFonts w:ascii="Arial" w:cs="Arial" w:eastAsia="Arial" w:hAnsi="Arial"/>
          <w:sz w:val="18"/>
          <w:szCs w:val="18"/>
          <w:color w:val="auto"/>
        </w:rPr>
        <w:t>tone telephone and follow the instructions. Stockholders of record may submit proxies using any touch 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 tone telephone from within the United States by calling the number specified on the voting instruction forms provided by their brokers, trustees, banks or other nominees.</w:t>
      </w:r>
    </w:p>
    <w:p>
      <w:pPr>
        <w:spacing w:after="0" w:line="74" w:lineRule="exact"/>
        <w:rPr>
          <w:rFonts w:ascii="Arial" w:cs="Arial" w:eastAsia="Arial" w:hAnsi="Arial"/>
          <w:sz w:val="18"/>
          <w:szCs w:val="18"/>
          <w:color w:val="002453"/>
        </w:rPr>
      </w:pPr>
    </w:p>
    <w:p>
      <w:pPr>
        <w:ind w:left="1340" w:right="80" w:hanging="218"/>
        <w:spacing w:after="0" w:line="254" w:lineRule="auto"/>
        <w:tabs>
          <w:tab w:leader="none" w:pos="1340" w:val="left"/>
        </w:tabs>
        <w:numPr>
          <w:ilvl w:val="0"/>
          <w:numId w:val="56"/>
        </w:numPr>
        <w:rPr>
          <w:rFonts w:ascii="Arial" w:cs="Arial" w:eastAsia="Arial" w:hAnsi="Arial"/>
          <w:sz w:val="18"/>
          <w:szCs w:val="18"/>
          <w:color w:val="002453"/>
        </w:rPr>
      </w:pPr>
      <w:r>
        <w:rPr>
          <w:rFonts w:ascii="Arial" w:cs="Arial" w:eastAsia="Arial" w:hAnsi="Arial"/>
          <w:sz w:val="18"/>
          <w:szCs w:val="18"/>
          <w:i w:val="1"/>
          <w:iCs w:val="1"/>
          <w:color w:val="auto"/>
        </w:rPr>
        <w:t>Vote by Mail</w:t>
      </w:r>
      <w:r>
        <w:rPr>
          <w:rFonts w:ascii="Arial" w:cs="Arial" w:eastAsia="Arial" w:hAnsi="Arial"/>
          <w:sz w:val="18"/>
          <w:szCs w:val="18"/>
          <w:color w:val="auto"/>
        </w:rPr>
        <w:t>. Stockholders of record may submit proxies by mail by requesting printed proxy cards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How can I vote my shares in person and participate at the Annual Meeting?</w:t>
      </w:r>
    </w:p>
    <w:p>
      <w:pPr>
        <w:spacing w:after="0" w:line="115"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The Annual Meeting will be held in a virtual meeting format only. Stockholders may participate in the annual meeting by visiting the following website: www.virtualshareholdermeeting.com/VIRT2025.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Can I change my vote after submitting a proxy?</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Stockholders of record may revoke their proxy at any time before it is exercised at the Annual Meeting by</w:t>
      </w:r>
    </w:p>
    <w:p>
      <w:pPr>
        <w:spacing w:after="0" w:line="27" w:lineRule="exact"/>
        <w:rPr>
          <w:sz w:val="20"/>
          <w:szCs w:val="20"/>
          <w:color w:val="auto"/>
        </w:rPr>
      </w:pPr>
    </w:p>
    <w:p>
      <w:pPr>
        <w:ind w:left="760" w:right="80" w:firstLine="2"/>
        <w:spacing w:after="0" w:line="241" w:lineRule="auto"/>
        <w:tabs>
          <w:tab w:leader="none" w:pos="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delivering written notice, bearing a date later than the proxy, stating that the proxy is revoked to Virtu Financial, Inc., 1633 Broadway, New York, New York 10019, Attn: Secretary, (ii) submitting a later dated proxy relating to the same shares by mail, telephone or the Internet prior to the vote at the Annual Meeting or (iii) attending the Annual Meeting and voting electronically during the Annual Meeting. If you are a beneficial stockholder, you may revoke your proxy or change your vote only by following the separate instructions provided by your broker, trust, bank or other nominee.</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If I hold shares in street name through a broker, can the broker vote my shares for me?</w:t>
      </w:r>
    </w:p>
    <w:p>
      <w:pPr>
        <w:spacing w:after="0" w:line="115" w:lineRule="exact"/>
        <w:rPr>
          <w:sz w:val="20"/>
          <w:szCs w:val="20"/>
          <w:color w:val="auto"/>
        </w:rPr>
      </w:pPr>
    </w:p>
    <w:p>
      <w:pPr>
        <w:ind w:left="760" w:right="160"/>
        <w:spacing w:after="0" w:line="271" w:lineRule="auto"/>
        <w:rPr>
          <w:sz w:val="20"/>
          <w:szCs w:val="20"/>
          <w:color w:val="auto"/>
        </w:rPr>
      </w:pPr>
      <w:r>
        <w:rPr>
          <w:rFonts w:ascii="Arial" w:cs="Arial" w:eastAsia="Arial" w:hAnsi="Arial"/>
          <w:sz w:val="17"/>
          <w:szCs w:val="17"/>
          <w:color w:val="auto"/>
        </w:rPr>
        <w:t>If you hold your shares in street name and you do not vote, the broker or other organization holding your shares can vote on certain “routine” proposals but cannot vote on other proposals. Proposals 1, 2, 3 and 5 are not considered “routine” proposals. Proposal 4 is a “routine” proposal. If you hold shares in street name and do not vote on proposal 1, 2 or 4, your shares will not be voted in respect of those proposals and will be counted as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179705</wp:posOffset>
            </wp:positionV>
            <wp:extent cx="754380" cy="2400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9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 is paying for this proxy solicitation?</w:t>
      </w:r>
    </w:p>
    <w:p>
      <w:pPr>
        <w:spacing w:after="0" w:line="115"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What do I need to do if I want to attend the meeting?</w:t>
      </w:r>
    </w:p>
    <w:p>
      <w:pPr>
        <w:spacing w:after="0" w:line="115" w:lineRule="exact"/>
        <w:rPr>
          <w:sz w:val="20"/>
          <w:szCs w:val="20"/>
          <w:color w:val="auto"/>
        </w:rPr>
      </w:pPr>
    </w:p>
    <w:p>
      <w:pPr>
        <w:ind w:left="760" w:right="240"/>
        <w:spacing w:after="0" w:line="252" w:lineRule="auto"/>
        <w:rPr>
          <w:sz w:val="20"/>
          <w:szCs w:val="20"/>
          <w:color w:val="auto"/>
        </w:rPr>
      </w:pPr>
      <w:r>
        <w:rPr>
          <w:rFonts w:ascii="Arial" w:cs="Arial" w:eastAsia="Arial" w:hAnsi="Arial"/>
          <w:sz w:val="18"/>
          <w:szCs w:val="18"/>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www.virtualshareholdermeeting.com/VIRT2025 and using your 16-digit control number to enter the meeting.</w:t>
      </w:r>
    </w:p>
    <w:p>
      <w:pPr>
        <w:spacing w:after="0" w:line="62"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login page.</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Where can I find voting results?</w:t>
      </w:r>
    </w:p>
    <w:p>
      <w:pPr>
        <w:spacing w:after="0" w:line="115"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Final voting results from the Annual Meeting will be filed with the SEC on a Current Report on Form 8-K on or before the fourth business day after the Annual Meeting concludes.</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I share an address with another stockholder. Why did we receive only one set of Proxy Materials?</w:t>
      </w:r>
    </w:p>
    <w:p>
      <w:pPr>
        <w:spacing w:after="0" w:line="115"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2024,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83"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If your shares are held by a brokerage firm or bank and you prefer to receive separate copies of our proxy statement, our annual report including our Form 10-K for the fiscal year ended December 31, 2024,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may request to opt in to or opt out of “householding” either now or in the future, by contacting our Investor Relations department at our executive office by calling (212) 418-0100.</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I ask questions at the Annual Meeting?</w:t>
      </w:r>
    </w:p>
    <w:p>
      <w:pPr>
        <w:spacing w:after="0" w:line="115"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www.virtualshareholdermeeting.com/VIRT2025, typing a question into the “Ask a Question” field, and clicking “Submit.” Only questions submitted by stockholders on subjects pertinent to meeting matters will be answered during the meeting, subject to time constraints. Additional information regarding the ability of stockholders to ask questions during the Annual Meeting, related rules of conduct, and other materials for the Annual Meeting will be available during the Annual Meeting at www.virtualshareholdermeeting.com/VIRT2025.</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May guests attend the Annual Meeting?</w:t>
      </w:r>
    </w:p>
    <w:p>
      <w:pPr>
        <w:spacing w:after="0" w:line="115" w:lineRule="exact"/>
        <w:rPr>
          <w:sz w:val="20"/>
          <w:szCs w:val="20"/>
          <w:color w:val="auto"/>
        </w:rPr>
      </w:pPr>
    </w:p>
    <w:p>
      <w:pPr>
        <w:ind w:left="760" w:right="400"/>
        <w:spacing w:after="0" w:line="261" w:lineRule="auto"/>
        <w:rPr>
          <w:sz w:val="20"/>
          <w:szCs w:val="20"/>
          <w:color w:val="auto"/>
        </w:rPr>
      </w:pPr>
      <w:r>
        <w:rPr>
          <w:rFonts w:ascii="Arial" w:cs="Arial" w:eastAsia="Arial" w:hAnsi="Arial"/>
          <w:sz w:val="18"/>
          <w:szCs w:val="18"/>
          <w:color w:val="auto"/>
        </w:rPr>
        <w:t>Yes. A webcast of the Annual Meeting will also be available to the general public at the following link: www.virtualshareholdermeeting.com/VIRT2025. Select “Other Stockholders/Guests” to enter the meeting. Please note that guests will not have the ability to ask questions or vote during the meeting.</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08A"/>
        </w:rPr>
        <w:t>Whom should I contact if I have additional questions?</w:t>
      </w:r>
    </w:p>
    <w:p>
      <w:pPr>
        <w:spacing w:after="0" w:line="115" w:lineRule="exact"/>
        <w:rPr>
          <w:sz w:val="20"/>
          <w:szCs w:val="20"/>
          <w:color w:val="auto"/>
        </w:rPr>
      </w:pPr>
    </w:p>
    <w:p>
      <w:pPr>
        <w:ind w:left="760" w:right="60"/>
        <w:spacing w:after="0" w:line="261" w:lineRule="auto"/>
        <w:rPr>
          <w:sz w:val="20"/>
          <w:szCs w:val="20"/>
          <w:color w:val="auto"/>
        </w:rPr>
      </w:pPr>
      <w:r>
        <w:rPr>
          <w:rFonts w:ascii="Arial" w:cs="Arial" w:eastAsia="Arial" w:hAnsi="Arial"/>
          <w:sz w:val="18"/>
          <w:szCs w:val="18"/>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25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2024, including financial statements and schedules and amendments thereto filed with the SEC, are also available without charge to stockholders upon written request addressed to:</w:t>
      </w:r>
    </w:p>
    <w:p>
      <w:pPr>
        <w:spacing w:after="0" w:line="6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6212840</wp:posOffset>
            </wp:positionV>
            <wp:extent cx="754380" cy="2400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453"/>
        </w:rPr>
        <w:t>ANNEX A</w:t>
      </w:r>
    </w:p>
    <w:p>
      <w:pPr>
        <w:spacing w:after="0" w:line="14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Virtu Financial, Inc. Second Amended and Restated 2015 Management Incentive Plan</w:t>
      </w:r>
    </w:p>
    <w:p>
      <w:pPr>
        <w:spacing w:after="0" w:line="117" w:lineRule="exact"/>
        <w:rPr>
          <w:sz w:val="20"/>
          <w:szCs w:val="20"/>
          <w:color w:val="auto"/>
        </w:rPr>
      </w:pPr>
    </w:p>
    <w:p>
      <w:pPr>
        <w:ind w:left="760" w:right="140" w:firstLine="2"/>
        <w:spacing w:after="0" w:line="248"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Purpose and History. </w:t>
      </w:r>
      <w:r>
        <w:rPr>
          <w:rFonts w:ascii="Arial" w:cs="Arial" w:eastAsia="Arial" w:hAnsi="Arial"/>
          <w:sz w:val="18"/>
          <w:szCs w:val="18"/>
          <w:color w:val="auto"/>
        </w:rPr>
        <w:t>The Virtu Financial, Inc. Second Amended and Restated 2015 Management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help Virtu Financial, Inc., a Delaware corporation (including any successor thereto,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Affiliates (i) attract and retain key personnel by providing them the opportunity to acquire an equity interest in the Company or other incentive compensation measured by reference to the value of Common Stock and (ii) align the interests of key personnel with those of the Company’s shareholders. The Virtu Financial, Inc. 2015 Management Incentive Plan was originally adopted by the Board on April 3, 2015.</w:t>
      </w:r>
    </w:p>
    <w:p>
      <w:pPr>
        <w:spacing w:after="0" w:line="66" w:lineRule="exact"/>
        <w:rPr>
          <w:rFonts w:ascii="Arial" w:cs="Arial" w:eastAsia="Arial" w:hAnsi="Arial"/>
          <w:sz w:val="18"/>
          <w:szCs w:val="18"/>
          <w:color w:val="auto"/>
        </w:rPr>
      </w:pPr>
    </w:p>
    <w:p>
      <w:pPr>
        <w:ind w:left="760" w:right="140" w:firstLine="2"/>
        <w:spacing w:after="0" w:line="252" w:lineRule="auto"/>
        <w:tabs>
          <w:tab w:leader="none" w:pos="105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Duration. </w:t>
      </w:r>
      <w:r>
        <w:rPr>
          <w:rFonts w:ascii="Arial" w:cs="Arial" w:eastAsia="Arial" w:hAnsi="Arial"/>
          <w:sz w:val="18"/>
          <w:szCs w:val="18"/>
          <w:color w:val="auto"/>
        </w:rPr>
        <w:t>The Plan shall be effective as of June 2, 2025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of the Plan, on and after which date no Awards may be granted, shall be the tenth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expiration shall not affect Awards then outstanding, and the terms and conditions of the Plan shall continue to apply to such Awards.</w:t>
      </w:r>
    </w:p>
    <w:p>
      <w:pPr>
        <w:spacing w:after="0" w:line="75" w:lineRule="exact"/>
        <w:rPr>
          <w:rFonts w:ascii="Arial" w:cs="Arial" w:eastAsia="Arial" w:hAnsi="Arial"/>
          <w:sz w:val="18"/>
          <w:szCs w:val="18"/>
          <w:color w:val="auto"/>
        </w:rPr>
      </w:pPr>
    </w:p>
    <w:p>
      <w:pPr>
        <w:ind w:left="1060" w:hanging="298"/>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following definitions shall apply throughout the Plan.</w:t>
      </w:r>
    </w:p>
    <w:p>
      <w:pPr>
        <w:spacing w:after="0" w:line="117" w:lineRule="exact"/>
        <w:rPr>
          <w:rFonts w:ascii="Arial" w:cs="Arial" w:eastAsia="Arial" w:hAnsi="Arial"/>
          <w:sz w:val="18"/>
          <w:szCs w:val="18"/>
          <w:color w:val="auto"/>
        </w:rPr>
      </w:pPr>
    </w:p>
    <w:p>
      <w:pPr>
        <w:ind w:left="760" w:right="180" w:firstLine="434"/>
        <w:spacing w:after="0" w:line="259" w:lineRule="auto"/>
        <w:tabs>
          <w:tab w:leader="none" w:pos="1485"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(i) any person or entity that directly or indirectly controls, is controlled by or is under common control with the Company and/or (ii) to the extent provided by the Committee, any person or entity in which</w:t>
      </w:r>
    </w:p>
    <w:p>
      <w:pPr>
        <w:spacing w:after="0" w:line="1" w:lineRule="exact"/>
        <w:rPr>
          <w:rFonts w:ascii="Arial" w:cs="Arial" w:eastAsia="Arial" w:hAnsi="Arial"/>
          <w:sz w:val="17"/>
          <w:szCs w:val="17"/>
          <w:color w:val="auto"/>
        </w:rPr>
      </w:pPr>
    </w:p>
    <w:p>
      <w:pPr>
        <w:ind w:left="760" w:right="100"/>
        <w:spacing w:after="0" w:line="245" w:lineRule="auto"/>
        <w:rPr>
          <w:rFonts w:ascii="Arial" w:cs="Arial" w:eastAsia="Arial" w:hAnsi="Arial"/>
          <w:sz w:val="17"/>
          <w:szCs w:val="17"/>
          <w:color w:val="auto"/>
        </w:rPr>
      </w:pPr>
      <w:r>
        <w:rPr>
          <w:rFonts w:ascii="Arial" w:cs="Arial" w:eastAsia="Arial" w:hAnsi="Arial"/>
          <w:sz w:val="18"/>
          <w:szCs w:val="18"/>
          <w:color w:val="auto"/>
        </w:rPr>
        <w:t>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81" w:lineRule="exact"/>
        <w:rPr>
          <w:rFonts w:ascii="Arial" w:cs="Arial" w:eastAsia="Arial" w:hAnsi="Arial"/>
          <w:sz w:val="17"/>
          <w:szCs w:val="17"/>
          <w:color w:val="auto"/>
        </w:rPr>
      </w:pPr>
    </w:p>
    <w:p>
      <w:pPr>
        <w:ind w:left="760" w:right="360" w:firstLine="434"/>
        <w:spacing w:after="0" w:line="253" w:lineRule="auto"/>
        <w:tabs>
          <w:tab w:leader="none" w:pos="148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Other Stock-Based Award and/or Performance Compensation Award granted under the Plan.</w:t>
      </w:r>
    </w:p>
    <w:p>
      <w:pPr>
        <w:spacing w:after="0" w:line="74" w:lineRule="exact"/>
        <w:rPr>
          <w:rFonts w:ascii="Arial" w:cs="Arial" w:eastAsia="Arial" w:hAnsi="Arial"/>
          <w:sz w:val="18"/>
          <w:szCs w:val="18"/>
          <w:color w:val="auto"/>
        </w:rPr>
      </w:pPr>
    </w:p>
    <w:p>
      <w:pPr>
        <w:ind w:left="760" w:right="680" w:firstLine="434"/>
        <w:spacing w:after="0" w:line="271" w:lineRule="auto"/>
        <w:tabs>
          <w:tab w:leader="none" w:pos="14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has the meaning set forth in Rule 13d-3 promulgated under Section 13 of the Exchange Act.</w:t>
      </w:r>
    </w:p>
    <w:p>
      <w:pPr>
        <w:spacing w:after="0" w:line="45" w:lineRule="exact"/>
        <w:rPr>
          <w:rFonts w:ascii="Arial" w:cs="Arial" w:eastAsia="Arial" w:hAnsi="Arial"/>
          <w:sz w:val="18"/>
          <w:szCs w:val="18"/>
          <w:color w:val="auto"/>
        </w:rPr>
      </w:pPr>
    </w:p>
    <w:p>
      <w:pPr>
        <w:ind w:left="1480" w:hanging="28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760" w:right="60" w:firstLine="434"/>
        <w:spacing w:after="0" w:line="257" w:lineRule="auto"/>
        <w:tabs>
          <w:tab w:leader="none" w:pos="1485"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in the case of a particular Award, unless the applicable Award agreement states otherwise, the Company or an Affiliate having “cause” to terminate the Participant’s employment or service, (i) as such term is defined in any employment, consulting, change-in-control, severance or any other agreement between the Participant and the Company or an Affiliate in effect at the time of such termination or (ii) in the absence of any such employment, consulting, change-in-control, severance or other agreement (or the absence of any definition of “cause” or term of similar import therein), due to the Participant’s (A) willful misconduct or gross neglect of his duties;</w:t>
      </w:r>
    </w:p>
    <w:p>
      <w:pPr>
        <w:spacing w:after="0" w:line="4" w:lineRule="exact"/>
        <w:rPr>
          <w:rFonts w:ascii="Arial" w:cs="Arial" w:eastAsia="Arial" w:hAnsi="Arial"/>
          <w:sz w:val="17"/>
          <w:szCs w:val="17"/>
          <w:color w:val="auto"/>
        </w:rPr>
      </w:pPr>
    </w:p>
    <w:p>
      <w:pPr>
        <w:ind w:left="760" w:right="100"/>
        <w:spacing w:after="0" w:line="254" w:lineRule="auto"/>
        <w:rPr>
          <w:rFonts w:ascii="Arial" w:cs="Arial" w:eastAsia="Arial" w:hAnsi="Arial"/>
          <w:sz w:val="17"/>
          <w:szCs w:val="17"/>
          <w:color w:val="auto"/>
        </w:rPr>
      </w:pPr>
      <w:r>
        <w:rPr>
          <w:rFonts w:ascii="Arial" w:cs="Arial" w:eastAsia="Arial" w:hAnsi="Arial"/>
          <w:sz w:val="17"/>
          <w:szCs w:val="17"/>
          <w:color w:val="auto"/>
        </w:rPr>
        <w:t>(B) having engaged in conduct harmful (whether financially, reputationally or otherwise) to the Company or an Affiliate; (C) failure or refusal to perform his duties; (D) conviction of, or guilty or no contest plea to, a felony or any crime involving dishonesty or moral turpitude; (E) willful violation of the written policies of the Company or an Affiliate;</w:t>
      </w:r>
    </w:p>
    <w:p>
      <w:pPr>
        <w:ind w:left="760" w:right="360"/>
        <w:spacing w:after="0" w:line="250" w:lineRule="auto"/>
        <w:rPr>
          <w:rFonts w:ascii="Arial" w:cs="Arial" w:eastAsia="Arial" w:hAnsi="Arial"/>
          <w:sz w:val="17"/>
          <w:szCs w:val="17"/>
          <w:color w:val="auto"/>
        </w:rPr>
      </w:pPr>
      <w:r>
        <w:rPr>
          <w:rFonts w:ascii="Arial" w:cs="Arial" w:eastAsia="Arial" w:hAnsi="Arial"/>
          <w:sz w:val="18"/>
          <w:szCs w:val="18"/>
          <w:color w:val="auto"/>
        </w:rPr>
        <w:t>(F) misappropriation or misuse of Company or Affiliate funds or property or other act of personal dishonesty in connection with his employment; or (G) willful breach of fiduciary duty. The determination of whether Cause exists shall be made by the Committee in its sole discretion.</w:t>
      </w:r>
    </w:p>
    <w:p>
      <w:pPr>
        <w:spacing w:after="0" w:line="64" w:lineRule="exact"/>
        <w:rPr>
          <w:rFonts w:ascii="Arial" w:cs="Arial" w:eastAsia="Arial" w:hAnsi="Arial"/>
          <w:sz w:val="17"/>
          <w:szCs w:val="17"/>
          <w:color w:val="auto"/>
        </w:rPr>
      </w:pPr>
    </w:p>
    <w:p>
      <w:pPr>
        <w:ind w:left="760" w:right="100" w:firstLine="434"/>
        <w:spacing w:after="0" w:line="261" w:lineRule="auto"/>
        <w:tabs>
          <w:tab w:leader="none" w:pos="143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in the case of a particular Award, unless the applicable Award agreement (or any employment, consulting, change-in-control, severance or other agreement between the Participant and the Company or an Affiliate) states otherwise, be deemed to occur upon any of the following events:</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  the acquisition by any Person of Beneficial Ownership of 30% or more (on a fully diluted basis) of</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either (A) the then outstanding shares of Common Stock, including Common Stock issuable upon the exercise of</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options or warrants, the conversion of convertible stock or debt, and the exercise of any similar right to acquire</w:t>
      </w:r>
    </w:p>
    <w:p>
      <w:pPr>
        <w:ind w:left="980"/>
        <w:spacing w:after="0" w:line="234" w:lineRule="auto"/>
        <w:rPr>
          <w:sz w:val="20"/>
          <w:szCs w:val="20"/>
          <w:color w:val="auto"/>
        </w:rPr>
      </w:pPr>
      <w:r>
        <w:rPr>
          <w:rFonts w:ascii="Arial" w:cs="Arial" w:eastAsia="Arial" w:hAnsi="Arial"/>
          <w:sz w:val="18"/>
          <w:szCs w:val="18"/>
          <w:color w:val="auto"/>
        </w:rPr>
        <w:t>such Common Stock (including, but not limited, to the exercise of any rights to exchange non-voting common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units of Virtu Financial LLC and paired shares of Class C common stock or Class D common stock for</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 of Class A Common Stock or Class B common stock, and any rights to exchange or convert Class B</w:t>
      </w:r>
    </w:p>
    <w:p>
      <w:pPr>
        <w:ind w:left="980"/>
        <w:spacing w:after="0" w:line="234" w:lineRule="auto"/>
        <w:rPr>
          <w:sz w:val="20"/>
          <w:szCs w:val="20"/>
          <w:color w:val="auto"/>
        </w:rPr>
      </w:pPr>
      <w:r>
        <w:rPr>
          <w:rFonts w:ascii="Arial" w:cs="Arial" w:eastAsia="Arial" w:hAnsi="Arial"/>
          <w:sz w:val="18"/>
          <w:szCs w:val="18"/>
          <w:color w:val="auto"/>
        </w:rPr>
        <w:t>common stock for Class A Common Stock); or (B) the combined voting power of the then outstanding voting</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securities of the Company entitled to vote in the election of directors (the “</w:t>
      </w:r>
      <w:r>
        <w:rPr>
          <w:rFonts w:ascii="Arial" w:cs="Arial" w:eastAsia="Arial" w:hAnsi="Arial"/>
          <w:sz w:val="18"/>
          <w:szCs w:val="18"/>
          <w:b w:val="1"/>
          <w:bCs w:val="1"/>
          <w:i w:val="1"/>
          <w:iCs w:val="1"/>
          <w:color w:val="auto"/>
        </w:rPr>
        <w:t>Outstanding Company Voting</w:t>
      </w:r>
    </w:p>
    <w:p>
      <w:pPr>
        <w:spacing w:after="0" w:line="30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780"/>
        <w:spacing w:after="0" w:line="261" w:lineRule="auto"/>
        <w:rPr>
          <w:sz w:val="20"/>
          <w:szCs w:val="20"/>
          <w:color w:val="auto"/>
        </w:rPr>
      </w:pP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but excluding any acquisition by the Company or any of its Affiliates, or by Vincent Viola,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Transferees or any of their respective Affiliates or by any employee benefit plan sponsored or maintained by the Company or any of its Affiliates;</w:t>
      </w:r>
    </w:p>
    <w:p>
      <w:pPr>
        <w:spacing w:after="0" w:line="54" w:lineRule="exact"/>
        <w:rPr>
          <w:sz w:val="20"/>
          <w:szCs w:val="20"/>
          <w:color w:val="auto"/>
        </w:rPr>
      </w:pPr>
    </w:p>
    <w:p>
      <w:pPr>
        <w:ind w:left="980" w:right="120" w:firstLine="430"/>
        <w:spacing w:after="0" w:line="263" w:lineRule="auto"/>
        <w:tabs>
          <w:tab w:leader="none" w:pos="1684" w:val="left"/>
        </w:tabs>
        <w:numPr>
          <w:ilvl w:val="2"/>
          <w:numId w:val="59"/>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members of the Board during any consecutive 12-month period (the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xml:space="preserve">”) cease to constitute a majority of the Board. Any person becoming a director through election or nomination for election approved by a valid vote of at least two-thirds of the Incumbent Directors shall be deemed an Incumbent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to be an Incumbent Director;</w:t>
      </w:r>
    </w:p>
    <w:p>
      <w:pPr>
        <w:spacing w:after="0" w:line="53" w:lineRule="exact"/>
        <w:rPr>
          <w:rFonts w:ascii="Arial" w:cs="Arial" w:eastAsia="Arial" w:hAnsi="Arial"/>
          <w:sz w:val="17"/>
          <w:szCs w:val="17"/>
          <w:color w:val="auto"/>
        </w:rPr>
      </w:pPr>
    </w:p>
    <w:p>
      <w:pPr>
        <w:ind w:left="980" w:right="280" w:firstLine="430"/>
        <w:spacing w:after="0" w:line="287" w:lineRule="auto"/>
        <w:tabs>
          <w:tab w:leader="none" w:pos="172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plan of complete dissolution or liquidation of the Company; or</w:t>
      </w:r>
    </w:p>
    <w:p>
      <w:pPr>
        <w:spacing w:after="0" w:line="44" w:lineRule="exact"/>
        <w:rPr>
          <w:rFonts w:ascii="Arial" w:cs="Arial" w:eastAsia="Arial" w:hAnsi="Arial"/>
          <w:sz w:val="18"/>
          <w:szCs w:val="18"/>
          <w:color w:val="auto"/>
        </w:rPr>
      </w:pPr>
    </w:p>
    <w:p>
      <w:pPr>
        <w:ind w:left="980" w:right="180" w:firstLine="430"/>
        <w:spacing w:after="0" w:line="266" w:lineRule="auto"/>
        <w:tabs>
          <w:tab w:leader="none" w:pos="1720"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consummation of a reorganization, recapitalization, merger, consolidation, statutory share exchange or similar form of corporate transaction involving the Company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or sale, transfer or other disposition of all or substantially all of the business or assets of the Company to an entity that is not an Affiliate of the Company (a “</w:t>
      </w:r>
      <w:r>
        <w:rPr>
          <w:rFonts w:ascii="Arial" w:cs="Arial" w:eastAsia="Arial" w:hAnsi="Arial"/>
          <w:sz w:val="17"/>
          <w:szCs w:val="17"/>
          <w:b w:val="1"/>
          <w:bCs w:val="1"/>
          <w:i w:val="1"/>
          <w:iCs w:val="1"/>
          <w:color w:val="auto"/>
        </w:rPr>
        <w:t>Sale</w:t>
      </w:r>
      <w:r>
        <w:rPr>
          <w:rFonts w:ascii="Arial" w:cs="Arial" w:eastAsia="Arial" w:hAnsi="Arial"/>
          <w:sz w:val="17"/>
          <w:szCs w:val="17"/>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7"/>
          <w:szCs w:val="17"/>
          <w:b w:val="1"/>
          <w:bCs w:val="1"/>
          <w:i w:val="1"/>
          <w:iCs w:val="1"/>
          <w:color w:val="auto"/>
        </w:rPr>
        <w:t>Surviving Company</w:t>
      </w:r>
      <w:r>
        <w:rPr>
          <w:rFonts w:ascii="Arial" w:cs="Arial" w:eastAsia="Arial" w:hAnsi="Arial"/>
          <w:sz w:val="17"/>
          <w:szCs w:val="17"/>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represented by the Outstanding Company Voting Securities that were outstanding immediately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w:t>
      </w:r>
    </w:p>
    <w:p>
      <w:pPr>
        <w:spacing w:after="0" w:line="9" w:lineRule="exact"/>
        <w:rPr>
          <w:rFonts w:ascii="Arial" w:cs="Arial" w:eastAsia="Arial" w:hAnsi="Arial"/>
          <w:sz w:val="17"/>
          <w:szCs w:val="17"/>
          <w:color w:val="auto"/>
        </w:rPr>
      </w:pPr>
    </w:p>
    <w:p>
      <w:pPr>
        <w:ind w:left="980" w:right="100" w:hanging="2"/>
        <w:spacing w:after="0" w:line="252" w:lineRule="auto"/>
        <w:tabs>
          <w:tab w:leader="none" w:pos="1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Person (other than any employee benefit plan sponsored or maintained by the Surviving Company or the Parent Company), is or becomes the beneficial owner, directly or indirectly, of 30%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79" w:lineRule="exact"/>
        <w:rPr>
          <w:rFonts w:ascii="Arial" w:cs="Arial" w:eastAsia="Arial" w:hAnsi="Arial"/>
          <w:sz w:val="18"/>
          <w:szCs w:val="18"/>
          <w:color w:val="auto"/>
        </w:rPr>
      </w:pPr>
    </w:p>
    <w:p>
      <w:pPr>
        <w:ind w:left="760" w:right="180" w:firstLine="434"/>
        <w:spacing w:after="0" w:line="268" w:lineRule="auto"/>
        <w:tabs>
          <w:tab w:leader="none" w:pos="148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of the Company, par value $0.00001 per share (and any stock or other securities into which such common shares may be converted or into which it may be exchanged).</w:t>
      </w:r>
    </w:p>
    <w:p>
      <w:pPr>
        <w:spacing w:after="0" w:line="62" w:lineRule="exact"/>
        <w:rPr>
          <w:rFonts w:ascii="Arial" w:cs="Arial" w:eastAsia="Arial" w:hAnsi="Arial"/>
          <w:sz w:val="18"/>
          <w:szCs w:val="18"/>
          <w:color w:val="auto"/>
        </w:rPr>
      </w:pPr>
    </w:p>
    <w:p>
      <w:pPr>
        <w:ind w:left="1480" w:hanging="28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“Class B Common Stock” means the Class B common stock of the Company, par value $0.00001 per</w:t>
      </w:r>
    </w:p>
    <w:p>
      <w:pPr>
        <w:spacing w:after="0" w:line="2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share.</w:t>
      </w:r>
    </w:p>
    <w:p>
      <w:pPr>
        <w:spacing w:after="0" w:line="99" w:lineRule="exact"/>
        <w:rPr>
          <w:rFonts w:ascii="Arial" w:cs="Arial" w:eastAsia="Arial" w:hAnsi="Arial"/>
          <w:sz w:val="18"/>
          <w:szCs w:val="18"/>
          <w:color w:val="auto"/>
        </w:rPr>
      </w:pPr>
    </w:p>
    <w:p>
      <w:pPr>
        <w:ind w:left="1420" w:hanging="226"/>
        <w:spacing w:after="0"/>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“Class C Common Stock” means the Class C common stock of the Company, par value $0.00001 per share.</w:t>
      </w:r>
    </w:p>
    <w:p>
      <w:pPr>
        <w:spacing w:after="0" w:line="128" w:lineRule="exact"/>
        <w:rPr>
          <w:rFonts w:ascii="Arial" w:cs="Arial" w:eastAsia="Arial" w:hAnsi="Arial"/>
          <w:sz w:val="17"/>
          <w:szCs w:val="17"/>
          <w:color w:val="auto"/>
        </w:rPr>
      </w:pPr>
    </w:p>
    <w:p>
      <w:pPr>
        <w:ind w:left="1420" w:hanging="226"/>
        <w:spacing w:after="0"/>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“Class D Common Stock” means the Class D common stock of the Company, par value $0.00001 per share.</w:t>
      </w:r>
    </w:p>
    <w:p>
      <w:pPr>
        <w:spacing w:after="0" w:line="128" w:lineRule="exact"/>
        <w:rPr>
          <w:rFonts w:ascii="Arial" w:cs="Arial" w:eastAsia="Arial" w:hAnsi="Arial"/>
          <w:sz w:val="17"/>
          <w:szCs w:val="17"/>
          <w:color w:val="auto"/>
        </w:rPr>
      </w:pPr>
    </w:p>
    <w:p>
      <w:pPr>
        <w:ind w:left="760" w:right="320" w:firstLine="434"/>
        <w:spacing w:after="0" w:line="268" w:lineRule="auto"/>
        <w:tabs>
          <w:tab w:leader="none" w:pos="14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“Code”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62" w:lineRule="exact"/>
        <w:rPr>
          <w:rFonts w:ascii="Arial" w:cs="Arial" w:eastAsia="Arial" w:hAnsi="Arial"/>
          <w:sz w:val="18"/>
          <w:szCs w:val="18"/>
          <w:color w:val="auto"/>
        </w:rPr>
      </w:pPr>
    </w:p>
    <w:p>
      <w:pPr>
        <w:ind w:left="760" w:right="540" w:firstLine="434"/>
        <w:spacing w:after="0" w:line="268" w:lineRule="auto"/>
        <w:tabs>
          <w:tab w:leader="none" w:pos="14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subcommittee thereof if required to comply with Rule 16b-3 promulgated under the Exchange Act in respect of Awards or, if no such Compensation Committee or subcommittee thereof exists, the Board.</w:t>
      </w:r>
    </w:p>
    <w:p>
      <w:pPr>
        <w:spacing w:after="0" w:line="62" w:lineRule="exact"/>
        <w:rPr>
          <w:rFonts w:ascii="Arial" w:cs="Arial" w:eastAsia="Arial" w:hAnsi="Arial"/>
          <w:sz w:val="18"/>
          <w:szCs w:val="18"/>
          <w:color w:val="auto"/>
        </w:rPr>
      </w:pPr>
    </w:p>
    <w:p>
      <w:pPr>
        <w:ind w:left="1540" w:hanging="346"/>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“Common Stock” means collectively or individually the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231775</wp:posOffset>
            </wp:positionV>
            <wp:extent cx="754380" cy="2317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260" w:firstLine="434"/>
        <w:spacing w:after="0" w:line="291" w:lineRule="auto"/>
        <w:tabs>
          <w:tab w:leader="none" w:pos="14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“Disability”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44" w:lineRule="exact"/>
        <w:rPr>
          <w:rFonts w:ascii="Arial" w:cs="Arial" w:eastAsia="Arial" w:hAnsi="Arial"/>
          <w:sz w:val="17"/>
          <w:szCs w:val="17"/>
          <w:color w:val="auto"/>
        </w:rPr>
      </w:pPr>
    </w:p>
    <w:p>
      <w:pPr>
        <w:ind w:left="760" w:right="120" w:firstLine="434"/>
        <w:spacing w:after="0" w:line="256" w:lineRule="auto"/>
        <w:tabs>
          <w:tab w:leader="none" w:pos="14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“Eligible Person” means any (i) individual employed by the Company or an Affiliate; provided, however, that no such employee covered by a collective bargaining agreement shall be an Eligible Person; (ii) director or officer of the Company or an Affiliate; (iii) consultant or advisor to the Company or an Affiliate who may be offered securities registrable on Form S-8 under the Securities Act; or (iv) prospective employee, director, officer, consultant or advisor who has accepted an offer of employment or consultancy from the Company or its Affiliates (and would satisfy the provisions of clauses (i) through (iii) above once he begins employment with or providing services to the Company or its Affiliates.</w:t>
      </w:r>
    </w:p>
    <w:p>
      <w:pPr>
        <w:spacing w:after="0" w:line="74" w:lineRule="exact"/>
        <w:rPr>
          <w:rFonts w:ascii="Arial" w:cs="Arial" w:eastAsia="Arial" w:hAnsi="Arial"/>
          <w:sz w:val="18"/>
          <w:szCs w:val="18"/>
          <w:color w:val="auto"/>
        </w:rPr>
      </w:pPr>
    </w:p>
    <w:p>
      <w:pPr>
        <w:ind w:left="760" w:right="120" w:firstLine="434"/>
        <w:spacing w:after="0" w:line="291" w:lineRule="auto"/>
        <w:tabs>
          <w:tab w:leader="none" w:pos="14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“Exchange Act”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44" w:lineRule="exact"/>
        <w:rPr>
          <w:rFonts w:ascii="Arial" w:cs="Arial" w:eastAsia="Arial" w:hAnsi="Arial"/>
          <w:sz w:val="17"/>
          <w:szCs w:val="17"/>
          <w:color w:val="auto"/>
        </w:rPr>
      </w:pPr>
    </w:p>
    <w:p>
      <w:pPr>
        <w:ind w:left="760" w:right="180" w:firstLine="434"/>
        <w:spacing w:after="0" w:line="259" w:lineRule="auto"/>
        <w:tabs>
          <w:tab w:leader="none" w:pos="14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“Fair Market Value” means, on a given date, (i) if the Common Stock is listed on a national securities exchange, the closing sales price of the Common Stock reported on such exchange on such date, or, if there is no such sale on that date, then on the last preceding date on which such a sale was reported; or (ii) if the Common Stock is not listed on any national securities exchange, the amount determined by the Committee in good faith to be the fair market value of the Common Stock.</w:t>
      </w:r>
    </w:p>
    <w:p>
      <w:pPr>
        <w:spacing w:after="0" w:line="71" w:lineRule="exact"/>
        <w:rPr>
          <w:rFonts w:ascii="Arial" w:cs="Arial" w:eastAsia="Arial" w:hAnsi="Arial"/>
          <w:sz w:val="18"/>
          <w:szCs w:val="18"/>
          <w:color w:val="auto"/>
        </w:rPr>
      </w:pPr>
    </w:p>
    <w:p>
      <w:pPr>
        <w:ind w:left="760" w:right="560" w:firstLine="434"/>
        <w:spacing w:after="0" w:line="318" w:lineRule="auto"/>
        <w:tabs>
          <w:tab w:leader="none" w:pos="14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“Incentive Stock Option” means an Option which is designated by the Committee as an incentive stock option as described in Section 422 of the Code and otherwise meets the requirements set forth in the Plan.</w:t>
      </w:r>
    </w:p>
    <w:p>
      <w:pPr>
        <w:spacing w:after="0" w:line="21" w:lineRule="exact"/>
        <w:rPr>
          <w:rFonts w:ascii="Arial" w:cs="Arial" w:eastAsia="Arial" w:hAnsi="Arial"/>
          <w:sz w:val="17"/>
          <w:szCs w:val="17"/>
          <w:color w:val="auto"/>
        </w:rPr>
      </w:pPr>
    </w:p>
    <w:p>
      <w:pPr>
        <w:ind w:left="1480" w:hanging="28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“NASDAQ” means The Nasdaq Global Market.</w:t>
      </w:r>
    </w:p>
    <w:p>
      <w:pPr>
        <w:spacing w:after="0" w:line="117" w:lineRule="exact"/>
        <w:rPr>
          <w:rFonts w:ascii="Arial" w:cs="Arial" w:eastAsia="Arial" w:hAnsi="Arial"/>
          <w:sz w:val="18"/>
          <w:szCs w:val="18"/>
          <w:color w:val="auto"/>
        </w:rPr>
      </w:pPr>
    </w:p>
    <w:p>
      <w:pPr>
        <w:ind w:left="760" w:right="440" w:firstLine="434"/>
        <w:spacing w:after="0" w:line="287" w:lineRule="auto"/>
        <w:tabs>
          <w:tab w:leader="none" w:pos="14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“Nonqualified Stock Option” means an Option which is not designated by the Committee as an Incentive Stock Option.</w:t>
      </w:r>
    </w:p>
    <w:p>
      <w:pPr>
        <w:spacing w:after="0" w:line="44" w:lineRule="exact"/>
        <w:rPr>
          <w:rFonts w:ascii="Arial" w:cs="Arial" w:eastAsia="Arial" w:hAnsi="Arial"/>
          <w:sz w:val="18"/>
          <w:szCs w:val="18"/>
          <w:color w:val="auto"/>
        </w:rPr>
      </w:pPr>
    </w:p>
    <w:p>
      <w:pPr>
        <w:ind w:left="1480" w:hanging="28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117" w:lineRule="exact"/>
        <w:rPr>
          <w:rFonts w:ascii="Arial" w:cs="Arial" w:eastAsia="Arial" w:hAnsi="Arial"/>
          <w:sz w:val="18"/>
          <w:szCs w:val="18"/>
          <w:color w:val="auto"/>
        </w:rPr>
      </w:pPr>
    </w:p>
    <w:p>
      <w:pPr>
        <w:ind w:left="760" w:right="480" w:firstLine="434"/>
        <w:spacing w:after="0" w:line="287" w:lineRule="auto"/>
        <w:tabs>
          <w:tab w:leader="none" w:pos="14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Compensation Award” means an Award designated by the Committee as a Performance Compensation Award pursuant to Section 11 of the Plan.</w:t>
      </w:r>
    </w:p>
    <w:p>
      <w:pPr>
        <w:spacing w:after="0" w:line="44" w:lineRule="exact"/>
        <w:rPr>
          <w:rFonts w:ascii="Arial" w:cs="Arial" w:eastAsia="Arial" w:hAnsi="Arial"/>
          <w:sz w:val="18"/>
          <w:szCs w:val="18"/>
          <w:color w:val="auto"/>
        </w:rPr>
      </w:pPr>
    </w:p>
    <w:p>
      <w:pPr>
        <w:ind w:left="760" w:right="380" w:firstLine="434"/>
        <w:spacing w:after="0" w:line="268" w:lineRule="auto"/>
        <w:tabs>
          <w:tab w:leader="none" w:pos="15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w:t>
      </w:r>
    </w:p>
    <w:p>
      <w:pPr>
        <w:spacing w:after="0" w:line="62" w:lineRule="exact"/>
        <w:rPr>
          <w:rFonts w:ascii="Arial" w:cs="Arial" w:eastAsia="Arial" w:hAnsi="Arial"/>
          <w:sz w:val="18"/>
          <w:szCs w:val="18"/>
          <w:color w:val="auto"/>
        </w:rPr>
      </w:pPr>
    </w:p>
    <w:p>
      <w:pPr>
        <w:ind w:left="760" w:right="260" w:firstLine="434"/>
        <w:spacing w:after="0" w:line="262" w:lineRule="auto"/>
        <w:tabs>
          <w:tab w:leader="none" w:pos="14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68" w:lineRule="exact"/>
        <w:rPr>
          <w:rFonts w:ascii="Arial" w:cs="Arial" w:eastAsia="Arial" w:hAnsi="Arial"/>
          <w:sz w:val="18"/>
          <w:szCs w:val="18"/>
          <w:color w:val="auto"/>
        </w:rPr>
      </w:pPr>
    </w:p>
    <w:p>
      <w:pPr>
        <w:ind w:left="760" w:right="620" w:firstLine="434"/>
        <w:spacing w:after="0" w:line="287" w:lineRule="auto"/>
        <w:tabs>
          <w:tab w:leader="none" w:pos="14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Goals” shall mean, for a Performance Period, the one or more goals established by the Committee for the Performance Period based upon the Performance Criteria.</w:t>
      </w:r>
    </w:p>
    <w:p>
      <w:pPr>
        <w:spacing w:after="0" w:line="44" w:lineRule="exact"/>
        <w:rPr>
          <w:rFonts w:ascii="Arial" w:cs="Arial" w:eastAsia="Arial" w:hAnsi="Arial"/>
          <w:sz w:val="18"/>
          <w:szCs w:val="18"/>
          <w:color w:val="auto"/>
        </w:rPr>
      </w:pPr>
    </w:p>
    <w:p>
      <w:pPr>
        <w:ind w:left="760" w:right="140" w:firstLine="434"/>
        <w:spacing w:after="0" w:line="268" w:lineRule="auto"/>
        <w:tabs>
          <w:tab w:leader="none" w:pos="14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as the Committee may select, over which the attainment of one or more Performance Goals will be measured for the purpose of determining the Participant’s right to, and the payment of, a Performance Compensation Award.</w:t>
      </w:r>
    </w:p>
    <w:p>
      <w:pPr>
        <w:spacing w:after="0" w:line="63" w:lineRule="exact"/>
        <w:rPr>
          <w:sz w:val="20"/>
          <w:szCs w:val="20"/>
          <w:color w:val="auto"/>
        </w:rPr>
      </w:pPr>
    </w:p>
    <w:p>
      <w:pPr>
        <w:ind w:left="760" w:right="280" w:firstLine="434"/>
        <w:spacing w:after="0" w:line="276" w:lineRule="auto"/>
        <w:tabs>
          <w:tab w:leader="none" w:pos="1584" w:val="left"/>
        </w:tabs>
        <w:numPr>
          <w:ilvl w:val="1"/>
          <w:numId w:val="62"/>
        </w:numPr>
        <w:rPr>
          <w:rFonts w:ascii="Arial" w:cs="Arial" w:eastAsia="Arial" w:hAnsi="Arial"/>
          <w:sz w:val="17"/>
          <w:szCs w:val="17"/>
          <w:color w:val="auto"/>
        </w:rPr>
      </w:pPr>
      <w:r>
        <w:rPr>
          <w:rFonts w:ascii="Arial" w:cs="Arial" w:eastAsia="Arial" w:hAnsi="Arial"/>
          <w:sz w:val="17"/>
          <w:szCs w:val="17"/>
          <w:color w:val="auto"/>
        </w:rPr>
        <w:t>“Person” has the meaning given in Section 3(a)(9) of the Exchange Act, as modified and used in Sections 13(d) and 14(d) thereof, except that such term shall not include (i) the Company or any of its subsidiaries,</w:t>
      </w:r>
    </w:p>
    <w:p>
      <w:pPr>
        <w:jc w:val="both"/>
        <w:ind w:left="760" w:right="80" w:firstLine="2"/>
        <w:spacing w:after="0" w:line="255" w:lineRule="auto"/>
        <w:tabs>
          <w:tab w:leader="none" w:pos="10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Common Stock of the Company.</w:t>
      </w:r>
    </w:p>
    <w:p>
      <w:pPr>
        <w:spacing w:after="0" w:line="74" w:lineRule="exact"/>
        <w:rPr>
          <w:rFonts w:ascii="Arial" w:cs="Arial" w:eastAsia="Arial" w:hAnsi="Arial"/>
          <w:sz w:val="18"/>
          <w:szCs w:val="18"/>
          <w:color w:val="auto"/>
        </w:rPr>
      </w:pPr>
    </w:p>
    <w:p>
      <w:pPr>
        <w:ind w:left="760" w:right="400" w:firstLine="434"/>
        <w:spacing w:after="0" w:line="287" w:lineRule="auto"/>
        <w:tabs>
          <w:tab w:leader="none" w:pos="15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“Restricted Stock” means an Award of Common Stock, subject to certain specified restrictions, granted under Section 9 of the Plan.</w:t>
      </w:r>
    </w:p>
    <w:p>
      <w:pPr>
        <w:spacing w:after="0" w:line="24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both"/>
        <w:ind w:left="760" w:right="620" w:firstLine="434"/>
        <w:spacing w:after="0" w:line="261" w:lineRule="auto"/>
        <w:tabs>
          <w:tab w:leader="none" w:pos="15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“Restricted Stock Unit” means an Award of an unfunded and unsecured promise to deliver shares of Common Stock, cash, other securities or other property, subject to certain specified restrictions, granted under Section 9 of the Plan.</w:t>
      </w:r>
    </w:p>
    <w:p>
      <w:pPr>
        <w:spacing w:after="0" w:line="53" w:lineRule="exact"/>
        <w:rPr>
          <w:rFonts w:ascii="Arial" w:cs="Arial" w:eastAsia="Arial" w:hAnsi="Arial"/>
          <w:sz w:val="18"/>
          <w:szCs w:val="18"/>
          <w:color w:val="auto"/>
        </w:rPr>
      </w:pPr>
    </w:p>
    <w:p>
      <w:pPr>
        <w:ind w:left="1580" w:hanging="386"/>
        <w:spacing w:after="0"/>
        <w:tabs>
          <w:tab w:leader="none" w:pos="1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“Securities Act” means the U.S. Securities Act of 1933, as amended, and any successor thereto.</w:t>
      </w:r>
    </w:p>
    <w:p>
      <w:pPr>
        <w:spacing w:after="0" w:line="13" w:lineRule="exact"/>
        <w:rPr>
          <w:rFonts w:ascii="Arial" w:cs="Arial" w:eastAsia="Arial" w:hAnsi="Arial"/>
          <w:sz w:val="18"/>
          <w:szCs w:val="18"/>
          <w:color w:val="auto"/>
        </w:rPr>
      </w:pPr>
    </w:p>
    <w:p>
      <w:pPr>
        <w:ind w:left="760" w:right="80"/>
        <w:spacing w:after="0" w:line="250" w:lineRule="auto"/>
        <w:rPr>
          <w:rFonts w:ascii="Arial" w:cs="Arial" w:eastAsia="Arial" w:hAnsi="Arial"/>
          <w:sz w:val="18"/>
          <w:szCs w:val="18"/>
          <w:color w:val="auto"/>
        </w:rPr>
      </w:pPr>
      <w:r>
        <w:rPr>
          <w:rFonts w:ascii="Arial" w:cs="Arial" w:eastAsia="Arial" w:hAnsi="Arial"/>
          <w:sz w:val="18"/>
          <w:szCs w:val="18"/>
          <w:color w:val="auto"/>
        </w:rPr>
        <w:t>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64" w:lineRule="exact"/>
        <w:rPr>
          <w:rFonts w:ascii="Arial" w:cs="Arial" w:eastAsia="Arial" w:hAnsi="Arial"/>
          <w:sz w:val="18"/>
          <w:szCs w:val="18"/>
          <w:color w:val="auto"/>
        </w:rPr>
      </w:pPr>
    </w:p>
    <w:p>
      <w:pPr>
        <w:ind w:left="1580" w:hanging="386"/>
        <w:spacing w:after="0"/>
        <w:tabs>
          <w:tab w:leader="none" w:pos="15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117" w:lineRule="exact"/>
        <w:rPr>
          <w:rFonts w:ascii="Arial" w:cs="Arial" w:eastAsia="Arial" w:hAnsi="Arial"/>
          <w:sz w:val="18"/>
          <w:szCs w:val="18"/>
          <w:color w:val="auto"/>
        </w:rPr>
      </w:pPr>
    </w:p>
    <w:p>
      <w:pPr>
        <w:ind w:left="1040" w:hanging="278"/>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117" w:lineRule="exact"/>
        <w:rPr>
          <w:rFonts w:ascii="Arial" w:cs="Arial" w:eastAsia="Arial" w:hAnsi="Arial"/>
          <w:sz w:val="18"/>
          <w:szCs w:val="18"/>
          <w:color w:val="auto"/>
        </w:rPr>
      </w:pPr>
    </w:p>
    <w:p>
      <w:pPr>
        <w:ind w:left="760" w:right="60" w:firstLine="434"/>
        <w:spacing w:after="0" w:line="252" w:lineRule="auto"/>
        <w:tabs>
          <w:tab w:leader="none" w:pos="14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Committee shall administer the Plan, and shall have the sole and plenary authority to: (i) designate Participants; (ii) determine the type, size, and terms and conditions of Awards to be granted; (iii) determine the method by which an Award may be settled, exercised, canceled, forfeited, or suspended; (iv) determine the circumstances under which the delivery of cash, property or other amounts payable with respect to an Award may be deferred either automatically or at the Participant’s or Committee’s election; (v) interpret and administer, reconcile any inconsistency in, correct any defect in and/or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necessary to obtain any exception or exemption under the rules of NASDAQ or any other securities exchange or inter-dealer quotation service on which the Common Stock is listed or quoted, as applicable, it is intended that each member of the Committee shall, at the time he takes any action with respect to an Award under the Plan, be (i) a “non-employee director” within the meaning of Rule 16b-3 promulgated under the Exchange Act and/or (ii) an “independent director” under the rules of NASDAQ or any other securities exchange or inter-dealer quotation service on which the Common Stock is listed or quoted (“Eligible Director”). However, the fact that a Committee member shall fail to qualify as an Eligible Director shall not invalidate any Award granted or action taken by the Committee that is otherwise validly granted or taken under the Plan.</w:t>
      </w:r>
    </w:p>
    <w:p>
      <w:pPr>
        <w:spacing w:after="0" w:line="81" w:lineRule="exact"/>
        <w:rPr>
          <w:rFonts w:ascii="Arial" w:cs="Arial" w:eastAsia="Arial" w:hAnsi="Arial"/>
          <w:sz w:val="18"/>
          <w:szCs w:val="18"/>
          <w:color w:val="auto"/>
        </w:rPr>
      </w:pPr>
    </w:p>
    <w:p>
      <w:pPr>
        <w:jc w:val="both"/>
        <w:ind w:left="760" w:right="120" w:firstLine="434"/>
        <w:spacing w:after="0" w:line="262" w:lineRule="auto"/>
        <w:tabs>
          <w:tab w:leader="none" w:pos="148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Committee may allocate all or any portion of its responsibilities and powers to any one or more of its members and may delegate all or any part of its responsibilities and powers to any person(s) selected by it, except for grants of Awards to persons who are non-employee members of the Board or otherwise are subject to Section 16 of the Exchange Act. Any such allocation or delegation may be revoked by the Committee at any time.</w:t>
      </w:r>
    </w:p>
    <w:p>
      <w:pPr>
        <w:spacing w:after="0" w:line="68" w:lineRule="exact"/>
        <w:rPr>
          <w:rFonts w:ascii="Arial" w:cs="Arial" w:eastAsia="Arial" w:hAnsi="Arial"/>
          <w:sz w:val="18"/>
          <w:szCs w:val="18"/>
          <w:color w:val="auto"/>
        </w:rPr>
      </w:pPr>
    </w:p>
    <w:p>
      <w:pPr>
        <w:ind w:left="760" w:right="120" w:firstLine="434"/>
        <w:spacing w:after="0" w:line="259" w:lineRule="auto"/>
        <w:tabs>
          <w:tab w:leader="none" w:pos="14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further set forth in Section 15(f)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shareholder approval if such approval is required by applicable law or regulation.</w:t>
      </w:r>
    </w:p>
    <w:p>
      <w:pPr>
        <w:spacing w:after="0" w:line="71" w:lineRule="exact"/>
        <w:rPr>
          <w:rFonts w:ascii="Arial" w:cs="Arial" w:eastAsia="Arial" w:hAnsi="Arial"/>
          <w:sz w:val="18"/>
          <w:szCs w:val="18"/>
          <w:color w:val="auto"/>
        </w:rPr>
      </w:pPr>
    </w:p>
    <w:p>
      <w:pPr>
        <w:ind w:left="760" w:right="120" w:firstLine="434"/>
        <w:spacing w:after="0" w:line="259" w:lineRule="auto"/>
        <w:tabs>
          <w:tab w:leader="none" w:pos="14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shareholder of the Company.</w:t>
      </w:r>
    </w:p>
    <w:p>
      <w:pPr>
        <w:spacing w:after="0" w:line="71" w:lineRule="exact"/>
        <w:rPr>
          <w:rFonts w:ascii="Arial" w:cs="Arial" w:eastAsia="Arial" w:hAnsi="Arial"/>
          <w:sz w:val="18"/>
          <w:szCs w:val="18"/>
          <w:color w:val="auto"/>
        </w:rPr>
      </w:pPr>
    </w:p>
    <w:p>
      <w:pPr>
        <w:ind w:left="760" w:right="100" w:firstLine="434"/>
        <w:spacing w:after="0" w:line="272" w:lineRule="auto"/>
        <w:tabs>
          <w:tab w:leader="none" w:pos="1485"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 member of the Board, the Committee or any employee or agent of the Company (each such person, an “Indemnifiable Person”)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198120</wp:posOffset>
            </wp:positionV>
            <wp:extent cx="754380" cy="2317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54380" cy="2317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83" w:lineRule="exact"/>
        <w:rPr>
          <w:sz w:val="20"/>
          <w:szCs w:val="20"/>
          <w:color w:val="auto"/>
        </w:rPr>
      </w:pPr>
    </w:p>
    <w:p>
      <w:pPr>
        <w:ind w:left="760" w:right="80" w:firstLine="434"/>
        <w:spacing w:after="0" w:line="271" w:lineRule="auto"/>
        <w:tabs>
          <w:tab w:leader="none" w:pos="14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45" w:lineRule="exact"/>
        <w:rPr>
          <w:rFonts w:ascii="Arial" w:cs="Arial" w:eastAsia="Arial" w:hAnsi="Arial"/>
          <w:sz w:val="18"/>
          <w:szCs w:val="18"/>
          <w:color w:val="auto"/>
        </w:rPr>
      </w:pPr>
    </w:p>
    <w:p>
      <w:pPr>
        <w:ind w:left="1060" w:hanging="298"/>
        <w:spacing w:after="0"/>
        <w:tabs>
          <w:tab w:leader="none" w:pos="10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 Limitations.</w:t>
      </w:r>
    </w:p>
    <w:p>
      <w:pPr>
        <w:spacing w:after="0" w:line="117" w:lineRule="exact"/>
        <w:rPr>
          <w:rFonts w:ascii="Arial" w:cs="Arial" w:eastAsia="Arial" w:hAnsi="Arial"/>
          <w:sz w:val="18"/>
          <w:szCs w:val="18"/>
          <w:b w:val="1"/>
          <w:bCs w:val="1"/>
          <w:color w:val="auto"/>
        </w:rPr>
      </w:pPr>
    </w:p>
    <w:p>
      <w:pPr>
        <w:ind w:left="760" w:right="400" w:firstLine="434"/>
        <w:spacing w:after="0" w:line="287" w:lineRule="auto"/>
        <w:tabs>
          <w:tab w:leader="none" w:pos="1484"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The Committee may grant Options, Stock Appreciation Rights, Restricted Stock, Restricted Stock Units, Other Stock-Based Awards and/or Performance Compensation Awards to one or more Eligible Persons.</w:t>
      </w:r>
    </w:p>
    <w:p>
      <w:pPr>
        <w:spacing w:after="0" w:line="31" w:lineRule="exact"/>
        <w:rPr>
          <w:rFonts w:ascii="Arial" w:cs="Arial" w:eastAsia="Arial" w:hAnsi="Arial"/>
          <w:sz w:val="18"/>
          <w:szCs w:val="18"/>
          <w:b w:val="1"/>
          <w:bCs w:val="1"/>
          <w:color w:val="auto"/>
        </w:rPr>
      </w:pPr>
    </w:p>
    <w:p>
      <w:pPr>
        <w:ind w:left="1500" w:hanging="306"/>
        <w:spacing w:after="0"/>
        <w:tabs>
          <w:tab w:leader="none" w:pos="1500"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Subject to Section 12 of the Plan and subsection (e) below, the following limitations apply to the grant of</w:t>
      </w:r>
    </w:p>
    <w:p>
      <w:pPr>
        <w:spacing w:after="0" w:line="13" w:lineRule="exact"/>
        <w:rPr>
          <w:rFonts w:ascii="Arial" w:cs="Arial" w:eastAsia="Arial" w:hAnsi="Arial"/>
          <w:sz w:val="18"/>
          <w:szCs w:val="18"/>
          <w:b w:val="1"/>
          <w:bCs w:val="1"/>
          <w:color w:val="auto"/>
        </w:rPr>
      </w:pPr>
    </w:p>
    <w:p>
      <w:pPr>
        <w:ind w:left="760" w:right="100"/>
        <w:spacing w:after="0" w:line="260" w:lineRule="auto"/>
        <w:rPr>
          <w:rFonts w:ascii="Arial" w:cs="Arial" w:eastAsia="Arial" w:hAnsi="Arial"/>
          <w:sz w:val="18"/>
          <w:szCs w:val="18"/>
          <w:b w:val="1"/>
          <w:bCs w:val="1"/>
          <w:color w:val="auto"/>
        </w:rPr>
      </w:pPr>
      <w:r>
        <w:rPr>
          <w:rFonts w:ascii="Arial" w:cs="Arial" w:eastAsia="Arial" w:hAnsi="Arial"/>
          <w:sz w:val="17"/>
          <w:szCs w:val="17"/>
          <w:color w:val="auto"/>
        </w:rPr>
        <w:t xml:space="preserve">Awards: (i) no more than 33,500,000 shares of Class A Common Stock may be delivered in the aggregate pursuant to Awards granted under the Plan; (ii) no more than 33,500,000 shares of Class A Common Stock may be delivered pursuant to the exercise of Incentive Stock Options granted under the Plan; and (iii) the maximum amount (based on the Fair Market Value of shares of Common Stock on the date of grant as determined in accordance with applicable financial accounting rules) of Awards that may be granted in any single fiscal year to any non-employee director shall be $300,000;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limitation shall not apply in respect of any Restricted Stock Units issued to a non-employee director in lieu of payment of cash director compensation or board or committee fees or in respect of any one-time initial equity grant upon a non-employee director’s appointment to the Board.</w:t>
      </w:r>
    </w:p>
    <w:p>
      <w:pPr>
        <w:spacing w:after="0" w:line="56" w:lineRule="exact"/>
        <w:rPr>
          <w:rFonts w:ascii="Arial" w:cs="Arial" w:eastAsia="Arial" w:hAnsi="Arial"/>
          <w:sz w:val="18"/>
          <w:szCs w:val="18"/>
          <w:b w:val="1"/>
          <w:bCs w:val="1"/>
          <w:color w:val="auto"/>
        </w:rPr>
      </w:pPr>
    </w:p>
    <w:p>
      <w:pPr>
        <w:ind w:left="760" w:right="60" w:firstLine="434"/>
        <w:spacing w:after="0" w:line="258" w:lineRule="auto"/>
        <w:tabs>
          <w:tab w:leader="none" w:pos="1487"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 xml:space="preserve">Shares of Common Stock shall be deemed to have been used in settlement of Awards whether or not they are actually delivered or the Fair Market Value equivalent of such shares is paid in cash;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shares of Common Stock issued upon exercise, vesting or settlement of an Award, or shares of Common Stock owned by the Participant are surrendered or tendered to the Company in payment of the Exercise Price or any taxes required to be withheld in respect of an Award, in each case, in accordance with the terms and conditions of the Plan and any applicable Award agreement, such surrendered or tendered shares shall again become available for other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no event shall such shares increase the number of shares of Common Stock that may be delivered pursuant to Incentive Stock Options. If and to the extent all or any portion of an Award expires, terminates or is canceled or forfeited for any reason without the Participant having received any benefit therefrom, the shares covered by such Award or portion thereof shall again become available for other Awards. For purposes of the foregoing sentence, the Participant shall not be deemed to have received any “benefit” (i)​ in the case of forfeited Restricted Stock by reason of having enjoyed voting rights and dividend rights prior to the date of forfeiture or (ii) in the case of an Award canceled by reason of a new Award being granted in substitution therefor.</w:t>
      </w:r>
    </w:p>
    <w:p>
      <w:pPr>
        <w:spacing w:after="0" w:line="62" w:lineRule="exact"/>
        <w:rPr>
          <w:rFonts w:ascii="Arial" w:cs="Arial" w:eastAsia="Arial" w:hAnsi="Arial"/>
          <w:sz w:val="17"/>
          <w:szCs w:val="17"/>
          <w:b w:val="1"/>
          <w:bCs w:val="1"/>
          <w:color w:val="auto"/>
        </w:rPr>
      </w:pPr>
    </w:p>
    <w:p>
      <w:pPr>
        <w:ind w:left="760" w:right="380" w:firstLine="434"/>
        <w:spacing w:after="0" w:line="261" w:lineRule="auto"/>
        <w:tabs>
          <w:tab w:leader="none" w:pos="1497"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53" w:lineRule="exact"/>
        <w:rPr>
          <w:rFonts w:ascii="Arial" w:cs="Arial" w:eastAsia="Arial" w:hAnsi="Arial"/>
          <w:sz w:val="18"/>
          <w:szCs w:val="18"/>
          <w:b w:val="1"/>
          <w:bCs w:val="1"/>
          <w:color w:val="auto"/>
        </w:rPr>
      </w:pPr>
    </w:p>
    <w:p>
      <w:pPr>
        <w:ind w:left="760" w:right="120" w:firstLine="434"/>
        <w:spacing w:after="0" w:line="271" w:lineRule="auto"/>
        <w:tabs>
          <w:tab w:leader="none" w:pos="1484" w:val="left"/>
        </w:tabs>
        <w:numPr>
          <w:ilvl w:val="1"/>
          <w:numId w:val="67"/>
        </w:numPr>
        <w:rPr>
          <w:rFonts w:ascii="Arial" w:cs="Arial" w:eastAsia="Arial" w:hAnsi="Arial"/>
          <w:sz w:val="17"/>
          <w:szCs w:val="17"/>
          <w:b w:val="1"/>
          <w:bCs w:val="1"/>
          <w:color w:val="auto"/>
        </w:rPr>
      </w:pPr>
      <w:r>
        <w:rPr>
          <w:rFonts w:ascii="Arial" w:cs="Arial" w:eastAsia="Arial" w:hAnsi="Arial"/>
          <w:sz w:val="17"/>
          <w:szCs w:val="17"/>
          <w:color w:val="auto"/>
        </w:rPr>
        <w:t>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7"/>
          <w:szCs w:val="17"/>
          <w:b w:val="1"/>
          <w:bCs w:val="1"/>
          <w:i w:val="1"/>
          <w:iCs w:val="1"/>
          <w:color w:val="auto"/>
        </w:rPr>
        <w:t>Substitute Awards</w:t>
      </w:r>
      <w:r>
        <w:rPr>
          <w:rFonts w:ascii="Arial" w:cs="Arial" w:eastAsia="Arial" w:hAnsi="Arial"/>
          <w:sz w:val="17"/>
          <w:szCs w:val="17"/>
          <w:color w:val="auto"/>
        </w:rPr>
        <w:t xml:space="preserve">”), and such Substitute Awards shall not be counted against the aggregate number of shares of Common Stock available for Awards; </w:t>
      </w:r>
      <w:r>
        <w:rPr>
          <w:rFonts w:ascii="Arial" w:cs="Arial" w:eastAsia="Arial" w:hAnsi="Arial"/>
          <w:sz w:val="17"/>
          <w:szCs w:val="17"/>
          <w:u w:val="single" w:color="auto"/>
          <w:color w:val="auto"/>
        </w:rPr>
        <w:t>provided</w:t>
      </w:r>
      <w:r>
        <w:rPr>
          <w:rFonts w:ascii="Arial" w:cs="Arial" w:eastAsia="Arial" w:hAnsi="Arial"/>
          <w:sz w:val="17"/>
          <w:szCs w:val="17"/>
          <w:color w:val="auto"/>
        </w:rPr>
        <w:t>, that Substitute Awards issued or intended as</w:t>
      </w:r>
    </w:p>
    <w:p>
      <w:pPr>
        <w:spacing w:after="0" w:line="27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580"/>
        <w:spacing w:after="0" w:line="271" w:lineRule="auto"/>
        <w:rPr>
          <w:sz w:val="20"/>
          <w:szCs w:val="20"/>
          <w:color w:val="auto"/>
        </w:rPr>
      </w:pPr>
      <w:r>
        <w:rPr>
          <w:rFonts w:ascii="Arial" w:cs="Arial" w:eastAsia="Arial" w:hAnsi="Arial"/>
          <w:sz w:val="18"/>
          <w:szCs w:val="18"/>
          <w:color w:val="auto"/>
        </w:rPr>
        <w:t>“incentive stock options” within the meaning of Section 422 of the Code shall be counted against the aggregate number of Incentive Stock Options available under the Plan.</w:t>
      </w:r>
    </w:p>
    <w:p>
      <w:pPr>
        <w:spacing w:after="0" w:line="59" w:lineRule="exact"/>
        <w:rPr>
          <w:sz w:val="20"/>
          <w:szCs w:val="20"/>
          <w:color w:val="auto"/>
        </w:rPr>
      </w:pPr>
    </w:p>
    <w:p>
      <w:pPr>
        <w:jc w:val="both"/>
        <w:ind w:left="760" w:right="140" w:firstLine="2"/>
        <w:spacing w:after="0" w:line="257" w:lineRule="auto"/>
        <w:tabs>
          <w:tab w:leader="none" w:pos="105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Participation shall be limited to Eligible Persons who have been selected by the Committee and who</w:t>
      </w:r>
      <w:r>
        <w:rPr>
          <w:rFonts w:ascii="Arial" w:cs="Arial" w:eastAsia="Arial" w:hAnsi="Arial"/>
          <w:sz w:val="18"/>
          <w:szCs w:val="18"/>
          <w:b w:val="1"/>
          <w:bCs w:val="1"/>
          <w:color w:val="auto"/>
        </w:rPr>
        <w:t xml:space="preserve"> </w:t>
      </w:r>
      <w:r>
        <w:rPr>
          <w:rFonts w:ascii="Arial" w:cs="Arial" w:eastAsia="Arial" w:hAnsi="Arial"/>
          <w:sz w:val="18"/>
          <w:szCs w:val="18"/>
          <w:color w:val="auto"/>
        </w:rPr>
        <w:t>have entered into an Award agreement with respect to an Award granted to them under the Plan (each such Eligible Person,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64" w:lineRule="exact"/>
        <w:rPr>
          <w:rFonts w:ascii="Arial" w:cs="Arial" w:eastAsia="Arial" w:hAnsi="Arial"/>
          <w:sz w:val="18"/>
          <w:szCs w:val="18"/>
          <w:color w:val="auto"/>
        </w:rPr>
      </w:pPr>
    </w:p>
    <w:p>
      <w:pPr>
        <w:ind w:left="1060" w:hanging="298"/>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117" w:lineRule="exact"/>
        <w:rPr>
          <w:rFonts w:ascii="Arial" w:cs="Arial" w:eastAsia="Arial" w:hAnsi="Arial"/>
          <w:sz w:val="18"/>
          <w:szCs w:val="18"/>
          <w:color w:val="auto"/>
        </w:rPr>
      </w:pPr>
    </w:p>
    <w:p>
      <w:pPr>
        <w:ind w:left="760" w:right="80" w:firstLine="434"/>
        <w:spacing w:after="0" w:line="263"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Option shall be subject to the conditions set forth in the Plan and in the Award agreement. All Options granted under the Plan shall be Nonqualified Stock Options unless the Award agreement expressly states otherwise. Incentive Stock Options shall be granted only subject to and in compliance with Section 422 of the Code, and only to Eligible Persons who are employees of the Company and its Affiliates and who are eligible to receive an Incentive Stock Option under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53" w:lineRule="exact"/>
        <w:rPr>
          <w:rFonts w:ascii="Arial" w:cs="Arial" w:eastAsia="Arial" w:hAnsi="Arial"/>
          <w:sz w:val="17"/>
          <w:szCs w:val="17"/>
          <w:color w:val="auto"/>
        </w:rPr>
      </w:pPr>
    </w:p>
    <w:p>
      <w:pPr>
        <w:ind w:left="760" w:right="100" w:firstLine="434"/>
        <w:spacing w:after="0" w:line="283"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per share of Common Stock for each Option shall not be less than 100% of the Fair Market Value of such share, determined as of the date of grant. Any modification to the Exercise Price of an outstanding Option shall be subject to the prohibition on repricing set forth in Section 14(b).</w:t>
      </w:r>
    </w:p>
    <w:p>
      <w:pPr>
        <w:spacing w:after="0" w:line="37" w:lineRule="exact"/>
        <w:rPr>
          <w:rFonts w:ascii="Arial" w:cs="Arial" w:eastAsia="Arial" w:hAnsi="Arial"/>
          <w:sz w:val="17"/>
          <w:szCs w:val="17"/>
          <w:color w:val="auto"/>
        </w:rPr>
      </w:pPr>
    </w:p>
    <w:p>
      <w:pPr>
        <w:ind w:left="760" w:right="80" w:firstLine="434"/>
        <w:spacing w:after="0" w:line="244" w:lineRule="auto"/>
        <w:tabs>
          <w:tab w:leader="none" w:pos="147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Vesting, Exercise and Expiration</w:t>
      </w:r>
      <w:r>
        <w:rPr>
          <w:rFonts w:ascii="Arial" w:cs="Arial" w:eastAsia="Arial" w:hAnsi="Arial"/>
          <w:sz w:val="18"/>
          <w:szCs w:val="18"/>
          <w:color w:val="auto"/>
        </w:rPr>
        <w:t>. The Committee shall determine the manner and timing of vesting, exercise and expiration of Options. The period between date of grant and the scheduled expiration date of the Option (“</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shall not exceed ten years, unless the Option Period (other than in the case of an Incentive Stock Option) would expire at a time when trading in the shares of Common Stock is prohibited by the Company’s securities trading policy or a Company-imposed “blackout period”, in which case the Option Period shall be automatically extended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85" w:lineRule="exact"/>
        <w:rPr>
          <w:rFonts w:ascii="Arial" w:cs="Arial" w:eastAsia="Arial" w:hAnsi="Arial"/>
          <w:sz w:val="18"/>
          <w:szCs w:val="18"/>
          <w:color w:val="auto"/>
        </w:rPr>
      </w:pPr>
    </w:p>
    <w:p>
      <w:pPr>
        <w:ind w:left="760" w:right="80" w:firstLine="434"/>
        <w:spacing w:after="0" w:line="256"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Method of Exercise and Form of Payment</w:t>
      </w:r>
      <w:r>
        <w:rPr>
          <w:rFonts w:ascii="Arial" w:cs="Arial" w:eastAsia="Arial" w:hAnsi="Arial"/>
          <w:sz w:val="17"/>
          <w:szCs w:val="17"/>
          <w:color w:val="auto"/>
        </w:rPr>
        <w:t xml:space="preserve">. No shares of Common Stock shall be delivered pursuant to any exercise of an Option until the Participant has made payment in full to the Company of the Exercise Price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 party administrator) in accordance with the terms of the Option accompanied by payment of the Exercise Price. The Exercise Price and all applicable required withholding taxes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shares of Common Stock are not subject to any pledge or other security interest; or (ii) by such other method as the Committee may permit, including without limitation: (A) in other property having a Fair Market Value on the date of exercise equal to the Exercise Price and all applicable required withholding taxes; (B)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or (C) by means of a “net exercise” procedure effected by withholding the minimum number of shares of Common Stock otherwise deliverable in respect of an Option that are needed to pay for the Exercise Price and all applicable required withholding taxes. Notwithstanding the foregoing, unless otherwise determined by the Committee, if on the last day of the Option Period, the Fair Market Value exceeds the Exercise Price, the Participant has not exercised the Option, and the Option has not expired, such Option shall be deemed to have been exercised by the Participant on such last day by means of a “net exercise” procedure described above. Any fractional shares of Common Stock shall be settled in cash.</w:t>
      </w:r>
    </w:p>
    <w:p>
      <w:pPr>
        <w:spacing w:after="0" w:line="272" w:lineRule="exact"/>
        <w:rPr>
          <w:rFonts w:ascii="Arial" w:cs="Arial" w:eastAsia="Arial" w:hAnsi="Arial"/>
          <w:sz w:val="17"/>
          <w:szCs w:val="17"/>
          <w:color w:val="auto"/>
        </w:rPr>
      </w:pPr>
    </w:p>
    <w:p>
      <w:pPr>
        <w:jc w:val="both"/>
        <w:ind w:left="760" w:right="260" w:firstLine="434"/>
        <w:spacing w:after="0" w:line="271" w:lineRule="auto"/>
        <w:tabs>
          <w:tab w:leader="none" w:pos="148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Notification upon Disqualifying Disposition of an Incentive Stock Option</w:t>
      </w:r>
      <w:r>
        <w:rPr>
          <w:rFonts w:ascii="Arial" w:cs="Arial" w:eastAsia="Arial" w:hAnsi="Arial"/>
          <w:sz w:val="17"/>
          <w:szCs w:val="17"/>
          <w:color w:val="auto"/>
        </w:rPr>
        <w:t>. Each Participant awarded an Incentive Stock Option under the Plan shall notify the Company in writing immediately after the date he makes a disqualifying disposition of any Common Stock acquired pursuant to the exercise of such Incentive Stock Option. A disqualifying disposition is any disposition (including, without limitation, any sale) of such Common Stock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311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80"/>
        <w:spacing w:after="0" w:line="248" w:lineRule="auto"/>
        <w:rPr>
          <w:sz w:val="20"/>
          <w:szCs w:val="20"/>
          <w:color w:val="auto"/>
        </w:rPr>
      </w:pPr>
      <w:r>
        <w:rPr>
          <w:rFonts w:ascii="Arial" w:cs="Arial" w:eastAsia="Arial" w:hAnsi="Arial"/>
          <w:sz w:val="18"/>
          <w:szCs w:val="18"/>
          <w:color w:val="auto"/>
        </w:rPr>
        <w:t>the later of (A) two years after the date of grant of the Incentive Stock Option or (B)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 from such Participant as to the sale of such Common Stock.</w:t>
      </w:r>
    </w:p>
    <w:p>
      <w:pPr>
        <w:spacing w:after="0" w:line="67" w:lineRule="exact"/>
        <w:rPr>
          <w:sz w:val="20"/>
          <w:szCs w:val="20"/>
          <w:color w:val="auto"/>
        </w:rPr>
      </w:pPr>
    </w:p>
    <w:p>
      <w:pPr>
        <w:ind w:left="760" w:right="140" w:firstLine="434"/>
        <w:spacing w:after="0" w:line="247" w:lineRule="auto"/>
        <w:tabs>
          <w:tab w:leader="none" w:pos="143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Notwithstanding the foregoing, in no event shall the Participant be permitted to exercise an Option in a manner which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82" w:lineRule="exact"/>
        <w:rPr>
          <w:rFonts w:ascii="Arial" w:cs="Arial" w:eastAsia="Arial" w:hAnsi="Arial"/>
          <w:sz w:val="18"/>
          <w:szCs w:val="18"/>
          <w:color w:val="auto"/>
        </w:rPr>
      </w:pPr>
    </w:p>
    <w:p>
      <w:pPr>
        <w:ind w:left="760" w:right="80" w:firstLine="434"/>
        <w:spacing w:after="0" w:line="247" w:lineRule="auto"/>
        <w:tabs>
          <w:tab w:leader="none" w:pos="148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Incentive Stock Option Grants to 10% Shareholders</w:t>
      </w:r>
      <w:r>
        <w:rPr>
          <w:rFonts w:ascii="Arial" w:cs="Arial" w:eastAsia="Arial" w:hAnsi="Arial"/>
          <w:sz w:val="18"/>
          <w:szCs w:val="18"/>
          <w:color w:val="auto"/>
        </w:rPr>
        <w:t>. Notwithstanding anything to the contrary in this Section 7, if an Incentive Stock Option is granted to a Participant who owns stock representing more than ten percent of the voting power of all classes of stock of the Company or of a subsidiary or a parent of the Company, the Option Period shall not exceed five years from the date of grant of such Option and the Option Price shall be at least 110% of the Fair Market Value (on the date of grant) of the shares subject to the Option.</w:t>
      </w:r>
    </w:p>
    <w:p>
      <w:pPr>
        <w:spacing w:after="0" w:line="68" w:lineRule="exact"/>
        <w:rPr>
          <w:rFonts w:ascii="Arial" w:cs="Arial" w:eastAsia="Arial" w:hAnsi="Arial"/>
          <w:sz w:val="18"/>
          <w:szCs w:val="18"/>
          <w:color w:val="auto"/>
        </w:rPr>
      </w:pPr>
    </w:p>
    <w:p>
      <w:pPr>
        <w:ind w:left="760" w:right="60" w:firstLine="434"/>
        <w:spacing w:after="0" w:line="252" w:lineRule="auto"/>
        <w:tabs>
          <w:tab w:leader="none" w:pos="148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$100,000 Per Year Limitation for Incentive Stock Options</w:t>
      </w:r>
      <w:r>
        <w:rPr>
          <w:rFonts w:ascii="Arial" w:cs="Arial" w:eastAsia="Arial" w:hAnsi="Arial"/>
          <w:sz w:val="18"/>
          <w:szCs w:val="18"/>
          <w:color w:val="auto"/>
        </w:rPr>
        <w:t>. To the extent the aggregate Fair Market Value (determined as of the date of grant) of shares of Common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75" w:lineRule="exact"/>
        <w:rPr>
          <w:rFonts w:ascii="Arial" w:cs="Arial" w:eastAsia="Arial" w:hAnsi="Arial"/>
          <w:sz w:val="18"/>
          <w:szCs w:val="18"/>
          <w:color w:val="auto"/>
        </w:rPr>
      </w:pPr>
    </w:p>
    <w:p>
      <w:pPr>
        <w:ind w:left="1060" w:hanging="298"/>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Stock Appreciation Rights (SARs)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80" w:firstLine="434"/>
        <w:spacing w:after="0" w:line="253"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SAR shall be subject to the conditions set forth in the Plan and the Award agreement. Any Option granted under the Plan may include a tandem SAR. The Committee also may award SARs independent of any Option.</w:t>
      </w:r>
    </w:p>
    <w:p>
      <w:pPr>
        <w:spacing w:after="0" w:line="74" w:lineRule="exact"/>
        <w:rPr>
          <w:rFonts w:ascii="Arial" w:cs="Arial" w:eastAsia="Arial" w:hAnsi="Arial"/>
          <w:sz w:val="18"/>
          <w:szCs w:val="18"/>
          <w:color w:val="auto"/>
        </w:rPr>
      </w:pPr>
    </w:p>
    <w:p>
      <w:pPr>
        <w:ind w:left="760" w:right="100" w:firstLine="434"/>
        <w:spacing w:after="0" w:line="247"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Strike Price</w:t>
      </w:r>
      <w:r>
        <w:rPr>
          <w:rFonts w:ascii="Arial" w:cs="Arial" w:eastAsia="Arial" w:hAnsi="Arial"/>
          <w:sz w:val="18"/>
          <w:szCs w:val="18"/>
          <w:color w:val="auto"/>
        </w:rPr>
        <w:t>. The strike price (“</w:t>
      </w:r>
      <w:r>
        <w:rPr>
          <w:rFonts w:ascii="Arial" w:cs="Arial" w:eastAsia="Arial" w:hAnsi="Arial"/>
          <w:sz w:val="18"/>
          <w:szCs w:val="18"/>
          <w:b w:val="1"/>
          <w:bCs w:val="1"/>
          <w:i w:val="1"/>
          <w:iCs w:val="1"/>
          <w:color w:val="auto"/>
        </w:rPr>
        <w:t>Strike Price</w:t>
      </w:r>
      <w:r>
        <w:rPr>
          <w:rFonts w:ascii="Arial" w:cs="Arial" w:eastAsia="Arial" w:hAnsi="Arial"/>
          <w:sz w:val="18"/>
          <w:szCs w:val="18"/>
          <w:color w:val="auto"/>
        </w:rPr>
        <w:t xml:space="preserve">”) per share of Common Stock for each SAR shall not be less than 100% of the Fair Market Value of such share (determined as of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14(b).</w:t>
      </w:r>
    </w:p>
    <w:p>
      <w:pPr>
        <w:spacing w:after="0" w:line="68" w:lineRule="exact"/>
        <w:rPr>
          <w:rFonts w:ascii="Arial" w:cs="Arial" w:eastAsia="Arial" w:hAnsi="Arial"/>
          <w:sz w:val="18"/>
          <w:szCs w:val="18"/>
          <w:color w:val="auto"/>
        </w:rPr>
      </w:pPr>
    </w:p>
    <w:p>
      <w:pPr>
        <w:ind w:left="760" w:right="60" w:firstLine="434"/>
        <w:spacing w:after="0" w:line="243" w:lineRule="auto"/>
        <w:tabs>
          <w:tab w:leader="none" w:pos="147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 A SAR granted in tandem with an Option shall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8"/>
          <w:szCs w:val="18"/>
          <w:b w:val="1"/>
          <w:bCs w:val="1"/>
          <w:i w:val="1"/>
          <w:iCs w:val="1"/>
          <w:color w:val="auto"/>
        </w:rPr>
        <w:t>SAR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securities trading policy or a Company-imposed “blackout period”, the SAR Period shall be automatically extended until the 30th day following the expiration of such prohibition (so long as such extension shall not violate Section 409A of the Code).</w:t>
      </w:r>
    </w:p>
    <w:p>
      <w:pPr>
        <w:spacing w:after="0" w:line="84" w:lineRule="exact"/>
        <w:rPr>
          <w:rFonts w:ascii="Arial" w:cs="Arial" w:eastAsia="Arial" w:hAnsi="Arial"/>
          <w:sz w:val="18"/>
          <w:szCs w:val="18"/>
          <w:color w:val="auto"/>
        </w:rPr>
      </w:pPr>
    </w:p>
    <w:p>
      <w:pPr>
        <w:ind w:left="760" w:right="100" w:firstLine="434"/>
        <w:spacing w:after="0" w:line="244"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SARs may be exercised by delivery of written or electronic notice of exercise to the Company or its designee (including a third party administrator)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71" w:lineRule="exact"/>
        <w:rPr>
          <w:rFonts w:ascii="Arial" w:cs="Arial" w:eastAsia="Arial" w:hAnsi="Arial"/>
          <w:sz w:val="18"/>
          <w:szCs w:val="18"/>
          <w:color w:val="auto"/>
        </w:rPr>
      </w:pPr>
    </w:p>
    <w:p>
      <w:pPr>
        <w:ind w:left="760" w:right="200" w:firstLine="434"/>
        <w:spacing w:after="0" w:line="261" w:lineRule="auto"/>
        <w:tabs>
          <w:tab w:leader="none" w:pos="148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w:t>
      </w:r>
    </w:p>
    <w:p>
      <w:pPr>
        <w:spacing w:after="0" w:line="28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14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54380" cy="23114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any U.S. Federal, state and local income and employment taxes and non-U.S. income and employment taxes, social contributions and any other tax-related items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62" w:lineRule="exact"/>
        <w:rPr>
          <w:sz w:val="20"/>
          <w:szCs w:val="20"/>
          <w:color w:val="auto"/>
        </w:rPr>
      </w:pPr>
    </w:p>
    <w:p>
      <w:pPr>
        <w:ind w:left="1060" w:hanging="298"/>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120" w:firstLine="434"/>
        <w:spacing w:after="0" w:line="246" w:lineRule="auto"/>
        <w:tabs>
          <w:tab w:leader="none" w:pos="148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Restricted Stock and Restricted Stock Unit grant shall be subject to the conditions set forth in the Plan and the Award agreement. The Committee shall establish restrictions applicable to such Restricted Stock and Restricted Stock Units, including the period over which the restrictions shall apply (the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and the time or times at which Restricted Stock or Restricted Stock Units shall become vested.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accelerate the vesting and/or the lapse of any or all of the restrictions on the Restricted Stock and Restricted Stock Units, which acceleration shall not affect any other terms and conditions of such Awards. No shares shall be issued at the time an Award of Restricted Stock Units is made, and the Company will not be required to set aside a fund for the payment of any such Award.</w:t>
      </w:r>
    </w:p>
    <w:p>
      <w:pPr>
        <w:spacing w:after="0" w:line="71" w:lineRule="exact"/>
        <w:rPr>
          <w:rFonts w:ascii="Arial" w:cs="Arial" w:eastAsia="Arial" w:hAnsi="Arial"/>
          <w:sz w:val="18"/>
          <w:szCs w:val="18"/>
          <w:color w:val="auto"/>
        </w:rPr>
      </w:pPr>
    </w:p>
    <w:p>
      <w:pPr>
        <w:ind w:left="760" w:right="120" w:firstLine="434"/>
        <w:spacing w:after="0" w:line="243" w:lineRule="auto"/>
        <w:tabs>
          <w:tab w:leader="none" w:pos="148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Stock Certificates; Escrow or Similar Arrangement</w:t>
      </w:r>
      <w:r>
        <w:rPr>
          <w:rFonts w:ascii="Arial" w:cs="Arial" w:eastAsia="Arial" w:hAnsi="Arial"/>
          <w:sz w:val="18"/>
          <w:szCs w:val="18"/>
          <w:color w:val="auto"/>
        </w:rPr>
        <w:t>. Upon the grant of Restricted Stock, the Committee shall cause share(s) of Common Stock to be registered in the name of the Participant and held in book-entry form subject to the Company’s directions. The Committee also may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shareholder as to such Restricted Stock, including without limitation the right to vote such Restricted Stock</w:t>
      </w:r>
    </w:p>
    <w:p>
      <w:pPr>
        <w:spacing w:after="0" w:line="84" w:lineRule="exact"/>
        <w:rPr>
          <w:rFonts w:ascii="Arial" w:cs="Arial" w:eastAsia="Arial" w:hAnsi="Arial"/>
          <w:sz w:val="18"/>
          <w:szCs w:val="18"/>
          <w:color w:val="auto"/>
        </w:rPr>
      </w:pPr>
    </w:p>
    <w:p>
      <w:pPr>
        <w:ind w:left="760" w:right="120" w:firstLine="434"/>
        <w:spacing w:after="0" w:line="242" w:lineRule="auto"/>
        <w:tabs>
          <w:tab w:leader="none" w:pos="147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Restrictions; Forfeiture</w:t>
      </w:r>
      <w:r>
        <w:rPr>
          <w:rFonts w:ascii="Arial" w:cs="Arial" w:eastAsia="Arial" w:hAnsi="Arial"/>
          <w:sz w:val="18"/>
          <w:szCs w:val="18"/>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shareholder with respect thereto), and/or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Award or Restricted Stock Unit Award, such action is appropriate.</w:t>
      </w:r>
    </w:p>
    <w:p>
      <w:pPr>
        <w:spacing w:after="0" w:line="86" w:lineRule="exact"/>
        <w:rPr>
          <w:rFonts w:ascii="Arial" w:cs="Arial" w:eastAsia="Arial" w:hAnsi="Arial"/>
          <w:sz w:val="18"/>
          <w:szCs w:val="18"/>
          <w:color w:val="auto"/>
        </w:rPr>
      </w:pPr>
    </w:p>
    <w:p>
      <w:pPr>
        <w:ind w:left="1480" w:hanging="286"/>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Delivery of Restricted Stock and Settlement of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30"/>
        <w:spacing w:after="0" w:line="243" w:lineRule="auto"/>
        <w:tabs>
          <w:tab w:leader="none" w:pos="1645" w:val="left"/>
        </w:tabs>
        <w:numPr>
          <w:ilvl w:val="2"/>
          <w:numId w:val="71"/>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his beneficiary (via book 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equal to the amount of such dividends, upon the release of restrictions on such share.</w:t>
      </w:r>
    </w:p>
    <w:p>
      <w:pPr>
        <w:spacing w:after="0" w:line="84" w:lineRule="exact"/>
        <w:rPr>
          <w:rFonts w:ascii="Arial" w:cs="Arial" w:eastAsia="Arial" w:hAnsi="Arial"/>
          <w:sz w:val="18"/>
          <w:szCs w:val="18"/>
          <w:color w:val="auto"/>
        </w:rPr>
      </w:pPr>
    </w:p>
    <w:p>
      <w:pPr>
        <w:ind w:left="980" w:right="60" w:firstLine="430"/>
        <w:spacing w:after="0" w:line="244" w:lineRule="auto"/>
        <w:tabs>
          <w:tab w:leader="none" w:pos="1684" w:val="left"/>
        </w:tabs>
        <w:numPr>
          <w:ilvl w:val="2"/>
          <w:numId w:val="71"/>
        </w:numPr>
        <w:rPr>
          <w:rFonts w:ascii="Arial" w:cs="Arial" w:eastAsia="Arial" w:hAnsi="Arial"/>
          <w:sz w:val="18"/>
          <w:szCs w:val="18"/>
          <w:color w:val="auto"/>
        </w:rPr>
      </w:pPr>
      <w:r>
        <w:rPr>
          <w:rFonts w:ascii="Arial" w:cs="Arial" w:eastAsia="Arial" w:hAnsi="Arial"/>
          <w:sz w:val="18"/>
          <w:szCs w:val="18"/>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his beneficiary (via book entry notation or, if applicable, in stock certificate form), one share of Common Stock (or other securities or other property, as applicable) for each such outstanding Restricted Stock Unit which has not then been forfeited and with respect to which the Restricted Period has expired and any other such vesting criteria are attained (“</w:t>
      </w:r>
      <w:r>
        <w:rPr>
          <w:rFonts w:ascii="Arial" w:cs="Arial" w:eastAsia="Arial" w:hAnsi="Arial"/>
          <w:sz w:val="18"/>
          <w:szCs w:val="18"/>
          <w:b w:val="1"/>
          <w:bCs w:val="1"/>
          <w:i w:val="1"/>
          <w:iCs w:val="1"/>
          <w:color w:val="auto"/>
        </w:rPr>
        <w:t>Released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Unit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elect to (i) pay cash or part cash and part Common Stock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lieu of delivering only shares of Common Stock in respect of such Released Units or (ii) defer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203200</wp:posOffset>
            </wp:positionV>
            <wp:extent cx="754380" cy="2311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60"/>
        <w:spacing w:after="0"/>
        <w:tabs>
          <w:tab w:leader="none" w:pos="2080" w:val="left"/>
          <w:tab w:leader="none" w:pos="522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420"/>
        <w:spacing w:after="0" w:line="253" w:lineRule="auto"/>
        <w:rPr>
          <w:sz w:val="20"/>
          <w:szCs w:val="20"/>
          <w:color w:val="auto"/>
        </w:rPr>
      </w:pPr>
      <w:r>
        <w:rPr>
          <w:rFonts w:ascii="Arial" w:cs="Arial" w:eastAsia="Arial" w:hAnsi="Arial"/>
          <w:sz w:val="18"/>
          <w:szCs w:val="18"/>
          <w:color w:val="auto"/>
        </w:rPr>
        <w:t>the delivery of Common Stock (or cash or part Common Stock and part cash, as the case may be) beyond the expiration of the Restricted Period if such extension would not cause adverse tax consequences under</w:t>
      </w:r>
    </w:p>
    <w:p>
      <w:pPr>
        <w:ind w:left="980" w:right="100"/>
        <w:spacing w:after="0" w:line="256" w:lineRule="auto"/>
        <w:rPr>
          <w:sz w:val="20"/>
          <w:szCs w:val="20"/>
          <w:color w:val="auto"/>
        </w:rPr>
      </w:pPr>
      <w:r>
        <w:rPr>
          <w:rFonts w:ascii="Arial" w:cs="Arial" w:eastAsia="Arial" w:hAnsi="Arial"/>
          <w:sz w:val="17"/>
          <w:szCs w:val="17"/>
          <w:color w:val="auto"/>
        </w:rPr>
        <w:t>Section 409A of the Code. If a cash payment is made in lieu of delivering shares of Common Stock, the amount of such payment shall be equal to the Fair Market Value of the Common Stock as of the date on which the Restricted Period lapsed with respect to such Restricted Stock Units. 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release of restrictions on such Restricted Stock Units, and, if such Restricted Stock Units are forfeited, the holder thereof shall have no right to such dividend equivalent payments.</w:t>
      </w:r>
    </w:p>
    <w:p>
      <w:pPr>
        <w:spacing w:after="0" w:line="64" w:lineRule="exact"/>
        <w:rPr>
          <w:sz w:val="20"/>
          <w:szCs w:val="20"/>
          <w:color w:val="auto"/>
        </w:rPr>
      </w:pPr>
    </w:p>
    <w:p>
      <w:pPr>
        <w:jc w:val="both"/>
        <w:ind w:left="760" w:right="360" w:firstLine="434"/>
        <w:spacing w:after="0" w:line="261" w:lineRule="auto"/>
        <w:tabs>
          <w:tab w:leader="none" w:pos="148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54" w:lineRule="exact"/>
        <w:rPr>
          <w:sz w:val="20"/>
          <w:szCs w:val="20"/>
          <w:color w:val="auto"/>
        </w:rPr>
      </w:pPr>
    </w:p>
    <w:p>
      <w:pPr>
        <w:ind w:left="1220" w:right="140"/>
        <w:spacing w:after="0" w:line="251"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VIRTU FINANCIAL, INC. SECOND AMENDED AND RESTATED 2015 MANAGEMENT INCENTIVE PLAN AND A RESTRICTED STOCK AWARD AGREEMENT, DATED AS OF, BETWEEN VIRTU FINANCIAL, INC. AND A COPY OF SUCH PLAN AND AWARD AGREEMENT IS ON FILE AT THE PRINCIPAL EXECUTIVE OFFICES OF VIRTU FINANCIAL, INC.</w:t>
      </w:r>
    </w:p>
    <w:p>
      <w:pPr>
        <w:spacing w:after="0" w:line="65" w:lineRule="exact"/>
        <w:rPr>
          <w:sz w:val="20"/>
          <w:szCs w:val="20"/>
          <w:color w:val="auto"/>
        </w:rPr>
      </w:pPr>
    </w:p>
    <w:p>
      <w:pPr>
        <w:ind w:left="760" w:right="200" w:firstLine="2"/>
        <w:spacing w:after="0" w:line="263" w:lineRule="auto"/>
        <w:tabs>
          <w:tab w:leader="none" w:pos="1152"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Other Stock-Based Awards. </w:t>
      </w:r>
      <w:r>
        <w:rPr>
          <w:rFonts w:ascii="Arial" w:cs="Arial" w:eastAsia="Arial" w:hAnsi="Arial"/>
          <w:sz w:val="17"/>
          <w:szCs w:val="17"/>
          <w:color w:val="auto"/>
        </w:rPr>
        <w:t>The Committee may issue unrestricted Common Stock, rights to receive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Each Other Stock-Based Award shall be evidenced by an Award agreement which may include conditions including without limitation the payment by the Participant of the Fair Market Value of such shares of Common Stock on the date of grant.</w:t>
      </w:r>
    </w:p>
    <w:p>
      <w:pPr>
        <w:spacing w:after="0" w:line="53" w:lineRule="exact"/>
        <w:rPr>
          <w:rFonts w:ascii="Arial" w:cs="Arial" w:eastAsia="Arial" w:hAnsi="Arial"/>
          <w:sz w:val="17"/>
          <w:szCs w:val="17"/>
          <w:color w:val="auto"/>
        </w:rPr>
      </w:pPr>
    </w:p>
    <w:p>
      <w:pPr>
        <w:ind w:left="1140" w:hanging="378"/>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760" w:right="80" w:firstLine="434"/>
        <w:spacing w:after="0" w:line="252" w:lineRule="auto"/>
        <w:tabs>
          <w:tab w:leader="none" w:pos="148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Committee shall have the authority, at or before the time of grant of any Award described in Sections 7 through 10 of the Plan, to designate such Award as a Performance Compensation Award. In addition, the Committee shall have the authority to make an award of a cash bonus to any Participant and designate such Award as a Performance Compensation Award.</w:t>
      </w:r>
    </w:p>
    <w:p>
      <w:pPr>
        <w:spacing w:after="0" w:line="62" w:lineRule="exact"/>
        <w:rPr>
          <w:rFonts w:ascii="Arial" w:cs="Arial" w:eastAsia="Arial" w:hAnsi="Arial"/>
          <w:sz w:val="18"/>
          <w:szCs w:val="18"/>
          <w:color w:val="auto"/>
        </w:rPr>
      </w:pPr>
    </w:p>
    <w:p>
      <w:pPr>
        <w:ind w:left="760" w:right="60" w:firstLine="434"/>
        <w:spacing w:after="0" w:line="252" w:lineRule="auto"/>
        <w:tabs>
          <w:tab w:leader="none" w:pos="148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Discretion of Committee with Respect to Performance Compensation Awards</w:t>
      </w:r>
      <w:r>
        <w:rPr>
          <w:rFonts w:ascii="Arial" w:cs="Arial" w:eastAsia="Arial" w:hAnsi="Arial"/>
          <w:sz w:val="18"/>
          <w:szCs w:val="18"/>
          <w:color w:val="auto"/>
        </w:rPr>
        <w:t>. The Committee may select the length of a Performance Period, the type(s) of Performance Compensation Awards to be issued, the Performance Criteria used to establish the Performance Goal(s), the kind(s) and/or level(s) of the Performance Goals(s) and the Performance Formula.</w:t>
      </w:r>
    </w:p>
    <w:p>
      <w:pPr>
        <w:spacing w:after="0" w:line="75" w:lineRule="exact"/>
        <w:rPr>
          <w:rFonts w:ascii="Arial" w:cs="Arial" w:eastAsia="Arial" w:hAnsi="Arial"/>
          <w:sz w:val="18"/>
          <w:szCs w:val="18"/>
          <w:color w:val="auto"/>
        </w:rPr>
      </w:pPr>
    </w:p>
    <w:p>
      <w:pPr>
        <w:ind w:left="760" w:right="80" w:firstLine="434"/>
        <w:spacing w:after="0" w:line="255" w:lineRule="auto"/>
        <w:tabs>
          <w:tab w:leader="none" w:pos="1475"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Performance Criteria</w:t>
      </w:r>
      <w:r>
        <w:rPr>
          <w:rFonts w:ascii="Arial" w:cs="Arial" w:eastAsia="Arial" w:hAnsi="Arial"/>
          <w:sz w:val="17"/>
          <w:szCs w:val="17"/>
          <w:color w:val="auto"/>
        </w:rPr>
        <w:t>. The Performance Criteria that will be used to establish the Performance Goal(s) may be based on the attainment of specific levels of performance of the Company (and/or one or more Affiliates, divisions or operational and/or business units, product lines, brands, business segments, administrative departments, units, or any combination of the foregoing) including, but not limited to the following: (i) net earnings or net income (before or after taxes);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gross revenue or gross revenue growth, invested capital, equity or sales); (vii) cash flow measures (including, but not limited to, operating cash flow, free cash flow and cash flow return on capital), which may but are not required to be measured on a per-share basis; (viii) earnings before or after taxes, interest, depreciation, and amortization (including EBIT and EBITDA); (ix) gross or net operating margins; (x) productivity ratios; (xi) share price (including, but not limited to, growth measures and total shareholder return); (xii) expense targets or cost reduction goals, general and administrative expense savings; (xiii) operating efficiency; (xiv) objective measures of customer satisfaction;</w:t>
      </w:r>
    </w:p>
    <w:p>
      <w:pPr>
        <w:spacing w:after="0" w:line="4" w:lineRule="exact"/>
        <w:rPr>
          <w:rFonts w:ascii="Arial" w:cs="Arial" w:eastAsia="Arial" w:hAnsi="Arial"/>
          <w:sz w:val="17"/>
          <w:szCs w:val="17"/>
          <w:color w:val="auto"/>
        </w:rPr>
      </w:pPr>
    </w:p>
    <w:p>
      <w:pPr>
        <w:ind w:left="760" w:right="1260"/>
        <w:spacing w:after="0" w:line="250" w:lineRule="auto"/>
        <w:rPr>
          <w:rFonts w:ascii="Arial" w:cs="Arial" w:eastAsia="Arial" w:hAnsi="Arial"/>
          <w:sz w:val="17"/>
          <w:szCs w:val="17"/>
          <w:color w:val="auto"/>
        </w:rPr>
      </w:pPr>
      <w:r>
        <w:rPr>
          <w:rFonts w:ascii="Arial" w:cs="Arial" w:eastAsia="Arial" w:hAnsi="Arial"/>
          <w:sz w:val="18"/>
          <w:szCs w:val="18"/>
          <w:color w:val="auto"/>
        </w:rPr>
        <w:t>(xv) working capital targets; (xvi) measures of economic value added or other “value creation” metrics; (xvii) enterprise</w:t>
      </w:r>
    </w:p>
    <w:p>
      <w:pPr>
        <w:spacing w:after="0" w:line="27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A​-9</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value; (xviii) stockholder return; (xix) client retention; (xx) competitive market metrics; (xxi) employee retention;</w:t>
      </w:r>
    </w:p>
    <w:p>
      <w:pPr>
        <w:spacing w:after="0" w:line="27" w:lineRule="exact"/>
        <w:rPr>
          <w:sz w:val="20"/>
          <w:szCs w:val="20"/>
          <w:color w:val="auto"/>
        </w:rPr>
      </w:pPr>
    </w:p>
    <w:p>
      <w:pPr>
        <w:ind w:left="760" w:right="60" w:firstLine="2"/>
        <w:spacing w:after="0" w:line="251"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 (xxiii) system-wide revenues; (xxiv) cost of capital, debt leverage year-end cash position or book value; (xxv) strategic objectives, development of new product lines and related revenue, sales and margin targets, or international operations; or (xxvi) any combination of the foregoing. Any one or more of the Performance Criteria may be stated as a percentage of another Performance Criteria, or a percentage of a prior period’s Performance Criteria, or used on an absolute, relative or adjusted basis to measure the performance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group of comparator companies, or a published or special index that the Committee deems appropriate, or as compared to various stock market indices. The Committee also has the authority to provide for accelerated vesting, delivery and exercisability of any Award based on the achievement of Performance Goals pursuant to the Performance Criteria specified in this paragraph.</w:t>
      </w:r>
    </w:p>
    <w:p>
      <w:pPr>
        <w:spacing w:after="0" w:line="82" w:lineRule="exact"/>
        <w:rPr>
          <w:rFonts w:ascii="Arial" w:cs="Arial" w:eastAsia="Arial" w:hAnsi="Arial"/>
          <w:sz w:val="18"/>
          <w:szCs w:val="18"/>
          <w:color w:val="auto"/>
        </w:rPr>
      </w:pPr>
    </w:p>
    <w:p>
      <w:pPr>
        <w:ind w:left="760" w:right="140" w:firstLine="434"/>
        <w:spacing w:after="0" w:line="267" w:lineRule="auto"/>
        <w:tabs>
          <w:tab w:leader="none" w:pos="1485"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Modification of Performance Goal(s)</w:t>
      </w:r>
      <w:r>
        <w:rPr>
          <w:rFonts w:ascii="Arial" w:cs="Arial" w:eastAsia="Arial" w:hAnsi="Arial"/>
          <w:sz w:val="17"/>
          <w:szCs w:val="17"/>
          <w:color w:val="auto"/>
        </w:rPr>
        <w:t>. The Committee may alter Performance Criteria without obtaining shareholder approval if applicable tax and/or securities laws so permit. The Committee may modify the calculation of a Performance Goal to reflect any of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shareholders for the applicable year; (vi) acquisitions or divestitures; (vii) any other specific unusual or nonrecurring events, or objectively determinable category thereof; (viii) foreign exchange gains and losses;</w:t>
      </w:r>
    </w:p>
    <w:p>
      <w:pPr>
        <w:spacing w:after="0" w:line="4" w:lineRule="exact"/>
        <w:rPr>
          <w:rFonts w:ascii="Arial" w:cs="Arial" w:eastAsia="Arial" w:hAnsi="Arial"/>
          <w:sz w:val="17"/>
          <w:szCs w:val="17"/>
          <w:color w:val="auto"/>
        </w:rPr>
      </w:pPr>
    </w:p>
    <w:p>
      <w:pPr>
        <w:ind w:left="1060" w:hanging="298"/>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discontinued operations and nonrecurring charges; and (x) a change in the Company’s fiscal year.</w:t>
      </w:r>
    </w:p>
    <w:p>
      <w:pPr>
        <w:spacing w:after="0" w:line="99" w:lineRule="exact"/>
        <w:rPr>
          <w:rFonts w:ascii="Arial" w:cs="Arial" w:eastAsia="Arial" w:hAnsi="Arial"/>
          <w:sz w:val="18"/>
          <w:szCs w:val="18"/>
          <w:color w:val="auto"/>
        </w:rPr>
      </w:pPr>
    </w:p>
    <w:p>
      <w:pPr>
        <w:ind w:left="760" w:right="60" w:firstLine="434"/>
        <w:spacing w:after="0" w:line="259" w:lineRule="auto"/>
        <w:tabs>
          <w:tab w:leader="none" w:pos="1485"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Payment of Performance Compensation Awards</w:t>
      </w:r>
      <w:r>
        <w:rPr>
          <w:rFonts w:ascii="Arial" w:cs="Arial" w:eastAsia="Arial" w:hAnsi="Arial"/>
          <w:sz w:val="18"/>
          <w:szCs w:val="18"/>
          <w:color w:val="auto"/>
        </w:rPr>
        <w:t>. Unless otherwise provided in the applicable Award agreement or any employment, consulting, change-in-control, severance or other agreement between the Participant and the Company or an Affiliate, the Participant must be employed by or rendering services for the Company or an Affiliate on the last day of a Performance Period to be eligible for payment in respect of a Performance Compensation Award for such Performance Period.</w:t>
      </w:r>
    </w:p>
    <w:p>
      <w:pPr>
        <w:spacing w:after="0" w:line="71" w:lineRule="exact"/>
        <w:rPr>
          <w:rFonts w:ascii="Arial" w:cs="Arial" w:eastAsia="Arial" w:hAnsi="Arial"/>
          <w:sz w:val="18"/>
          <w:szCs w:val="18"/>
          <w:color w:val="auto"/>
        </w:rPr>
      </w:pPr>
    </w:p>
    <w:p>
      <w:pPr>
        <w:ind w:left="760" w:right="300" w:firstLine="434"/>
        <w:spacing w:after="0" w:line="274" w:lineRule="auto"/>
        <w:tabs>
          <w:tab w:leader="none" w:pos="1435"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Timing of Award Payments</w:t>
      </w:r>
      <w:r>
        <w:rPr>
          <w:rFonts w:ascii="Arial" w:cs="Arial" w:eastAsia="Arial" w:hAnsi="Arial"/>
          <w:sz w:val="17"/>
          <w:szCs w:val="17"/>
          <w:color w:val="auto"/>
        </w:rPr>
        <w:t>. Unless otherwise provided in the applicable Award agreement, Performance Compensation Awards granted for a Performance Period shall be paid to Participants as soon as administratively practicable following determination by the Committee that the applicable Performance Goals for the Performance Period have been satisfied. Unless otherwise provided in an Award agreement, any Performance Compensation Award that is deferred and is otherwise payable in shares of Common Stock shall be credited (during the period between the date as of which the Award is deferred and the payment date) with dividend equivalents (in a manner consistent with the methodology set forth in the last sentence of Section 9(d)(ii)).</w:t>
      </w:r>
    </w:p>
    <w:p>
      <w:pPr>
        <w:spacing w:after="0" w:line="58" w:lineRule="exact"/>
        <w:rPr>
          <w:sz w:val="20"/>
          <w:szCs w:val="20"/>
          <w:color w:val="auto"/>
        </w:rPr>
      </w:pPr>
    </w:p>
    <w:p>
      <w:pPr>
        <w:ind w:left="760" w:right="60" w:firstLine="2"/>
        <w:spacing w:after="0" w:line="269" w:lineRule="auto"/>
        <w:tabs>
          <w:tab w:leader="none" w:pos="1152"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Changes in Capital Structure and Similar Events. </w:t>
      </w:r>
      <w:r>
        <w:rPr>
          <w:rFonts w:ascii="Arial" w:cs="Arial" w:eastAsia="Arial" w:hAnsi="Arial"/>
          <w:sz w:val="17"/>
          <w:szCs w:val="17"/>
          <w:color w:val="auto"/>
        </w:rPr>
        <w:t>In the event of (a) any dividend (other than regular cash</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 (i) adjusting any or all of (A) the number of shares of Common Stock or other securities of the Company (or number and kind of other securities or other property) which may be delivered in respect of Awards or with respect to which Awards may be granted under the Plan (including, without limitation, adjusting any or all of the limitations under Section 5 of the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187960</wp:posOffset>
            </wp:positionV>
            <wp:extent cx="754380" cy="2400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280" w:firstLine="2"/>
        <w:spacing w:after="0" w:line="261" w:lineRule="auto"/>
        <w:tabs>
          <w:tab w:leader="none" w:pos="104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w:t>
      </w:r>
    </w:p>
    <w:p>
      <w:pPr>
        <w:spacing w:after="0" w:line="1" w:lineRule="exact"/>
        <w:rPr>
          <w:rFonts w:ascii="Arial" w:cs="Arial" w:eastAsia="Arial" w:hAnsi="Arial"/>
          <w:sz w:val="17"/>
          <w:szCs w:val="17"/>
          <w:color w:val="auto"/>
        </w:rPr>
      </w:pPr>
    </w:p>
    <w:p>
      <w:pPr>
        <w:ind w:left="760" w:right="60"/>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(3) any applicable performance measures (including, without limitation, Performance Criteria, Performance Formula and Performance Goals); (ii) 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upon the occurrence of such event); and (iii) 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shareholders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canceled and terminated without any payment or consideration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shall make an equitable or proportionate adjustment to outstanding</w:t>
      </w:r>
    </w:p>
    <w:p>
      <w:pPr>
        <w:spacing w:after="0" w:line="10" w:lineRule="exact"/>
        <w:rPr>
          <w:rFonts w:ascii="Arial" w:cs="Arial" w:eastAsia="Arial" w:hAnsi="Arial"/>
          <w:sz w:val="17"/>
          <w:szCs w:val="17"/>
          <w:color w:val="auto"/>
        </w:rPr>
      </w:pPr>
    </w:p>
    <w:p>
      <w:pPr>
        <w:ind w:left="760" w:right="80"/>
        <w:spacing w:after="0" w:line="243" w:lineRule="auto"/>
        <w:rPr>
          <w:rFonts w:ascii="Arial" w:cs="Arial" w:eastAsia="Arial" w:hAnsi="Arial"/>
          <w:sz w:val="17"/>
          <w:szCs w:val="17"/>
          <w:color w:val="auto"/>
        </w:rPr>
      </w:pPr>
      <w:r>
        <w:rPr>
          <w:rFonts w:ascii="Arial" w:cs="Arial" w:eastAsia="Arial" w:hAnsi="Arial"/>
          <w:sz w:val="18"/>
          <w:szCs w:val="18"/>
          <w:color w:val="auto"/>
        </w:rPr>
        <w:t>Awards to reflect any “equity restructuring” (within​ the meaning of the Financial Accounting Standards Codification Topic 718 (or any successor pronouncement thereto)). Except as otherwise determined by the Committee,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which does not adversely affect the exemption provided pursuant to Rule 16b-3 promulgated under the Exchange Act. The Company shall give each Participant notice of an adjustment hereunder and, upon notice, such adjustment shall be conclusive and binding for all purposes.</w:t>
      </w:r>
    </w:p>
    <w:p>
      <w:pPr>
        <w:spacing w:after="0" w:line="74" w:lineRule="exact"/>
        <w:rPr>
          <w:sz w:val="20"/>
          <w:szCs w:val="20"/>
          <w:color w:val="auto"/>
        </w:rPr>
      </w:pPr>
    </w:p>
    <w:p>
      <w:pPr>
        <w:ind w:left="760" w:right="60" w:firstLine="2"/>
        <w:spacing w:after="0" w:line="252"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Except to the extent otherwise provided in an Award agreement,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employment, consulting, change-in-control, severance or other agreement between the Participant and the Company or an Affiliate, in the event of a Change in Control, notwithstanding any provision of the Plan to the contrary:</w:t>
      </w:r>
    </w:p>
    <w:p>
      <w:pPr>
        <w:spacing w:after="0" w:line="62" w:lineRule="exact"/>
        <w:rPr>
          <w:rFonts w:ascii="Arial" w:cs="Arial" w:eastAsia="Arial" w:hAnsi="Arial"/>
          <w:sz w:val="18"/>
          <w:szCs w:val="18"/>
          <w:color w:val="auto"/>
        </w:rPr>
      </w:pPr>
    </w:p>
    <w:p>
      <w:pPr>
        <w:ind w:left="760" w:right="100" w:firstLine="434"/>
        <w:spacing w:after="0" w:line="243" w:lineRule="auto"/>
        <w:tabs>
          <w:tab w:leader="none" w:pos="14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 the event the Participant’s employment with the Company or an Affiliate is terminated by the Company or Affiliate without Cause (and other than due to death or Disability) on or within 12 months following a Change in Control, the Committee may provide that all Options and SARs held by such Participant shall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the vesting or exercisability of any Award would otherwise be subject to the achievement of performance conditions, the portion of such Award that shall become fully vested and immediately exercisable shall be based on the assumed achievement of target performance as determined by the Committee and prorated for the number of days elapsed from the grant date of such Award through the date of termination.</w:t>
      </w:r>
    </w:p>
    <w:p>
      <w:pPr>
        <w:spacing w:after="0" w:line="84" w:lineRule="exact"/>
        <w:rPr>
          <w:rFonts w:ascii="Arial" w:cs="Arial" w:eastAsia="Arial" w:hAnsi="Arial"/>
          <w:sz w:val="18"/>
          <w:szCs w:val="18"/>
          <w:color w:val="auto"/>
        </w:rPr>
      </w:pPr>
    </w:p>
    <w:p>
      <w:pPr>
        <w:ind w:left="760" w:right="120" w:firstLine="434"/>
        <w:spacing w:after="0" w:line="245" w:lineRule="auto"/>
        <w:tabs>
          <w:tab w:leader="none" w:pos="14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addition, the Committee may upon at least ten (10) days’ advance notice to the affected persons,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shareholders of the Company in the event. Notwithstanding the above, the Committee shall exercise such discretion over any Award subject to Code Section 409A at the time such Award is granted.</w:t>
      </w:r>
    </w:p>
    <w:p>
      <w:pPr>
        <w:spacing w:after="0" w:line="82" w:lineRule="exact"/>
        <w:rPr>
          <w:rFonts w:ascii="Arial" w:cs="Arial" w:eastAsia="Arial" w:hAnsi="Arial"/>
          <w:sz w:val="18"/>
          <w:szCs w:val="18"/>
          <w:color w:val="auto"/>
        </w:rPr>
      </w:pPr>
    </w:p>
    <w:p>
      <w:pPr>
        <w:ind w:left="760" w:right="120" w:firstLine="434"/>
        <w:spacing w:after="0" w:line="253" w:lineRule="auto"/>
        <w:tabs>
          <w:tab w:leader="none" w:pos="14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the extent practicable, the provisions of this Section 13 shall occur in a manner and at a time which allows affected Participants the ability to participate in the Change in Control transaction with respect to the Common Stock subject to their Awards.</w:t>
      </w:r>
    </w:p>
    <w:p>
      <w:pPr>
        <w:spacing w:after="0" w:line="74" w:lineRule="exact"/>
        <w:rPr>
          <w:rFonts w:ascii="Arial" w:cs="Arial" w:eastAsia="Arial" w:hAnsi="Arial"/>
          <w:sz w:val="18"/>
          <w:szCs w:val="18"/>
          <w:color w:val="auto"/>
        </w:rPr>
      </w:pPr>
    </w:p>
    <w:p>
      <w:pPr>
        <w:ind w:left="1160" w:hanging="398"/>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120" w:firstLine="434"/>
        <w:spacing w:after="0" w:line="271" w:lineRule="auto"/>
        <w:tabs>
          <w:tab w:leader="none" w:pos="148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 xml:space="preserve">. The Board may amend, alter, suspend, discontinue, or terminate the Plan or any portion thereof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amendment, alteration, suspension,</w:t>
      </w:r>
    </w:p>
    <w:p>
      <w:pPr>
        <w:spacing w:after="0" w:line="27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A​-11</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3177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54380" cy="23177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80"/>
        <w:spacing w:after="0" w:line="260" w:lineRule="auto"/>
        <w:rPr>
          <w:sz w:val="20"/>
          <w:szCs w:val="20"/>
          <w:color w:val="auto"/>
        </w:rPr>
      </w:pPr>
      <w:r>
        <w:rPr>
          <w:rFonts w:ascii="Arial" w:cs="Arial" w:eastAsia="Arial" w:hAnsi="Arial"/>
          <w:sz w:val="17"/>
          <w:szCs w:val="17"/>
          <w:color w:val="auto"/>
        </w:rPr>
        <w:t xml:space="preserve">discontinuation or termination shall be made without shareholder approval if such approval is necessary to comply with any tax or regulatory requirement applicable to the Plan (including, without limitation, as necessary to comply with any rules or requirements of any securities exchange or inter-dealer quotation service on which the shares of Common Stock may be listed or quoted, for changes in GAAP to new accounting standards;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either is required or advisable in order for the Company, the Plan or the Award to satisfy any applicable law or regulation. Notwithstanding the foregoing, no amendment shall be made to the last proviso of Section 14(b) without shareholder approval.</w:t>
      </w:r>
    </w:p>
    <w:p>
      <w:pPr>
        <w:spacing w:after="0" w:line="56" w:lineRule="exact"/>
        <w:rPr>
          <w:sz w:val="20"/>
          <w:szCs w:val="20"/>
          <w:color w:val="auto"/>
        </w:rPr>
      </w:pPr>
    </w:p>
    <w:p>
      <w:pPr>
        <w:ind w:left="760" w:right="80" w:firstLine="434"/>
        <w:spacing w:after="0" w:line="252" w:lineRule="auto"/>
        <w:tabs>
          <w:tab w:leader="none" w:pos="1485"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 xml:space="preserve">. The Committee may, to the extent not inconsistent with the terms of any applicable Award agreement,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either is required or advisable in order for the Company, the Plan or the Award to satisfy any applicable law or regulation;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as otherwise permitted under Section 12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which would either (A) be reportable on the Company’s proxy statement or Form 10-K (if applicable) as Options which have been “repriced” (as​ such term is used in Item 402 of Regulation S-K promulgated under the Exchange Act), or (B) result in any “repricing” for financial statement reporting purposes (or otherwise cause the Award to fail to qualify for equity accounting treatment) or (iii) the Committee takes any other action which is considered a “repricing” for purposes of the shareholder approval rules of the applicable securities exchange or inter-dealer quotation service on which the Common Stock is listed or quoted, then, in the case of the immediately preceding clauses (i) through (iii), any such action shall not be effective without shareholder approval.</w:t>
      </w:r>
    </w:p>
    <w:p>
      <w:pPr>
        <w:spacing w:after="0" w:line="82" w:lineRule="exact"/>
        <w:rPr>
          <w:rFonts w:ascii="Arial" w:cs="Arial" w:eastAsia="Arial" w:hAnsi="Arial"/>
          <w:sz w:val="18"/>
          <w:szCs w:val="18"/>
          <w:color w:val="auto"/>
        </w:rPr>
      </w:pPr>
    </w:p>
    <w:p>
      <w:pPr>
        <w:ind w:left="1160" w:hanging="398"/>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200" w:firstLine="434"/>
        <w:spacing w:after="0" w:line="255" w:lineRule="auto"/>
        <w:tabs>
          <w:tab w:leader="none" w:pos="1485"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Award Agreements; Other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 and any rules applicable thereto. An Award agreement may be in written or electronic form and shall be signed (either in written or electronic form) by the Participant and a duly authorized representative of the Company. The terms of any Award agreement, or any employment, change-in-control, severance or other agreement in effect with the Participant, may have terms or features different from and/or additional to those set forth in the Plan, and, unless expressly provided otherwise in such Award or other agreement, shall control in the event of any conflict with the terms of the Plan.</w:t>
      </w:r>
    </w:p>
    <w:p>
      <w:pPr>
        <w:spacing w:after="0" w:line="76" w:lineRule="exact"/>
        <w:rPr>
          <w:rFonts w:ascii="Arial" w:cs="Arial" w:eastAsia="Arial" w:hAnsi="Arial"/>
          <w:sz w:val="18"/>
          <w:szCs w:val="18"/>
          <w:color w:val="auto"/>
        </w:rPr>
      </w:pPr>
    </w:p>
    <w:p>
      <w:pPr>
        <w:ind w:left="1480" w:hanging="286"/>
        <w:spacing w:after="0"/>
        <w:tabs>
          <w:tab w:leader="none" w:pos="1480"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00" w:firstLine="430"/>
        <w:spacing w:after="0" w:line="275" w:lineRule="auto"/>
        <w:tabs>
          <w:tab w:leader="none" w:pos="1645" w:val="left"/>
        </w:tabs>
        <w:numPr>
          <w:ilvl w:val="3"/>
          <w:numId w:val="80"/>
        </w:numPr>
        <w:rPr>
          <w:rFonts w:ascii="Arial" w:cs="Arial" w:eastAsia="Arial" w:hAnsi="Arial"/>
          <w:sz w:val="17"/>
          <w:szCs w:val="17"/>
          <w:color w:val="auto"/>
        </w:rPr>
      </w:pPr>
      <w:r>
        <w:rPr>
          <w:rFonts w:ascii="Arial" w:cs="Arial" w:eastAsia="Arial" w:hAnsi="Arial"/>
          <w:sz w:val="17"/>
          <w:szCs w:val="17"/>
          <w:color w:val="auto"/>
        </w:rPr>
        <w:t xml:space="preserve">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designation of a beneficiary shall not constitute an assignment, alienation, pledge, attachment, sale, transfer or encumbrance.</w:t>
      </w:r>
    </w:p>
    <w:p>
      <w:pPr>
        <w:spacing w:after="0" w:line="60" w:lineRule="exact"/>
        <w:rPr>
          <w:rFonts w:ascii="Arial" w:cs="Arial" w:eastAsia="Arial" w:hAnsi="Arial"/>
          <w:sz w:val="17"/>
          <w:szCs w:val="17"/>
          <w:color w:val="auto"/>
        </w:rPr>
      </w:pPr>
    </w:p>
    <w:p>
      <w:pPr>
        <w:ind w:left="980" w:right="100" w:firstLine="430"/>
        <w:spacing w:after="0" w:line="276" w:lineRule="auto"/>
        <w:tabs>
          <w:tab w:leader="none" w:pos="1684" w:val="left"/>
        </w:tabs>
        <w:numPr>
          <w:ilvl w:val="3"/>
          <w:numId w:val="80"/>
        </w:numPr>
        <w:rPr>
          <w:rFonts w:ascii="Arial" w:cs="Arial" w:eastAsia="Arial" w:hAnsi="Arial"/>
          <w:sz w:val="17"/>
          <w:szCs w:val="17"/>
          <w:color w:val="auto"/>
        </w:rPr>
      </w:pPr>
      <w:r>
        <w:rPr>
          <w:rFonts w:ascii="Arial" w:cs="Arial" w:eastAsia="Arial" w:hAnsi="Arial"/>
          <w:sz w:val="17"/>
          <w:szCs w:val="17"/>
          <w:color w:val="auto"/>
        </w:rPr>
        <w:t>Notwithstanding the foregoing, the Committee may permit Awards (other than Incentive Stock Options) to be transferred by the Participant, without consideration, subject to such rules as the Committee may adopt, to:</w:t>
      </w:r>
    </w:p>
    <w:p>
      <w:pPr>
        <w:ind w:left="980" w:right="160" w:hanging="2"/>
        <w:spacing w:after="0" w:line="275" w:lineRule="auto"/>
        <w:tabs>
          <w:tab w:leader="none" w:pos="1264"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7"/>
          <w:szCs w:val="17"/>
          <w:b w:val="1"/>
          <w:bCs w:val="1"/>
          <w:i w:val="1"/>
          <w:iCs w:val="1"/>
          <w:color w:val="auto"/>
        </w:rPr>
        <w:t>Immediate Family Members</w:t>
      </w:r>
      <w:r>
        <w:rPr>
          <w:rFonts w:ascii="Arial" w:cs="Arial" w:eastAsia="Arial" w:hAnsi="Arial"/>
          <w:sz w:val="17"/>
          <w:szCs w:val="17"/>
          <w:color w:val="auto"/>
        </w:rPr>
        <w:t>”); (B) a trust solely for the benefit of the Participant and his Immediate Family Members; (C) a partnership or limited liability company whose only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194310</wp:posOffset>
            </wp:positionV>
            <wp:extent cx="754380" cy="2311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54380" cy="2311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140"/>
        <w:spacing w:after="0" w:line="248" w:lineRule="auto"/>
        <w:rPr>
          <w:sz w:val="20"/>
          <w:szCs w:val="20"/>
          <w:color w:val="auto"/>
        </w:rPr>
      </w:pPr>
      <w:r>
        <w:rPr>
          <w:rFonts w:ascii="Arial" w:cs="Arial" w:eastAsia="Arial" w:hAnsi="Arial"/>
          <w:sz w:val="18"/>
          <w:szCs w:val="18"/>
          <w:color w:val="auto"/>
        </w:rPr>
        <w:t>or shareholders are the Participant and his Immediate Family Members; or (D) any other transferee as may be approved either (1) by the Board or the Committee, or (2) as provided in the applicable Award agreement; (each transferee described in clauses (A), (B), (C) and (D) above is hereinafter referred to as a “</w:t>
      </w:r>
      <w:r>
        <w:rPr>
          <w:rFonts w:ascii="Arial" w:cs="Arial" w:eastAsia="Arial" w:hAnsi="Arial"/>
          <w:sz w:val="18"/>
          <w:szCs w:val="18"/>
          <w:b w:val="1"/>
          <w:bCs w:val="1"/>
          <w:i w:val="1"/>
          <w:i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Participant gives the Committee advance written notice describing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the proposed transfer and the Committee notifies the Participant in writing that such a transfer would comply with the requirements of the Plan.</w:t>
      </w:r>
    </w:p>
    <w:p>
      <w:pPr>
        <w:spacing w:after="0" w:line="67" w:lineRule="exact"/>
        <w:rPr>
          <w:sz w:val="20"/>
          <w:szCs w:val="20"/>
          <w:color w:val="auto"/>
        </w:rPr>
      </w:pPr>
    </w:p>
    <w:p>
      <w:pPr>
        <w:ind w:left="980" w:right="80" w:firstLine="430"/>
        <w:spacing w:after="0" w:line="253" w:lineRule="auto"/>
        <w:tabs>
          <w:tab w:leader="none" w:pos="1719"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terms of any Award transferred in accordance with the immediately preceding sentence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w:t>
      </w:r>
    </w:p>
    <w:p>
      <w:pPr>
        <w:spacing w:after="0" w:line="77" w:lineRule="exact"/>
        <w:rPr>
          <w:rFonts w:ascii="Arial" w:cs="Arial" w:eastAsia="Arial" w:hAnsi="Arial"/>
          <w:sz w:val="18"/>
          <w:szCs w:val="18"/>
          <w:color w:val="auto"/>
        </w:rPr>
      </w:pPr>
    </w:p>
    <w:p>
      <w:pPr>
        <w:ind w:left="760" w:right="100" w:firstLine="434"/>
        <w:spacing w:after="0" w:line="268" w:lineRule="auto"/>
        <w:tabs>
          <w:tab w:leader="none" w:pos="147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xml:space="preserve">. The Committee may provide the Participant as part of an Award with dividends or dividend equivalents,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w:t>
      </w:r>
      <w:r>
        <w:rPr>
          <w:rFonts w:ascii="Arial" w:cs="Arial" w:eastAsia="Arial" w:hAnsi="Arial"/>
          <w:sz w:val="17"/>
          <w:szCs w:val="17"/>
          <w:u w:val="single" w:color="auto"/>
          <w:color w:val="auto"/>
        </w:rPr>
        <w:t>provided</w:t>
      </w:r>
      <w:r>
        <w:rPr>
          <w:rFonts w:ascii="Arial" w:cs="Arial" w:eastAsia="Arial" w:hAnsi="Arial"/>
          <w:sz w:val="17"/>
          <w:szCs w:val="17"/>
          <w:color w:val="auto"/>
        </w:rPr>
        <w:t>, that no dividends or dividend equivalents shall be payable in respect of outstanding (i) Options or SARs or</w:t>
      </w:r>
    </w:p>
    <w:p>
      <w:pPr>
        <w:spacing w:after="0" w:line="4" w:lineRule="exact"/>
        <w:rPr>
          <w:rFonts w:ascii="Arial" w:cs="Arial" w:eastAsia="Arial" w:hAnsi="Arial"/>
          <w:sz w:val="17"/>
          <w:szCs w:val="17"/>
          <w:color w:val="auto"/>
        </w:rPr>
      </w:pPr>
    </w:p>
    <w:p>
      <w:pPr>
        <w:ind w:left="760" w:right="180" w:firstLine="2"/>
        <w:spacing w:after="0" w:line="253" w:lineRule="auto"/>
        <w:tabs>
          <w:tab w:leader="none" w:pos="10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unearned Performance Compensation Awards or other unearned Awards subject to performance conditions (other than or in addition to the passage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76" w:lineRule="exact"/>
        <w:rPr>
          <w:rFonts w:ascii="Arial" w:cs="Arial" w:eastAsia="Arial" w:hAnsi="Arial"/>
          <w:sz w:val="18"/>
          <w:szCs w:val="18"/>
          <w:color w:val="auto"/>
        </w:rPr>
      </w:pPr>
    </w:p>
    <w:p>
      <w:pPr>
        <w:ind w:left="1480" w:hanging="28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20" w:firstLine="430"/>
        <w:spacing w:after="0" w:line="256" w:lineRule="auto"/>
        <w:tabs>
          <w:tab w:leader="none" w:pos="1642"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in respect of an Award, its exercise, or any payment or transfer under an Award or under the Plan and to take such other action as the Committee or the Company deem necessary to satisfy all obligations for the payment of such withholding taxes.</w:t>
      </w:r>
    </w:p>
    <w:p>
      <w:pPr>
        <w:spacing w:after="0" w:line="75" w:lineRule="exact"/>
        <w:rPr>
          <w:sz w:val="20"/>
          <w:szCs w:val="20"/>
          <w:color w:val="auto"/>
        </w:rPr>
      </w:pPr>
    </w:p>
    <w:p>
      <w:pPr>
        <w:ind w:left="980" w:right="160" w:firstLine="430"/>
        <w:spacing w:after="0" w:line="257" w:lineRule="auto"/>
        <w:tabs>
          <w:tab w:leader="none" w:pos="1684" w:val="left"/>
        </w:tabs>
        <w:numPr>
          <w:ilvl w:val="1"/>
          <w:numId w:val="84"/>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the Committee may permit the Participant to satisfy, in whole or in part, the foregoing withholding liability by (A) payment in cash; (B) the delivery of shares of Common Stock (which are not subject to any pledge or other security interest) owned by the Participant having a Fair Market Value equal to such withholding liability or (C) having the Company withhold from the number of shares of Common Stock otherwise issuable or deliverable pursuant to the exercise or settlement of the Award a number of shares with a Fair Market Value equal to such withholding liability.</w:t>
      </w:r>
    </w:p>
    <w:p>
      <w:pPr>
        <w:spacing w:after="0" w:line="74" w:lineRule="exact"/>
        <w:rPr>
          <w:rFonts w:ascii="Arial" w:cs="Arial" w:eastAsia="Arial" w:hAnsi="Arial"/>
          <w:sz w:val="18"/>
          <w:szCs w:val="18"/>
          <w:color w:val="auto"/>
        </w:rPr>
      </w:pPr>
    </w:p>
    <w:p>
      <w:pPr>
        <w:ind w:left="760" w:right="80" w:firstLine="434"/>
        <w:spacing w:after="0" w:line="275" w:lineRule="auto"/>
        <w:tabs>
          <w:tab w:leader="none" w:pos="148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w:t>
      </w:r>
      <w:r>
        <w:rPr>
          <w:rFonts w:ascii="Arial" w:cs="Arial" w:eastAsia="Arial" w:hAnsi="Arial"/>
          <w:sz w:val="17"/>
          <w:szCs w:val="17"/>
          <w:color w:val="auto"/>
        </w:rPr>
        <w:t>. No employee of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w:t>
      </w:r>
    </w:p>
    <w:p>
      <w:pPr>
        <w:spacing w:after="0" w:line="26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A​-13</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80"/>
        <w:spacing w:after="0" w:line="261" w:lineRule="auto"/>
        <w:rPr>
          <w:sz w:val="20"/>
          <w:szCs w:val="20"/>
          <w:color w:val="auto"/>
        </w:rPr>
      </w:pPr>
      <w:r>
        <w:rPr>
          <w:rFonts w:ascii="Arial" w:cs="Arial" w:eastAsia="Arial" w:hAnsi="Arial"/>
          <w:sz w:val="18"/>
          <w:szCs w:val="18"/>
          <w:color w:val="auto"/>
        </w:rPr>
        <w:t>nor any action taken hereunder shall be construed as giving any Participant any right to be retained in the employ or service of the Company or an Affiliate, nor shall it be construed as giving any Participant any rights to continued service on the Board.</w:t>
      </w:r>
    </w:p>
    <w:p>
      <w:pPr>
        <w:spacing w:after="0" w:line="54" w:lineRule="exact"/>
        <w:rPr>
          <w:sz w:val="20"/>
          <w:szCs w:val="20"/>
          <w:color w:val="auto"/>
        </w:rPr>
      </w:pPr>
    </w:p>
    <w:p>
      <w:pPr>
        <w:ind w:left="760" w:right="60" w:firstLine="434"/>
        <w:spacing w:after="0" w:line="244" w:lineRule="auto"/>
        <w:tabs>
          <w:tab w:leader="none" w:pos="143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which vary with local requirements. The Committee may also adopt rules, procedures or sub-plans applicable to particular Affiliates or locations.</w:t>
      </w:r>
    </w:p>
    <w:p>
      <w:pPr>
        <w:spacing w:after="0" w:line="69" w:lineRule="exact"/>
        <w:rPr>
          <w:rFonts w:ascii="Arial" w:cs="Arial" w:eastAsia="Arial" w:hAnsi="Arial"/>
          <w:sz w:val="18"/>
          <w:szCs w:val="18"/>
          <w:color w:val="auto"/>
        </w:rPr>
      </w:pPr>
    </w:p>
    <w:p>
      <w:pPr>
        <w:ind w:left="760" w:right="120" w:firstLine="434"/>
        <w:spacing w:after="0" w:line="246" w:lineRule="auto"/>
        <w:tabs>
          <w:tab w:leader="none" w:pos="14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 The Participant’s beneficiary shall be deemed to be his spouse (or domestic partner if such status is recognized by the Company and in such jurisdiction), or if the Participant is otherwise unmarried at the time of death, his estate, except to the extent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71" w:lineRule="exact"/>
        <w:rPr>
          <w:rFonts w:ascii="Arial" w:cs="Arial" w:eastAsia="Arial" w:hAnsi="Arial"/>
          <w:sz w:val="18"/>
          <w:szCs w:val="18"/>
          <w:color w:val="auto"/>
        </w:rPr>
      </w:pPr>
    </w:p>
    <w:p>
      <w:pPr>
        <w:ind w:left="760" w:right="100" w:firstLine="434"/>
        <w:spacing w:after="0" w:line="244" w:lineRule="auto"/>
        <w:tabs>
          <w:tab w:leader="none" w:pos="14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69" w:lineRule="exact"/>
        <w:rPr>
          <w:rFonts w:ascii="Arial" w:cs="Arial" w:eastAsia="Arial" w:hAnsi="Arial"/>
          <w:sz w:val="18"/>
          <w:szCs w:val="18"/>
          <w:color w:val="auto"/>
        </w:rPr>
      </w:pPr>
    </w:p>
    <w:p>
      <w:pPr>
        <w:ind w:left="760" w:right="60" w:firstLine="434"/>
        <w:spacing w:after="0" w:line="261" w:lineRule="auto"/>
        <w:tabs>
          <w:tab w:leader="none" w:pos="142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Rights as a Shareholder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that person.</w:t>
      </w:r>
    </w:p>
    <w:p>
      <w:pPr>
        <w:spacing w:after="0" w:line="53" w:lineRule="exact"/>
        <w:rPr>
          <w:rFonts w:ascii="Arial" w:cs="Arial" w:eastAsia="Arial" w:hAnsi="Arial"/>
          <w:sz w:val="18"/>
          <w:szCs w:val="18"/>
          <w:color w:val="auto"/>
        </w:rPr>
      </w:pPr>
    </w:p>
    <w:p>
      <w:pPr>
        <w:ind w:left="1420" w:hanging="226"/>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00" w:firstLine="430"/>
        <w:spacing w:after="0" w:line="261" w:lineRule="auto"/>
        <w:tabs>
          <w:tab w:leader="none" w:pos="1645"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Nothing in the Plan shall be deemed to authorize the Committee or Board or any members thereof to take any action contrary to applicable law or regulation, or rules of NASDAQ or any other securities exchange or inter-dealer quotation service on which the Common Stock is listed or quoted.</w:t>
      </w:r>
    </w:p>
    <w:p>
      <w:pPr>
        <w:spacing w:after="0" w:line="53" w:lineRule="exact"/>
        <w:rPr>
          <w:rFonts w:ascii="Arial" w:cs="Arial" w:eastAsia="Arial" w:hAnsi="Arial"/>
          <w:sz w:val="18"/>
          <w:szCs w:val="18"/>
          <w:color w:val="auto"/>
        </w:rPr>
      </w:pPr>
    </w:p>
    <w:p>
      <w:pPr>
        <w:ind w:left="980" w:right="120" w:firstLine="430"/>
        <w:spacing w:after="0" w:line="257" w:lineRule="auto"/>
        <w:tabs>
          <w:tab w:leader="none" w:pos="1681"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 transfer orders and other restrictions as the Committee may deem advisable under the Plan, the applicable Award agreement, the U.S. Federal securities laws, or the rules, regulations and other requirements of the U.S. Securities and Exchange Commission, any securities exchange or inter-dealer quotation service upon which such shares or other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200025</wp:posOffset>
            </wp:positionV>
            <wp:extent cx="754380" cy="2400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100"/>
        <w:spacing w:after="0" w:line="261" w:lineRule="auto"/>
        <w:rPr>
          <w:sz w:val="20"/>
          <w:szCs w:val="20"/>
          <w:color w:val="auto"/>
        </w:rPr>
      </w:pPr>
      <w:r>
        <w:rPr>
          <w:rFonts w:ascii="Arial" w:cs="Arial" w:eastAsia="Arial" w:hAnsi="Arial"/>
          <w:sz w:val="17"/>
          <w:szCs w:val="17"/>
          <w:color w:val="auto"/>
        </w:rPr>
        <w:t>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58" w:lineRule="exact"/>
        <w:rPr>
          <w:sz w:val="20"/>
          <w:szCs w:val="20"/>
          <w:color w:val="auto"/>
        </w:rPr>
      </w:pPr>
    </w:p>
    <w:p>
      <w:pPr>
        <w:ind w:left="980" w:right="120" w:firstLine="430"/>
        <w:spacing w:after="0" w:line="270" w:lineRule="auto"/>
        <w:tabs>
          <w:tab w:leader="none" w:pos="1719"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61" w:lineRule="exact"/>
        <w:rPr>
          <w:rFonts w:ascii="Arial" w:cs="Arial" w:eastAsia="Arial" w:hAnsi="Arial"/>
          <w:sz w:val="17"/>
          <w:szCs w:val="17"/>
          <w:color w:val="auto"/>
        </w:rPr>
      </w:pPr>
    </w:p>
    <w:p>
      <w:pPr>
        <w:ind w:left="760" w:right="180" w:firstLine="434"/>
        <w:spacing w:after="0" w:line="274" w:lineRule="auto"/>
        <w:tabs>
          <w:tab w:leader="none" w:pos="147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Section 83(b) Elections Without Consent of Company</w:t>
      </w:r>
      <w:r>
        <w:rPr>
          <w:rFonts w:ascii="Arial" w:cs="Arial" w:eastAsia="Arial" w:hAnsi="Arial"/>
          <w:sz w:val="17"/>
          <w:szCs w:val="17"/>
          <w:color w:val="auto"/>
        </w:rPr>
        <w:t>. No election under Section 83(b) of the Code or under a similar provision of law may be made unless expressly permitted by the terms of the applicable Award agreement or by action of the Committee in writing prior to the making of such election. If the Participant, in connection with the acquisition of shares of Common Stock under the Plan or otherwise, is expressly permitted to make such election and the Participant makes the election, the Participant shall notify the Company of such election within ten days of filing notice of the election with the Internal Revenue Service or other governmental authority, in addition to any filing and notification required pursuant to Section 83(b) of the Code or other applicable provision.</w:t>
      </w:r>
    </w:p>
    <w:p>
      <w:pPr>
        <w:spacing w:after="0" w:line="57" w:lineRule="exact"/>
        <w:rPr>
          <w:rFonts w:ascii="Arial" w:cs="Arial" w:eastAsia="Arial" w:hAnsi="Arial"/>
          <w:sz w:val="17"/>
          <w:szCs w:val="17"/>
          <w:color w:val="auto"/>
        </w:rPr>
      </w:pPr>
    </w:p>
    <w:p>
      <w:pPr>
        <w:ind w:left="760" w:right="100" w:firstLine="434"/>
        <w:spacing w:after="0" w:line="255" w:lineRule="auto"/>
        <w:tabs>
          <w:tab w:leader="none" w:pos="142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or a beneficiary designation form has been filed with the Company)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76" w:lineRule="exact"/>
        <w:rPr>
          <w:rFonts w:ascii="Arial" w:cs="Arial" w:eastAsia="Arial" w:hAnsi="Arial"/>
          <w:sz w:val="18"/>
          <w:szCs w:val="18"/>
          <w:color w:val="auto"/>
        </w:rPr>
      </w:pPr>
    </w:p>
    <w:p>
      <w:pPr>
        <w:ind w:left="760" w:right="60" w:firstLine="434"/>
        <w:spacing w:after="0" w:line="259" w:lineRule="auto"/>
        <w:tabs>
          <w:tab w:leader="none" w:pos="153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shareholders of the Company for approval shall be construed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71" w:lineRule="exact"/>
        <w:rPr>
          <w:rFonts w:ascii="Arial" w:cs="Arial" w:eastAsia="Arial" w:hAnsi="Arial"/>
          <w:sz w:val="18"/>
          <w:szCs w:val="18"/>
          <w:color w:val="auto"/>
        </w:rPr>
      </w:pPr>
    </w:p>
    <w:p>
      <w:pPr>
        <w:ind w:left="760" w:right="140" w:firstLine="434"/>
        <w:spacing w:after="0" w:line="255" w:lineRule="auto"/>
        <w:tabs>
          <w:tab w:leader="none" w:pos="14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76" w:lineRule="exact"/>
        <w:rPr>
          <w:rFonts w:ascii="Arial" w:cs="Arial" w:eastAsia="Arial" w:hAnsi="Arial"/>
          <w:sz w:val="18"/>
          <w:szCs w:val="18"/>
          <w:color w:val="auto"/>
        </w:rPr>
      </w:pPr>
    </w:p>
    <w:p>
      <w:pPr>
        <w:ind w:left="760" w:right="60" w:firstLine="434"/>
        <w:spacing w:after="0" w:line="268" w:lineRule="auto"/>
        <w:tabs>
          <w:tab w:leader="none" w:pos="14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(and their respective designees) shall be fully justified in acting or failing to act, as the case may be, and shall not be liable for having so acted or failed to act in good faith, in reliance upon any report made by the independent registered</w:t>
      </w: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A​-15</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public accounting firm of the Company and its Affiliates and/or any other information furnished in connection with the Plan by any agent of the Company or the Committee or the Board, other than himself.</w:t>
      </w:r>
    </w:p>
    <w:p>
      <w:pPr>
        <w:spacing w:after="0" w:line="59" w:lineRule="exact"/>
        <w:rPr>
          <w:sz w:val="20"/>
          <w:szCs w:val="20"/>
          <w:color w:val="auto"/>
        </w:rPr>
      </w:pPr>
    </w:p>
    <w:p>
      <w:pPr>
        <w:ind w:left="760" w:right="180" w:firstLine="434"/>
        <w:spacing w:after="0" w:line="253" w:lineRule="auto"/>
        <w:tabs>
          <w:tab w:leader="none" w:pos="14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74" w:lineRule="exact"/>
        <w:rPr>
          <w:rFonts w:ascii="Arial" w:cs="Arial" w:eastAsia="Arial" w:hAnsi="Arial"/>
          <w:sz w:val="18"/>
          <w:szCs w:val="18"/>
          <w:color w:val="auto"/>
        </w:rPr>
      </w:pPr>
    </w:p>
    <w:p>
      <w:pPr>
        <w:ind w:left="760" w:right="60" w:firstLine="434"/>
        <w:spacing w:after="0" w:line="262" w:lineRule="auto"/>
        <w:tabs>
          <w:tab w:leader="none" w:pos="14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Purchase for Investment</w:t>
      </w:r>
      <w:r>
        <w:rPr>
          <w:rFonts w:ascii="Arial" w:cs="Arial" w:eastAsia="Arial" w:hAnsi="Arial"/>
          <w:sz w:val="17"/>
          <w:szCs w:val="17"/>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69" w:lineRule="exact"/>
        <w:rPr>
          <w:rFonts w:ascii="Arial" w:cs="Arial" w:eastAsia="Arial" w:hAnsi="Arial"/>
          <w:sz w:val="17"/>
          <w:szCs w:val="17"/>
          <w:color w:val="auto"/>
        </w:rPr>
      </w:pPr>
    </w:p>
    <w:p>
      <w:pPr>
        <w:ind w:left="760" w:right="260" w:firstLine="434"/>
        <w:spacing w:after="0" w:line="253" w:lineRule="auto"/>
        <w:tabs>
          <w:tab w:leader="none" w:pos="143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74" w:lineRule="exact"/>
        <w:rPr>
          <w:rFonts w:ascii="Arial" w:cs="Arial" w:eastAsia="Arial" w:hAnsi="Arial"/>
          <w:sz w:val="18"/>
          <w:szCs w:val="18"/>
          <w:color w:val="auto"/>
        </w:rPr>
      </w:pPr>
    </w:p>
    <w:p>
      <w:pPr>
        <w:ind w:left="760" w:right="60" w:firstLine="434"/>
        <w:spacing w:after="0" w:line="246" w:lineRule="auto"/>
        <w:tabs>
          <w:tab w:leader="none" w:pos="147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67" w:lineRule="exact"/>
        <w:rPr>
          <w:rFonts w:ascii="Arial" w:cs="Arial" w:eastAsia="Arial" w:hAnsi="Arial"/>
          <w:sz w:val="18"/>
          <w:szCs w:val="18"/>
          <w:color w:val="auto"/>
        </w:rPr>
      </w:pPr>
    </w:p>
    <w:p>
      <w:pPr>
        <w:ind w:left="760" w:right="220" w:firstLine="434"/>
        <w:spacing w:after="0" w:line="252" w:lineRule="auto"/>
        <w:tabs>
          <w:tab w:leader="none" w:pos="143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62" w:lineRule="exact"/>
        <w:rPr>
          <w:rFonts w:ascii="Arial" w:cs="Arial" w:eastAsia="Arial" w:hAnsi="Arial"/>
          <w:sz w:val="18"/>
          <w:szCs w:val="18"/>
          <w:color w:val="auto"/>
        </w:rPr>
      </w:pPr>
    </w:p>
    <w:p>
      <w:pPr>
        <w:ind w:left="1480" w:hanging="286"/>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60" w:firstLine="430"/>
        <w:spacing w:after="0" w:line="243" w:lineRule="auto"/>
        <w:tabs>
          <w:tab w:leader="none" w:pos="16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84" w:lineRule="exact"/>
        <w:rPr>
          <w:rFonts w:ascii="Arial" w:cs="Arial" w:eastAsia="Arial" w:hAnsi="Arial"/>
          <w:sz w:val="18"/>
          <w:szCs w:val="18"/>
          <w:color w:val="auto"/>
        </w:rPr>
      </w:pPr>
    </w:p>
    <w:p>
      <w:pPr>
        <w:ind w:left="980" w:right="100" w:firstLine="430"/>
        <w:spacing w:after="0" w:line="246" w:lineRule="auto"/>
        <w:tabs>
          <w:tab w:leader="none" w:pos="1684"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if the Participant is a “specified employee” within the meaning of Section 409A(a)(2)(B)(i) of the Code, no payments or deliveries in respect of any Awards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67" w:lineRule="exact"/>
        <w:rPr>
          <w:rFonts w:ascii="Arial" w:cs="Arial" w:eastAsia="Arial" w:hAnsi="Arial"/>
          <w:sz w:val="18"/>
          <w:szCs w:val="18"/>
          <w:color w:val="auto"/>
        </w:rPr>
      </w:pPr>
    </w:p>
    <w:p>
      <w:pPr>
        <w:ind w:left="980" w:right="200" w:firstLine="430"/>
        <w:spacing w:after="0" w:line="265" w:lineRule="auto"/>
        <w:tabs>
          <w:tab w:leader="none" w:pos="1722"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184150</wp:posOffset>
            </wp:positionV>
            <wp:extent cx="754380" cy="2400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99" w:lineRule="exact"/>
        <w:rPr>
          <w:sz w:val="20"/>
          <w:szCs w:val="20"/>
          <w:color w:val="auto"/>
        </w:rPr>
      </w:pPr>
    </w:p>
    <w:p>
      <w:pPr>
        <w:ind w:left="760"/>
        <w:spacing w:after="0"/>
        <w:tabs>
          <w:tab w:leader="none" w:pos="2080" w:val="left"/>
          <w:tab w:leader="none" w:pos="5220" w:val="left"/>
          <w:tab w:leader="none" w:pos="9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2025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980" w:right="420"/>
        <w:spacing w:after="0" w:line="287" w:lineRule="auto"/>
        <w:rPr>
          <w:sz w:val="20"/>
          <w:szCs w:val="20"/>
          <w:color w:val="auto"/>
        </w:rPr>
      </w:pPr>
      <w:r>
        <w:rPr>
          <w:rFonts w:ascii="Arial" w:cs="Arial" w:eastAsia="Arial" w:hAnsi="Arial"/>
          <w:sz w:val="18"/>
          <w:szCs w:val="18"/>
          <w:color w:val="auto"/>
        </w:rPr>
        <w:t>the Disability also satisfies the definition of “Disability” pursuant to Section 409A of the Code and any Treasury Regulations promulgated thereunder.</w:t>
      </w:r>
    </w:p>
    <w:p>
      <w:pPr>
        <w:spacing w:after="0" w:line="45" w:lineRule="exact"/>
        <w:rPr>
          <w:sz w:val="20"/>
          <w:szCs w:val="20"/>
          <w:color w:val="auto"/>
        </w:rPr>
      </w:pPr>
    </w:p>
    <w:p>
      <w:pPr>
        <w:ind w:left="760" w:right="60" w:firstLine="434"/>
        <w:spacing w:after="0" w:line="252" w:lineRule="auto"/>
        <w:tabs>
          <w:tab w:leader="none" w:pos="146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Clawback/Forfeiture</w:t>
      </w:r>
      <w:r>
        <w:rPr>
          <w:rFonts w:ascii="Arial" w:cs="Arial" w:eastAsia="Arial" w:hAnsi="Arial"/>
          <w:sz w:val="18"/>
          <w:szCs w:val="18"/>
          <w:color w:val="auto"/>
        </w:rPr>
        <w:t>. Notwithstanding anything to the contrary contained herein, an Award agreement may provide that the Committee may cancel such Award if the 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as determined by the Committee. The Committee may also provide in an Award agreement that in such event, the Participant will forfeit any compensation, gain or other value realized thereafter on the vesting, exercise or settlement of such Award, the sale or other transfer of such Award, or the sale of shares of Common Stock acquired in respect of such Award, and must promptly repay such amounts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(including, without limitation, Section 304 of the Sarbanes-Oxley Act and Section 954 of the Dodd-Frank Wall Street Reform and Consumer Protection Act) and/or the rules and regulations of NASDAQ or any other securities exchange or inter-dealer quotation service on which the Common Stock is listed or quoted, or if so required pursuant to a written policy adopted by the Company, Awards shall be subject (including on a retroactive basis) to clawback, forfeiture or similar requirements (and such requirements shall be deemed incorporated by reference into all outstanding Award agreements).</w:t>
      </w:r>
    </w:p>
    <w:p>
      <w:pPr>
        <w:spacing w:after="0" w:line="81" w:lineRule="exact"/>
        <w:rPr>
          <w:rFonts w:ascii="Arial" w:cs="Arial" w:eastAsia="Arial" w:hAnsi="Arial"/>
          <w:sz w:val="18"/>
          <w:szCs w:val="18"/>
          <w:color w:val="auto"/>
        </w:rPr>
      </w:pPr>
    </w:p>
    <w:p>
      <w:pPr>
        <w:ind w:left="760" w:right="80" w:firstLine="434"/>
        <w:spacing w:after="0" w:line="259" w:lineRule="auto"/>
        <w:tabs>
          <w:tab w:leader="none" w:pos="150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Representations or Covenants With Respect to Tax Qualification</w:t>
      </w:r>
      <w:r>
        <w:rPr>
          <w:rFonts w:ascii="Arial" w:cs="Arial" w:eastAsia="Arial" w:hAnsi="Arial"/>
          <w:sz w:val="18"/>
          <w:szCs w:val="18"/>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71" w:lineRule="exact"/>
        <w:rPr>
          <w:rFonts w:ascii="Arial" w:cs="Arial" w:eastAsia="Arial" w:hAnsi="Arial"/>
          <w:sz w:val="18"/>
          <w:szCs w:val="18"/>
          <w:color w:val="auto"/>
        </w:rPr>
      </w:pPr>
    </w:p>
    <w:p>
      <w:pPr>
        <w:jc w:val="both"/>
        <w:ind w:left="760" w:right="160" w:firstLine="434"/>
        <w:spacing w:after="0" w:line="262" w:lineRule="auto"/>
        <w:tabs>
          <w:tab w:leader="none" w:pos="147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Expenses; Gender; Titles and Headings</w:t>
      </w:r>
      <w:r>
        <w:rPr>
          <w:rFonts w:ascii="Arial" w:cs="Arial" w:eastAsia="Arial" w:hAnsi="Arial"/>
          <w:sz w:val="18"/>
          <w:szCs w:val="18"/>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68"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adopted by the Board of Directors of the Company on April 22, 2025.</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approved by the shareholders of the Company on June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A​-17</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1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lowerRoman"/>
      <w:start w:val="2"/>
    </w:lvl>
  </w:abstractNum>
  <w:abstractNum w:abstractNumId="6">
    <w:nsid w:val="32FFF902"/>
    <w:multiLevelType w:val="hybridMultilevel"/>
    <w:lvl w:ilvl="0">
      <w:lvlJc w:val="left"/>
      <w:lvlText w:val="(%1)"/>
      <w:numFmt w:val="lowerRoman"/>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decimal"/>
      <w:start w:val="3"/>
    </w:lvl>
  </w:abstractNum>
  <w:abstractNum w:abstractNumId="13">
    <w:nsid w:val="75C6C33A"/>
    <w:multiLevelType w:val="hybridMultilevel"/>
    <w:lvl w:ilvl="0">
      <w:lvlJc w:val="left"/>
      <w:lvlText w:val="(%1)"/>
      <w:numFmt w:val="decimal"/>
      <w:start w:val="4"/>
    </w:lvl>
  </w:abstractNum>
  <w:abstractNum w:abstractNumId="14">
    <w:nsid w:val="12E685FB"/>
    <w:multiLevelType w:val="hybridMultilevel"/>
    <w:lvl w:ilvl="0">
      <w:lvlJc w:val="left"/>
      <w:lvlText w:val="(%1)"/>
      <w:numFmt w:val="decimal"/>
      <w:start w:val="5"/>
    </w:lvl>
  </w:abstractNum>
  <w:abstractNum w:abstractNumId="15">
    <w:nsid w:val="70C6A529"/>
    <w:multiLevelType w:val="hybridMultilevel"/>
    <w:lvl w:ilvl="0">
      <w:lvlJc w:val="left"/>
      <w:lvlText w:val="(%1)"/>
      <w:numFmt w:val="decimal"/>
      <w:start w:val="7"/>
    </w:lvl>
  </w:abstractNum>
  <w:abstractNum w:abstractNumId="16">
    <w:nsid w:val="520EEDD1"/>
    <w:multiLevelType w:val="hybridMultilevel"/>
    <w:lvl w:ilvl="0">
      <w:lvlJc w:val="left"/>
      <w:lvlText w:val="(%1)"/>
      <w:numFmt w:val="lowerRoman"/>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lowerRoman"/>
      <w:start w:val="10"/>
    </w:lvl>
  </w:abstractNum>
  <w:abstractNum w:abstractNumId="22">
    <w:nsid w:val="39386575"/>
    <w:multiLevelType w:val="hybridMultilevel"/>
    <w:lvl w:ilvl="0">
      <w:lvlJc w:val="left"/>
      <w:lvlText w:val="(%1)"/>
      <w:numFmt w:val="lowerRoman"/>
      <w:start w:val="1"/>
    </w:lvl>
  </w:abstractNum>
  <w:abstractNum w:abstractNumId="23">
    <w:nsid w:val="1CF10FD8"/>
    <w:multiLevelType w:val="hybridMultilevel"/>
    <w:lvl w:ilvl="0">
      <w:lvlJc w:val="left"/>
      <w:lvlText w:val="(%1)"/>
      <w:numFmt w:val="upperLetter"/>
      <w:start w:val="3"/>
    </w:lvl>
  </w:abstractNum>
  <w:abstractNum w:abstractNumId="24">
    <w:nsid w:val="180115BE"/>
    <w:multiLevelType w:val="hybridMultilevel"/>
    <w:lvl w:ilvl="0">
      <w:lvlJc w:val="left"/>
      <w:lvlText w:val="(%1)"/>
      <w:numFmt w:val="lowerRoman"/>
      <w:start w:val="10"/>
    </w:lvl>
  </w:abstractNum>
  <w:abstractNum w:abstractNumId="25">
    <w:nsid w:val="235BA861"/>
    <w:multiLevelType w:val="hybridMultilevel"/>
    <w:lvl w:ilvl="0">
      <w:lvlJc w:val="left"/>
      <w:lvlText w:val="(%1)"/>
      <w:numFmt w:val="lowerLetter"/>
      <w:start w:val="25"/>
    </w:lvl>
  </w:abstractNum>
  <w:abstractNum w:abstractNumId="26">
    <w:nsid w:val="47398C89"/>
    <w:multiLevelType w:val="hybridMultilevel"/>
    <w:lvl w:ilvl="0">
      <w:lvlJc w:val="left"/>
      <w:lvlText w:val="(%1)"/>
      <w:numFmt w:val="lowerRoman"/>
      <w:start w:val="10"/>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4"/>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4"/>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lowerRoman"/>
      <w:start w:val="1"/>
    </w:lvl>
  </w:abstractNum>
  <w:abstractNum w:abstractNumId="40">
    <w:nsid w:val="25A70BF7"/>
    <w:multiLevelType w:val="hybridMultilevel"/>
    <w:lvl w:ilvl="0">
      <w:lvlJc w:val="left"/>
      <w:lvlText w:val="(%1)"/>
      <w:numFmt w:val="lowerRoman"/>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4"/>
    </w:lvl>
  </w:abstractNum>
  <w:abstractNum w:abstractNumId="46">
    <w:nsid w:val="100F8FCA"/>
    <w:multiLevelType w:val="hybridMultilevel"/>
    <w:lvl w:ilvl="0">
      <w:lvlJc w:val="left"/>
      <w:lvlText w:val="(%1)"/>
      <w:numFmt w:val="decimal"/>
      <w:start w:val="5"/>
    </w:lvl>
  </w:abstractNum>
  <w:abstractNum w:abstractNumId="47">
    <w:nsid w:val="6590700B"/>
    <w:multiLevelType w:val="hybridMultilevel"/>
    <w:lvl w:ilvl="0">
      <w:lvlJc w:val="left"/>
      <w:lvlText w:val="(%1)"/>
      <w:numFmt w:val="decimal"/>
      <w:start w:val="7"/>
    </w:lvl>
  </w:abstractNum>
  <w:abstractNum w:abstractNumId="48">
    <w:nsid w:val="15014ACB"/>
    <w:multiLevelType w:val="hybridMultilevel"/>
    <w:lvl w:ilvl="0">
      <w:lvlJc w:val="left"/>
      <w:lvlText w:val="(%1)"/>
      <w:numFmt w:val="decimal"/>
      <w:start w:val="9"/>
    </w:lvl>
  </w:abstractNum>
  <w:abstractNum w:abstractNumId="49">
    <w:nsid w:val="5F5E7FD0"/>
    <w:multiLevelType w:val="hybridMultilevel"/>
    <w:lvl w:ilvl="0">
      <w:lvlJc w:val="left"/>
      <w:lvlText w:val="(%1)"/>
      <w:numFmt w:val="lowerLetter"/>
      <w:start w:val="2"/>
    </w:lvl>
  </w:abstractNum>
  <w:abstractNum w:abstractNumId="50">
    <w:nsid w:val="98A3148"/>
    <w:multiLevelType w:val="hybridMultilevel"/>
    <w:lvl w:ilvl="0">
      <w:lvlJc w:val="left"/>
      <w:lvlText w:val="(%1)"/>
      <w:numFmt w:val="lowerRoman"/>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lowerRoman"/>
      <w:start w:val="1"/>
    </w:lvl>
  </w:abstractNum>
  <w:abstractNum w:abstractNumId="57">
    <w:nsid w:val="5DC79EA8"/>
    <w:multiLevelType w:val="hybridMultilevel"/>
    <w:lvl w:ilvl="0">
      <w:lvlJc w:val="left"/>
      <w:lvlText w:val="%1."/>
      <w:numFmt w:val="decimal"/>
      <w:start w:val="1"/>
    </w:lvl>
    <w:lvl w:ilvl="1">
      <w:lvlJc w:val="left"/>
      <w:lvlText w:val="%2."/>
      <w:numFmt w:val="lowerLetter"/>
      <w:start w:val="1"/>
    </w:lvl>
  </w:abstractNum>
  <w:abstractNum w:abstractNumId="58">
    <w:nsid w:val="540A47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59">
    <w:nsid w:val="7BD3EE7B"/>
    <w:multiLevelType w:val="hybridMultilevel"/>
    <w:lvl w:ilvl="0">
      <w:lvlJc w:val="left"/>
      <w:lvlText w:val="(%1)"/>
      <w:numFmt w:val="upperLetter"/>
      <w:start w:val="2"/>
    </w:lvl>
    <w:lvl w:ilvl="1">
      <w:lvlJc w:val="left"/>
      <w:lvlText w:val="%2."/>
      <w:numFmt w:val="lowerLetter"/>
      <w:start w:val="7"/>
    </w:lvl>
    <w:lvl w:ilvl="2">
      <w:lvlJc w:val="left"/>
      <w:lvlText w:val="%3"/>
      <w:numFmt w:val="lowerRoman"/>
      <w:start w:val="1"/>
    </w:lvl>
  </w:abstractNum>
  <w:abstractNum w:abstractNumId="60">
    <w:nsid w:val="51D9C564"/>
    <w:multiLevelType w:val="hybridMultilevel"/>
    <w:lvl w:ilvl="0">
      <w:lvlJc w:val="left"/>
      <w:lvlText w:val="%1."/>
      <w:numFmt w:val="lowerLetter"/>
      <w:start w:val="14"/>
    </w:lvl>
  </w:abstractNum>
  <w:abstractNum w:abstractNumId="61">
    <w:nsid w:val="613EFDC5"/>
    <w:multiLevelType w:val="hybridMultilevel"/>
    <w:lvl w:ilvl="0">
      <w:lvlJc w:val="left"/>
      <w:lvlText w:val="%1"/>
      <w:numFmt w:val="lowerRoman"/>
      <w:start w:val="1"/>
    </w:lvl>
    <w:lvl w:ilvl="1">
      <w:lvlJc w:val="left"/>
      <w:lvlText w:val="%2."/>
      <w:numFmt w:val="lowerLetter"/>
      <w:start w:val="27"/>
    </w:lvl>
  </w:abstractNum>
  <w:abstractNum w:abstractNumId="62">
    <w:nsid w:val="BF72B14"/>
    <w:multiLevelType w:val="hybridMultilevel"/>
    <w:lvl w:ilvl="0">
      <w:lvlJc w:val="left"/>
      <w:lvlText w:val="(%1)"/>
      <w:numFmt w:val="lowerRoman"/>
      <w:start w:val="2"/>
    </w:lvl>
    <w:lvl w:ilvl="1">
      <w:lvlJc w:val="left"/>
      <w:lvlText w:val="%2."/>
      <w:numFmt w:val="lowerLetter"/>
      <w:start w:val="28"/>
    </w:lvl>
  </w:abstractNum>
  <w:abstractNum w:abstractNumId="63">
    <w:nsid w:val="11447B73"/>
    <w:multiLevelType w:val="hybridMultilevel"/>
    <w:lvl w:ilvl="0">
      <w:lvlJc w:val="left"/>
      <w:lvlText w:val="%1"/>
      <w:numFmt w:val="decimal"/>
      <w:start w:val="1"/>
    </w:lvl>
    <w:lvl w:ilvl="1">
      <w:lvlJc w:val="left"/>
      <w:lvlText w:val="%2."/>
      <w:numFmt w:val="lowerLetter"/>
      <w:start w:val="29"/>
    </w:lvl>
  </w:abstractNum>
  <w:abstractNum w:abstractNumId="64">
    <w:nsid w:val="42963E5A"/>
    <w:multiLevelType w:val="hybridMultilevel"/>
    <w:lvl w:ilvl="0">
      <w:lvlJc w:val="left"/>
      <w:lvlText w:val="%1."/>
      <w:numFmt w:val="decimal"/>
      <w:start w:val="4"/>
    </w:lvl>
    <w:lvl w:ilvl="1">
      <w:lvlJc w:val="left"/>
      <w:lvlText w:val="%2."/>
      <w:numFmt w:val="lowerLetter"/>
      <w:start w:val="1"/>
    </w:lvl>
  </w:abstractNum>
  <w:abstractNum w:abstractNumId="65">
    <w:nsid w:val="A0382C5"/>
    <w:multiLevelType w:val="hybridMultilevel"/>
    <w:lvl w:ilvl="0">
      <w:lvlJc w:val="left"/>
      <w:lvlText w:val="%1"/>
      <w:numFmt w:val="decimal"/>
      <w:start w:val="1"/>
    </w:lvl>
    <w:lvl w:ilvl="1">
      <w:lvlJc w:val="left"/>
      <w:lvlText w:val="%2."/>
      <w:numFmt w:val="lowerLetter"/>
      <w:start w:val="6"/>
    </w:lvl>
  </w:abstractNum>
  <w:abstractNum w:abstractNumId="66">
    <w:nsid w:val="8F2B15E"/>
    <w:multiLevelType w:val="hybridMultilevel"/>
    <w:lvl w:ilvl="0">
      <w:lvlJc w:val="left"/>
      <w:lvlText w:val="%1."/>
      <w:numFmt w:val="decimal"/>
      <w:start w:val="5"/>
    </w:lvl>
    <w:lvl w:ilvl="1">
      <w:lvlJc w:val="left"/>
      <w:lvlText w:val="%2."/>
      <w:numFmt w:val="lowerLetter"/>
      <w:start w:val="1"/>
    </w:lvl>
  </w:abstractNum>
  <w:abstractNum w:abstractNumId="67">
    <w:nsid w:val="1A32234B"/>
    <w:multiLevelType w:val="hybridMultilevel"/>
    <w:lvl w:ilvl="0">
      <w:lvlJc w:val="left"/>
      <w:lvlText w:val="%1."/>
      <w:numFmt w:val="decimal"/>
      <w:start w:val="6"/>
    </w:lvl>
    <w:lvl w:ilvl="1">
      <w:lvlJc w:val="left"/>
      <w:lvlText w:val="%2."/>
      <w:numFmt w:val="lowerLetter"/>
      <w:start w:val="1"/>
    </w:lvl>
  </w:abstractNum>
  <w:abstractNum w:abstractNumId="68">
    <w:nsid w:val="3B0FD379"/>
    <w:multiLevelType w:val="hybridMultilevel"/>
    <w:lvl w:ilvl="0">
      <w:lvlJc w:val="left"/>
      <w:lvlText w:val="%1"/>
      <w:numFmt w:val="decimal"/>
      <w:start w:val="1"/>
    </w:lvl>
    <w:lvl w:ilvl="1">
      <w:lvlJc w:val="left"/>
      <w:lvlText w:val="%2."/>
      <w:numFmt w:val="lowerLetter"/>
      <w:start w:val="6"/>
    </w:lvl>
  </w:abstractNum>
  <w:abstractNum w:abstractNumId="69">
    <w:nsid w:val="68EB2F63"/>
    <w:multiLevelType w:val="hybridMultilevel"/>
    <w:lvl w:ilvl="0">
      <w:lvlJc w:val="left"/>
      <w:lvlText w:val="%1."/>
      <w:numFmt w:val="decimal"/>
      <w:start w:val="8"/>
    </w:lvl>
    <w:lvl w:ilvl="1">
      <w:lvlJc w:val="left"/>
      <w:lvlText w:val="%2."/>
      <w:numFmt w:val="lowerLetter"/>
      <w:start w:val="1"/>
    </w:lvl>
  </w:abstractNum>
  <w:abstractNum w:abstractNumId="70">
    <w:nsid w:val="496281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1">
    <w:nsid w:val="60B6DF70"/>
    <w:multiLevelType w:val="hybridMultilevel"/>
    <w:lvl w:ilvl="0">
      <w:lvlJc w:val="left"/>
      <w:lvlText w:val="%1."/>
      <w:numFmt w:val="lowerLetter"/>
      <w:start w:val="5"/>
    </w:lvl>
  </w:abstractNum>
  <w:abstractNum w:abstractNumId="72">
    <w:nsid w:val="6A5EE64"/>
    <w:multiLevelType w:val="hybridMultilevel"/>
    <w:lvl w:ilvl="0">
      <w:lvlJc w:val="left"/>
      <w:lvlText w:val="%1."/>
      <w:numFmt w:val="decimal"/>
      <w:start w:val="10"/>
    </w:lvl>
    <w:lvl w:ilvl="1">
      <w:lvlJc w:val="left"/>
      <w:lvlText w:val="%2."/>
      <w:numFmt w:val="lowerLetter"/>
      <w:start w:val="1"/>
    </w:lvl>
  </w:abstractNum>
  <w:abstractNum w:abstractNumId="73">
    <w:nsid w:val="14330624"/>
    <w:multiLevelType w:val="hybridMultilevel"/>
    <w:lvl w:ilvl="0">
      <w:lvlJc w:val="left"/>
      <w:lvlText w:val="(%1)"/>
      <w:numFmt w:val="lowerRoman"/>
      <w:start w:val="22"/>
    </w:lvl>
    <w:lvl w:ilvl="1">
      <w:lvlJc w:val="left"/>
      <w:lvlText w:val="%2."/>
      <w:numFmt w:val="lowerLetter"/>
      <w:start w:val="4"/>
    </w:lvl>
  </w:abstractNum>
  <w:abstractNum w:abstractNumId="74">
    <w:nsid w:val="7FFFCA11"/>
    <w:multiLevelType w:val="hybridMultilevel"/>
    <w:lvl w:ilvl="0">
      <w:lvlJc w:val="left"/>
      <w:lvlText w:val="(%1)"/>
      <w:numFmt w:val="lowerRoman"/>
      <w:start w:val="9"/>
    </w:lvl>
    <w:lvl w:ilvl="1">
      <w:lvlJc w:val="left"/>
      <w:lvlText w:val="%2."/>
      <w:numFmt w:val="lowerLetter"/>
      <w:start w:val="5"/>
    </w:lvl>
  </w:abstractNum>
  <w:abstractNum w:abstractNumId="75">
    <w:nsid w:val="1A27709E"/>
    <w:multiLevelType w:val="hybridMultilevel"/>
    <w:lvl w:ilvl="0">
      <w:lvlJc w:val="left"/>
      <w:lvlText w:val="%1."/>
      <w:numFmt w:val="decimal"/>
      <w:start w:val="12"/>
    </w:lvl>
  </w:abstractNum>
  <w:abstractNum w:abstractNumId="76">
    <w:nsid w:val="71EA1109"/>
    <w:multiLevelType w:val="hybridMultilevel"/>
    <w:lvl w:ilvl="0">
      <w:lvlJc w:val="left"/>
      <w:lvlText w:val="(%1)"/>
      <w:numFmt w:val="upperLetter"/>
      <w:start w:val="2"/>
    </w:lvl>
  </w:abstractNum>
  <w:abstractNum w:abstractNumId="77">
    <w:nsid w:val="100F59DC"/>
    <w:multiLevelType w:val="hybridMultilevel"/>
    <w:lvl w:ilvl="0">
      <w:lvlJc w:val="left"/>
      <w:lvlText w:val="%1."/>
      <w:numFmt w:val="decimal"/>
      <w:start w:val="13"/>
    </w:lvl>
    <w:lvl w:ilvl="1">
      <w:lvlJc w:val="left"/>
      <w:lvlText w:val="%2."/>
      <w:numFmt w:val="lowerLetter"/>
      <w:start w:val="1"/>
    </w:lvl>
  </w:abstractNum>
  <w:abstractNum w:abstractNumId="78">
    <w:nsid w:val="7FB7E0A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79">
    <w:nsid w:val="6EB5BD4"/>
    <w:multiLevelType w:val="hybridMultilevel"/>
    <w:lvl w:ilvl="0">
      <w:lvlJc w:val="left"/>
      <w:lvlText w:val="%1."/>
      <w:numFmt w:val="decimal"/>
      <w:start w:val="15"/>
    </w:lvl>
    <w:lvl w:ilvl="1">
      <w:lvlJc w:val="left"/>
      <w:lvlText w:val="(%2)"/>
      <w:numFmt w:val="upperLetter"/>
    </w:lvl>
    <w:lvl w:ilvl="2">
      <w:lvlJc w:val="left"/>
      <w:lvlText w:val="%3."/>
      <w:numFmt w:val="lowerLetter"/>
      <w:start w:val="1"/>
    </w:lvl>
    <w:lvl w:ilvl="3">
      <w:lvlJc w:val="left"/>
      <w:lvlText w:val="%4."/>
      <w:numFmt w:val="lowerRoman"/>
      <w:start w:val="1"/>
    </w:lvl>
  </w:abstractNum>
  <w:abstractNum w:abstractNumId="80">
    <w:nsid w:val="6F6DD9A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81">
    <w:nsid w:val="94211F2"/>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82">
    <w:nsid w:val="885E1B"/>
    <w:multiLevelType w:val="hybridMultilevel"/>
    <w:lvl w:ilvl="0">
      <w:lvlJc w:val="left"/>
      <w:lvlText w:val="(%1)"/>
      <w:numFmt w:val="lowerRoman"/>
      <w:start w:val="2"/>
    </w:lvl>
    <w:lvl w:ilvl="1">
      <w:lvlJc w:val="left"/>
      <w:lvlText w:val="%2."/>
      <w:numFmt w:val="lowerLetter"/>
      <w:start w:val="4"/>
    </w:lvl>
    <w:lvl w:ilvl="2">
      <w:lvlJc w:val="left"/>
      <w:lvlText w:val="%3."/>
      <w:numFmt w:val="lowerLetter"/>
      <w:start w:val="9"/>
    </w:lvl>
  </w:abstractNum>
  <w:abstractNum w:abstractNumId="83">
    <w:nsid w:val="76272110"/>
    <w:multiLevelType w:val="hybridMultilevel"/>
    <w:lvl w:ilvl="0">
      <w:lvlJc w:val="left"/>
      <w:lvlText w:val="%1"/>
      <w:numFmt w:val="lowerLetter"/>
      <w:start w:val="1"/>
    </w:lvl>
    <w:lvl w:ilvl="1">
      <w:lvlJc w:val="left"/>
      <w:lvlText w:val="%2."/>
      <w:numFmt w:val="lowerLetter"/>
      <w:start w:val="35"/>
    </w:lvl>
  </w:abstractNum>
  <w:abstractNum w:abstractNumId="84">
    <w:nsid w:val="4C04A8AF"/>
    <w:multiLevelType w:val="hybridMultilevel"/>
    <w:lvl w:ilvl="0">
      <w:lvlJc w:val="left"/>
      <w:lvlText w:val="%1."/>
      <w:numFmt w:val="lowerLetter"/>
      <w:start w:val="5"/>
    </w:lvl>
    <w:lvl w:ilvl="1">
      <w:lvlJc w:val="left"/>
      <w:lvlText w:val="%2"/>
      <w:numFmt w:val="lowerLetter"/>
      <w:start w:val="1"/>
    </w:lvl>
  </w:abstractNum>
  <w:abstractNum w:abstractNumId="85">
    <w:nsid w:val="1716703B"/>
    <w:multiLevelType w:val="hybridMultilevel"/>
    <w:lvl w:ilvl="0">
      <w:lvlJc w:val="left"/>
      <w:lvlText w:val="%1."/>
      <w:numFmt w:val="lowerLetter"/>
      <w:start w:val="6"/>
    </w:lvl>
    <w:lvl w:ilvl="1">
      <w:lvlJc w:val="left"/>
      <w:lvlText w:val="%2."/>
      <w:numFmt w:val="lowerRoman"/>
      <w:start w:val="1"/>
    </w:lvl>
  </w:abstractNum>
  <w:abstractNum w:abstractNumId="86">
    <w:nsid w:val="14E17E33"/>
    <w:multiLevelType w:val="hybridMultilevel"/>
    <w:lvl w:ilvl="0">
      <w:lvlJc w:val="left"/>
      <w:lvlText w:val="%1"/>
      <w:numFmt w:val="lowerLetter"/>
      <w:start w:val="1"/>
    </w:lvl>
    <w:lvl w:ilvl="1">
      <w:lvlJc w:val="left"/>
      <w:lvlText w:val="%2."/>
      <w:numFmt w:val="lowerLetter"/>
      <w:start w:val="61"/>
    </w:lvl>
  </w:abstractNum>
  <w:abstractNum w:abstractNumId="87">
    <w:nsid w:val="3222E7CD"/>
    <w:multiLevelType w:val="hybridMultilevel"/>
    <w:lvl w:ilvl="0">
      <w:lvlJc w:val="left"/>
      <w:lvlText w:val="%1."/>
      <w:numFmt w:val="lowerLetter"/>
      <w:start w:val="11"/>
    </w:lvl>
    <w:lvl w:ilvl="1">
      <w:lvlJc w:val="left"/>
      <w:lvlText w:val="%2"/>
      <w:numFmt w:val="lowerLetter"/>
      <w:start w:val="1"/>
    </w:lvl>
  </w:abstractNum>
  <w:abstractNum w:abstractNumId="88">
    <w:nsid w:val="74DE0EE3"/>
    <w:multiLevelType w:val="hybridMultilevel"/>
    <w:lvl w:ilvl="0">
      <w:lvlJc w:val="left"/>
      <w:lvlText w:val="%1."/>
      <w:numFmt w:val="lowerLetter"/>
      <w:start w:val="16"/>
    </w:lvl>
    <w:lvl w:ilvl="1">
      <w:lvlJc w:val="left"/>
      <w:lvlText w:val="%2."/>
      <w:numFmt w:val="lowerRoman"/>
      <w:start w:val="1"/>
    </w:lvl>
  </w:abstractNum>
  <w:abstractNum w:abstractNumId="89">
    <w:nsid w:val="68EBC550"/>
    <w:multiLevelType w:val="hybridMultilevel"/>
    <w:lvl w:ilvl="0">
      <w:lvlJc w:val="left"/>
      <w:lvlText w:val="%1."/>
      <w:numFmt w:val="lowerLetter"/>
      <w:start w:val="2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2025-04-24T07:12:05Z</dcterms:created>
  <dcterms:modified xsi:type="dcterms:W3CDTF">2025-04-24T07:12:05Z</dcterms:modified>
</cp:coreProperties>
</file>