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214630</wp:posOffset>
            </wp:positionH>
            <wp:positionV relativeFrom="page">
              <wp:posOffset>662940</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687705</wp:posOffset>
            </wp:positionV>
            <wp:extent cx="711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12"/>
          <w:szCs w:val="12"/>
          <w:b w:val="1"/>
          <w:bCs w:val="1"/>
          <w:color w:val="auto"/>
        </w:rPr>
        <w:t>Washington, D.C. 20549</w:t>
      </w:r>
    </w:p>
    <w:p>
      <w:pPr>
        <w:spacing w:after="0" w:line="92" w:lineRule="exact"/>
        <w:rPr>
          <w:sz w:val="24"/>
          <w:szCs w:val="24"/>
          <w:color w:val="auto"/>
        </w:rPr>
      </w:pPr>
    </w:p>
    <w:p>
      <w:pPr>
        <w:jc w:val="center"/>
        <w:ind w:right="120"/>
        <w:spacing w:after="0"/>
        <w:rPr>
          <w:sz w:val="20"/>
          <w:szCs w:val="20"/>
          <w:color w:val="auto"/>
        </w:rPr>
      </w:pPr>
      <w:r>
        <w:rPr>
          <w:rFonts w:ascii="Arial" w:cs="Arial" w:eastAsia="Arial" w:hAnsi="Arial"/>
          <w:sz w:val="24"/>
          <w:szCs w:val="24"/>
          <w:b w:val="1"/>
          <w:bCs w:val="1"/>
          <w:color w:val="auto"/>
        </w:rPr>
        <w:t>FORM 10-Q</w:t>
      </w:r>
    </w:p>
    <w:p>
      <w:pPr>
        <w:spacing w:after="0" w:line="37"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(Mark One)</w:t>
      </w:r>
    </w:p>
    <w:p>
      <w:pPr>
        <w:spacing w:after="0" w:line="99" w:lineRule="exact"/>
        <w:rPr>
          <w:sz w:val="24"/>
          <w:szCs w:val="24"/>
          <w:color w:val="auto"/>
        </w:rPr>
      </w:pPr>
    </w:p>
    <w:p>
      <w:pPr>
        <w:jc w:val="center"/>
        <w:ind w:left="3940" w:right="1160" w:hanging="2875"/>
        <w:spacing w:after="0" w:line="289" w:lineRule="auto"/>
        <w:tabs>
          <w:tab w:leader="none" w:pos="1269"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 (d) OF THE SECURITIES EXCHANGE ACT OF 1934 For the quarterly period ended June 30, 2021</w:t>
      </w: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or</w:t>
      </w:r>
    </w:p>
    <w:p>
      <w:pPr>
        <w:spacing w:after="0" w:line="66" w:lineRule="exact"/>
        <w:rPr>
          <w:sz w:val="24"/>
          <w:szCs w:val="24"/>
          <w:color w:val="auto"/>
        </w:rPr>
      </w:pPr>
    </w:p>
    <w:p>
      <w:pPr>
        <w:ind w:left="1260" w:hanging="201"/>
        <w:spacing w:after="0"/>
        <w:tabs>
          <w:tab w:leader="none" w:pos="1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 (d) OF THE SECURITIES EXCHANGE ACT OF 1934</w:t>
      </w:r>
    </w:p>
    <w:p>
      <w:pPr>
        <w:spacing w:after="0" w:line="34" w:lineRule="exact"/>
        <w:rPr>
          <w:sz w:val="24"/>
          <w:szCs w:val="24"/>
          <w:color w:val="auto"/>
        </w:rPr>
      </w:pPr>
    </w:p>
    <w:p>
      <w:pPr>
        <w:ind w:left="4200"/>
        <w:spacing w:after="0"/>
        <w:tabs>
          <w:tab w:leader="none" w:pos="6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6" w:lineRule="exact"/>
        <w:rPr>
          <w:sz w:val="24"/>
          <w:szCs w:val="24"/>
          <w:color w:val="auto"/>
        </w:rPr>
      </w:pPr>
    </w:p>
    <w:p>
      <w:pPr>
        <w:ind w:left="4260"/>
        <w:spacing w:after="0"/>
        <w:rPr>
          <w:sz w:val="20"/>
          <w:szCs w:val="20"/>
          <w:color w:val="auto"/>
        </w:rPr>
      </w:pPr>
      <w:r>
        <w:rPr>
          <w:rFonts w:ascii="Arial" w:cs="Arial" w:eastAsia="Arial" w:hAnsi="Arial"/>
          <w:sz w:val="17"/>
          <w:szCs w:val="17"/>
          <w:b w:val="1"/>
          <w:bCs w:val="1"/>
          <w:color w:val="auto"/>
        </w:rPr>
        <w:t>Commission file number: 001-37352</w:t>
      </w:r>
    </w:p>
    <w:p>
      <w:pPr>
        <w:spacing w:after="0" w:line="32"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Virtu Financial, Inc.</w:t>
      </w:r>
    </w:p>
    <w:p>
      <w:pPr>
        <w:spacing w:after="0" w:line="8" w:lineRule="exact"/>
        <w:rPr>
          <w:sz w:val="24"/>
          <w:szCs w:val="24"/>
          <w:color w:val="auto"/>
        </w:rPr>
      </w:pPr>
    </w:p>
    <w:p>
      <w:pPr>
        <w:jc w:val="center"/>
        <w:ind w:right="100"/>
        <w:spacing w:after="0"/>
        <w:rPr>
          <w:sz w:val="20"/>
          <w:szCs w:val="20"/>
          <w:color w:val="auto"/>
        </w:rPr>
      </w:pPr>
      <w:r>
        <w:rPr>
          <w:rFonts w:ascii="Arial" w:cs="Arial" w:eastAsia="Arial" w:hAnsi="Arial"/>
          <w:sz w:val="12"/>
          <w:szCs w:val="12"/>
          <w:color w:val="auto"/>
        </w:rPr>
        <w:t>(Exact name of registrant as specified in its charter)</w:t>
      </w:r>
    </w:p>
    <w:p>
      <w:pPr>
        <w:spacing w:after="0" w:line="31" w:lineRule="exact"/>
        <w:rPr>
          <w:sz w:val="24"/>
          <w:szCs w:val="24"/>
          <w:color w:val="auto"/>
        </w:rPr>
      </w:pPr>
    </w:p>
    <w:tbl>
      <w:tblPr>
        <w:tblLayout w:type="fixed"/>
        <w:tblInd w:w="1160" w:type="dxa"/>
        <w:tblCellMar>
          <w:top w:w="0" w:type="dxa"/>
          <w:left w:w="0" w:type="dxa"/>
          <w:bottom w:w="0" w:type="dxa"/>
          <w:right w:w="0" w:type="dxa"/>
        </w:tblCellMar>
      </w:tblPr>
      <w:tr>
        <w:trPr>
          <w:trHeight w:val="223"/>
        </w:trPr>
        <w:tc>
          <w:tcPr>
            <w:tcW w:w="4780" w:type="dxa"/>
            <w:vAlign w:val="bottom"/>
          </w:tcPr>
          <w:p>
            <w:pPr>
              <w:jc w:val="center"/>
              <w:ind w:right="1387"/>
              <w:spacing w:after="0"/>
              <w:rPr>
                <w:sz w:val="20"/>
                <w:szCs w:val="20"/>
                <w:color w:val="auto"/>
              </w:rPr>
            </w:pPr>
            <w:r>
              <w:rPr>
                <w:rFonts w:ascii="Arial" w:cs="Arial" w:eastAsia="Arial" w:hAnsi="Arial"/>
                <w:sz w:val="17"/>
                <w:szCs w:val="17"/>
                <w:b w:val="1"/>
                <w:bCs w:val="1"/>
                <w:color w:val="auto"/>
                <w:w w:val="96"/>
              </w:rPr>
              <w:t>Delaware</w:t>
            </w:r>
          </w:p>
        </w:tc>
        <w:tc>
          <w:tcPr>
            <w:tcW w:w="3500" w:type="dxa"/>
            <w:vAlign w:val="bottom"/>
          </w:tcPr>
          <w:p>
            <w:pPr>
              <w:jc w:val="right"/>
              <w:ind w:right="526"/>
              <w:spacing w:after="0"/>
              <w:rPr>
                <w:sz w:val="20"/>
                <w:szCs w:val="20"/>
                <w:color w:val="auto"/>
              </w:rPr>
            </w:pPr>
            <w:r>
              <w:rPr>
                <w:rFonts w:ascii="Arial" w:cs="Arial" w:eastAsia="Arial" w:hAnsi="Arial"/>
                <w:sz w:val="17"/>
                <w:szCs w:val="17"/>
                <w:b w:val="1"/>
                <w:bCs w:val="1"/>
                <w:color w:val="auto"/>
              </w:rPr>
              <w:t>32-0420206</w:t>
            </w:r>
          </w:p>
        </w:tc>
      </w:tr>
      <w:tr>
        <w:trPr>
          <w:trHeight w:val="178"/>
        </w:trPr>
        <w:tc>
          <w:tcPr>
            <w:tcW w:w="4780" w:type="dxa"/>
            <w:vAlign w:val="bottom"/>
          </w:tcPr>
          <w:p>
            <w:pPr>
              <w:jc w:val="center"/>
              <w:ind w:right="1387"/>
              <w:spacing w:after="0"/>
              <w:rPr>
                <w:sz w:val="20"/>
                <w:szCs w:val="20"/>
                <w:color w:val="auto"/>
              </w:rPr>
            </w:pPr>
            <w:r>
              <w:rPr>
                <w:rFonts w:ascii="Arial" w:cs="Arial" w:eastAsia="Arial" w:hAnsi="Arial"/>
                <w:sz w:val="14"/>
                <w:szCs w:val="14"/>
                <w:color w:val="auto"/>
                <w:w w:val="91"/>
              </w:rPr>
              <w:t>(State or other jurisdiction of incorporation or organization)</w:t>
            </w:r>
          </w:p>
        </w:tc>
        <w:tc>
          <w:tcPr>
            <w:tcW w:w="3500" w:type="dxa"/>
            <w:vAlign w:val="bottom"/>
          </w:tcPr>
          <w:p>
            <w:pPr>
              <w:jc w:val="center"/>
              <w:ind w:left="1386"/>
              <w:spacing w:after="0"/>
              <w:rPr>
                <w:sz w:val="20"/>
                <w:szCs w:val="20"/>
                <w:color w:val="auto"/>
              </w:rPr>
            </w:pPr>
            <w:r>
              <w:rPr>
                <w:rFonts w:ascii="Arial" w:cs="Arial" w:eastAsia="Arial" w:hAnsi="Arial"/>
                <w:sz w:val="14"/>
                <w:szCs w:val="14"/>
                <w:color w:val="auto"/>
                <w:w w:val="94"/>
              </w:rPr>
              <w:t>(I.R.S. Employer Identification No.)</w:t>
            </w:r>
          </w:p>
        </w:tc>
      </w:tr>
      <w:tr>
        <w:trPr>
          <w:trHeight w:val="341"/>
        </w:trPr>
        <w:tc>
          <w:tcPr>
            <w:tcW w:w="4780" w:type="dxa"/>
            <w:vAlign w:val="bottom"/>
          </w:tcPr>
          <w:p>
            <w:pPr>
              <w:jc w:val="center"/>
              <w:ind w:right="447"/>
              <w:spacing w:after="0"/>
              <w:rPr>
                <w:sz w:val="20"/>
                <w:szCs w:val="20"/>
                <w:color w:val="auto"/>
              </w:rPr>
            </w:pPr>
            <w:r>
              <w:rPr>
                <w:rFonts w:ascii="Arial" w:cs="Arial" w:eastAsia="Arial" w:hAnsi="Arial"/>
                <w:sz w:val="14"/>
                <w:szCs w:val="14"/>
                <w:b w:val="1"/>
                <w:bCs w:val="1"/>
                <w:color w:val="auto"/>
                <w:w w:val="93"/>
              </w:rPr>
              <w:t>One Liberty Plaza</w:t>
            </w:r>
          </w:p>
        </w:tc>
        <w:tc>
          <w:tcPr>
            <w:tcW w:w="3500" w:type="dxa"/>
            <w:vAlign w:val="bottom"/>
          </w:tcPr>
          <w:p>
            <w:pPr>
              <w:spacing w:after="0"/>
              <w:rPr>
                <w:sz w:val="24"/>
                <w:szCs w:val="24"/>
                <w:color w:val="auto"/>
              </w:rPr>
            </w:pPr>
          </w:p>
        </w:tc>
      </w:tr>
      <w:tr>
        <w:trPr>
          <w:trHeight w:val="210"/>
        </w:trPr>
        <w:tc>
          <w:tcPr>
            <w:tcW w:w="4780" w:type="dxa"/>
            <w:vAlign w:val="bottom"/>
          </w:tcPr>
          <w:p>
            <w:pPr>
              <w:jc w:val="center"/>
              <w:ind w:right="447"/>
              <w:spacing w:after="0"/>
              <w:rPr>
                <w:sz w:val="20"/>
                <w:szCs w:val="20"/>
                <w:color w:val="auto"/>
              </w:rPr>
            </w:pPr>
            <w:r>
              <w:rPr>
                <w:rFonts w:ascii="Arial" w:cs="Arial" w:eastAsia="Arial" w:hAnsi="Arial"/>
                <w:sz w:val="14"/>
                <w:szCs w:val="14"/>
                <w:b w:val="1"/>
                <w:bCs w:val="1"/>
                <w:color w:val="auto"/>
                <w:w w:val="91"/>
              </w:rPr>
              <w:t>165 Broadway</w:t>
            </w:r>
          </w:p>
        </w:tc>
        <w:tc>
          <w:tcPr>
            <w:tcW w:w="3500" w:type="dxa"/>
            <w:vAlign w:val="bottom"/>
          </w:tcPr>
          <w:p>
            <w:pPr>
              <w:spacing w:after="0"/>
              <w:rPr>
                <w:sz w:val="18"/>
                <w:szCs w:val="18"/>
                <w:color w:val="auto"/>
              </w:rPr>
            </w:pPr>
          </w:p>
        </w:tc>
      </w:tr>
      <w:tr>
        <w:trPr>
          <w:trHeight w:val="196"/>
        </w:trPr>
        <w:tc>
          <w:tcPr>
            <w:tcW w:w="4780" w:type="dxa"/>
            <w:vAlign w:val="bottom"/>
          </w:tcPr>
          <w:p>
            <w:pPr>
              <w:ind w:left="1480"/>
              <w:spacing w:after="0"/>
              <w:rPr>
                <w:sz w:val="20"/>
                <w:szCs w:val="20"/>
                <w:color w:val="auto"/>
              </w:rPr>
            </w:pPr>
            <w:r>
              <w:rPr>
                <w:rFonts w:ascii="Arial" w:cs="Arial" w:eastAsia="Arial" w:hAnsi="Arial"/>
                <w:sz w:val="14"/>
                <w:szCs w:val="14"/>
                <w:b w:val="1"/>
                <w:bCs w:val="1"/>
                <w:color w:val="auto"/>
              </w:rPr>
              <w:t>New York, New York</w:t>
            </w:r>
          </w:p>
        </w:tc>
        <w:tc>
          <w:tcPr>
            <w:tcW w:w="3500" w:type="dxa"/>
            <w:vAlign w:val="bottom"/>
          </w:tcPr>
          <w:p>
            <w:pPr>
              <w:jc w:val="right"/>
              <w:ind w:right="1226"/>
              <w:spacing w:after="0"/>
              <w:rPr>
                <w:sz w:val="20"/>
                <w:szCs w:val="20"/>
                <w:color w:val="auto"/>
              </w:rPr>
            </w:pPr>
            <w:r>
              <w:rPr>
                <w:rFonts w:ascii="Arial" w:cs="Arial" w:eastAsia="Arial" w:hAnsi="Arial"/>
                <w:sz w:val="14"/>
                <w:szCs w:val="14"/>
                <w:b w:val="1"/>
                <w:bCs w:val="1"/>
                <w:color w:val="auto"/>
              </w:rPr>
              <w:t>10006</w:t>
            </w:r>
          </w:p>
        </w:tc>
      </w:tr>
      <w:tr>
        <w:trPr>
          <w:trHeight w:val="183"/>
        </w:trPr>
        <w:tc>
          <w:tcPr>
            <w:tcW w:w="4780" w:type="dxa"/>
            <w:vAlign w:val="bottom"/>
          </w:tcPr>
          <w:p>
            <w:pPr>
              <w:jc w:val="center"/>
              <w:ind w:right="447"/>
              <w:spacing w:after="0"/>
              <w:rPr>
                <w:sz w:val="20"/>
                <w:szCs w:val="20"/>
                <w:color w:val="auto"/>
              </w:rPr>
            </w:pPr>
            <w:r>
              <w:rPr>
                <w:rFonts w:ascii="Arial" w:cs="Arial" w:eastAsia="Arial" w:hAnsi="Arial"/>
                <w:sz w:val="14"/>
                <w:szCs w:val="14"/>
                <w:color w:val="auto"/>
                <w:w w:val="92"/>
              </w:rPr>
              <w:t>(Address of principal executive offices)</w:t>
            </w:r>
          </w:p>
        </w:tc>
        <w:tc>
          <w:tcPr>
            <w:tcW w:w="3500" w:type="dxa"/>
            <w:vAlign w:val="bottom"/>
          </w:tcPr>
          <w:p>
            <w:pPr>
              <w:jc w:val="center"/>
              <w:ind w:left="486"/>
              <w:spacing w:after="0"/>
              <w:rPr>
                <w:sz w:val="20"/>
                <w:szCs w:val="20"/>
                <w:color w:val="auto"/>
              </w:rPr>
            </w:pPr>
            <w:r>
              <w:rPr>
                <w:rFonts w:ascii="Arial" w:cs="Arial" w:eastAsia="Arial" w:hAnsi="Arial"/>
                <w:sz w:val="14"/>
                <w:szCs w:val="14"/>
                <w:color w:val="auto"/>
                <w:w w:val="93"/>
              </w:rPr>
              <w:t>(Zip Code)</w:t>
            </w:r>
          </w:p>
        </w:tc>
      </w:tr>
    </w:tbl>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(212) 418-0100</w:t>
      </w:r>
    </w:p>
    <w:p>
      <w:pPr>
        <w:spacing w:after="0" w:line="43"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(Registrant’s telephone number, including area code)</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 w:lineRule="exact"/>
        <w:rPr>
          <w:sz w:val="24"/>
          <w:szCs w:val="24"/>
          <w:color w:val="auto"/>
        </w:rPr>
      </w:pPr>
    </w:p>
    <w:tbl>
      <w:tblPr>
        <w:tblLayout w:type="fixed"/>
        <w:tblInd w:w="380" w:type="dxa"/>
        <w:tblCellMar>
          <w:top w:w="0" w:type="dxa"/>
          <w:left w:w="0" w:type="dxa"/>
          <w:bottom w:w="0" w:type="dxa"/>
          <w:right w:w="0" w:type="dxa"/>
        </w:tblCellMar>
      </w:tblPr>
      <w:tr>
        <w:trPr>
          <w:trHeight w:val="188"/>
        </w:trPr>
        <w:tc>
          <w:tcPr>
            <w:tcW w:w="442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ind w:left="246"/>
              <w:spacing w:after="0"/>
              <w:rPr>
                <w:sz w:val="20"/>
                <w:szCs w:val="20"/>
                <w:color w:val="auto"/>
              </w:rPr>
            </w:pPr>
            <w:r>
              <w:rPr>
                <w:rFonts w:ascii="Arial" w:cs="Arial" w:eastAsia="Arial" w:hAnsi="Arial"/>
                <w:sz w:val="14"/>
                <w:szCs w:val="14"/>
                <w:b w:val="1"/>
                <w:bCs w:val="1"/>
                <w:color w:val="auto"/>
                <w:w w:val="88"/>
              </w:rPr>
              <w:t>Trading symbol(s)</w:t>
            </w:r>
          </w:p>
        </w:tc>
        <w:tc>
          <w:tcPr>
            <w:tcW w:w="120" w:type="dxa"/>
            <w:vAlign w:val="bottom"/>
            <w:tcBorders>
              <w:bottom w:val="single" w:sz="8" w:color="CCEEFF"/>
            </w:tcBorders>
          </w:tcPr>
          <w:p>
            <w:pPr>
              <w:spacing w:after="0"/>
              <w:rPr>
                <w:sz w:val="16"/>
                <w:szCs w:val="16"/>
                <w:color w:val="auto"/>
              </w:rPr>
            </w:pPr>
          </w:p>
        </w:tc>
        <w:tc>
          <w:tcPr>
            <w:tcW w:w="4060" w:type="dxa"/>
            <w:vAlign w:val="bottom"/>
            <w:tcBorders>
              <w:bottom w:val="single" w:sz="8" w:color="auto"/>
            </w:tcBorders>
          </w:tcPr>
          <w:p>
            <w:pPr>
              <w:jc w:val="center"/>
              <w:ind w:left="206"/>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08"/>
        </w:trPr>
        <w:tc>
          <w:tcPr>
            <w:tcW w:w="45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Class A common stock, par value $0.00001 per share</w:t>
            </w:r>
          </w:p>
        </w:tc>
        <w:tc>
          <w:tcPr>
            <w:tcW w:w="2240" w:type="dxa"/>
            <w:vAlign w:val="bottom"/>
            <w:gridSpan w:val="2"/>
            <w:shd w:val="clear" w:color="auto" w:fill="CCEEFF"/>
          </w:tcPr>
          <w:p>
            <w:pPr>
              <w:jc w:val="center"/>
              <w:ind w:left="126"/>
              <w:spacing w:after="0"/>
              <w:rPr>
                <w:sz w:val="20"/>
                <w:szCs w:val="20"/>
                <w:color w:val="auto"/>
              </w:rPr>
            </w:pPr>
            <w:r>
              <w:rPr>
                <w:rFonts w:ascii="Arial" w:cs="Arial" w:eastAsia="Arial" w:hAnsi="Arial"/>
                <w:sz w:val="16"/>
                <w:szCs w:val="16"/>
                <w:color w:val="auto"/>
                <w:w w:val="98"/>
              </w:rPr>
              <w:t>VIRT</w:t>
            </w:r>
          </w:p>
        </w:tc>
        <w:tc>
          <w:tcPr>
            <w:tcW w:w="4060" w:type="dxa"/>
            <w:vAlign w:val="bottom"/>
            <w:shd w:val="clear" w:color="auto" w:fill="CCEEFF"/>
          </w:tcPr>
          <w:p>
            <w:pPr>
              <w:jc w:val="center"/>
              <w:ind w:left="206"/>
              <w:spacing w:after="0"/>
              <w:rPr>
                <w:sz w:val="20"/>
                <w:szCs w:val="20"/>
                <w:color w:val="auto"/>
              </w:rPr>
            </w:pPr>
            <w:r>
              <w:rPr>
                <w:rFonts w:ascii="Arial" w:cs="Arial" w:eastAsia="Arial" w:hAnsi="Arial"/>
                <w:sz w:val="16"/>
                <w:szCs w:val="16"/>
                <w:color w:val="auto"/>
                <w:w w:val="94"/>
              </w:rPr>
              <w:t>The NASDAQ Stock Market LLC</w:t>
            </w:r>
          </w:p>
        </w:tc>
      </w:tr>
    </w:tbl>
    <w:p>
      <w:pPr>
        <w:spacing w:after="0" w:line="95" w:lineRule="exact"/>
        <w:rPr>
          <w:sz w:val="24"/>
          <w:szCs w:val="24"/>
          <w:color w:val="auto"/>
        </w:rPr>
      </w:pPr>
    </w:p>
    <w:p>
      <w:pPr>
        <w:jc w:val="both"/>
        <w:ind w:right="180" w:firstLine="314"/>
        <w:spacing w:after="0" w:line="298"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5"/>
        <w:spacing w:after="0" w:line="184" w:lineRule="exact"/>
        <w:tabs>
          <w:tab w:leader="none" w:pos="200" w:val="left"/>
        </w:tabs>
        <w:numPr>
          <w:ilvl w:val="0"/>
          <w:numId w:val="3"/>
        </w:numPr>
        <w:rPr>
          <w:rFonts w:ascii="MS PGothic" w:cs="MS PGothic" w:eastAsia="MS PGothic" w:hAnsi="MS PGothic"/>
          <w:sz w:val="17"/>
          <w:szCs w:val="17"/>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6" w:lineRule="exact"/>
        <w:rPr>
          <w:sz w:val="24"/>
          <w:szCs w:val="24"/>
          <w:color w:val="auto"/>
        </w:rPr>
      </w:pPr>
    </w:p>
    <w:p>
      <w:pPr>
        <w:ind w:right="520" w:firstLine="314"/>
        <w:spacing w:after="0" w:line="21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6" w:lineRule="exact"/>
        <w:rPr>
          <w:sz w:val="24"/>
          <w:szCs w:val="24"/>
          <w:color w:val="auto"/>
        </w:rPr>
      </w:pPr>
    </w:p>
    <w:p>
      <w:pPr>
        <w:ind w:right="260" w:firstLine="314"/>
        <w:spacing w:after="0" w:line="37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p>
      <w:pPr>
        <w:jc w:val="right"/>
        <w:ind w:left="1180" w:right="880"/>
        <w:spacing w:after="0" w:line="236"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24"/>
          <w:szCs w:val="24"/>
          <w:color w:val="auto"/>
          <w:vertAlign w:val="superscript"/>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184" w:lineRule="exact"/>
        <w:rPr>
          <w:sz w:val="24"/>
          <w:szCs w:val="24"/>
          <w:color w:val="auto"/>
        </w:rPr>
      </w:pPr>
    </w:p>
    <w:p>
      <w:pPr>
        <w:ind w:right="100" w:firstLine="314"/>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tbl>
      <w:tblPr>
        <w:tblLayout w:type="fixed"/>
        <w:tblInd w:w="480" w:type="dxa"/>
        <w:tblCellMar>
          <w:top w:w="0" w:type="dxa"/>
          <w:left w:w="0" w:type="dxa"/>
          <w:bottom w:w="0" w:type="dxa"/>
          <w:right w:w="0" w:type="dxa"/>
        </w:tblCellMar>
      </w:tblPr>
      <w:tr>
        <w:trPr>
          <w:trHeight w:val="161"/>
        </w:trPr>
        <w:tc>
          <w:tcPr>
            <w:tcW w:w="8680" w:type="dxa"/>
            <w:vAlign w:val="bottom"/>
            <w:vMerge w:val="restart"/>
          </w:tcPr>
          <w:p>
            <w:pPr>
              <w:ind w:left="4160"/>
              <w:spacing w:after="0"/>
              <w:rPr>
                <w:sz w:val="20"/>
                <w:szCs w:val="20"/>
                <w:color w:val="auto"/>
              </w:rPr>
            </w:pPr>
            <w:r>
              <w:rPr>
                <w:rFonts w:ascii="Arial" w:cs="Arial" w:eastAsia="Arial" w:hAnsi="Arial"/>
                <w:sz w:val="14"/>
                <w:szCs w:val="14"/>
                <w:b w:val="1"/>
                <w:bCs w:val="1"/>
                <w:color w:val="auto"/>
              </w:rPr>
              <w:t>Class of Stock</w:t>
            </w:r>
          </w:p>
        </w:tc>
        <w:tc>
          <w:tcPr>
            <w:tcW w:w="100" w:type="dxa"/>
            <w:vAlign w:val="bottom"/>
            <w:vMerge w:val="restart"/>
          </w:tcPr>
          <w:p>
            <w:pPr>
              <w:spacing w:after="0"/>
              <w:rPr>
                <w:sz w:val="14"/>
                <w:szCs w:val="14"/>
                <w:color w:val="auto"/>
              </w:rPr>
            </w:pPr>
          </w:p>
        </w:tc>
        <w:tc>
          <w:tcPr>
            <w:tcW w:w="2040" w:type="dxa"/>
            <w:vAlign w:val="bottom"/>
          </w:tcPr>
          <w:p>
            <w:pPr>
              <w:ind w:left="540"/>
              <w:spacing w:after="0"/>
              <w:rPr>
                <w:sz w:val="20"/>
                <w:szCs w:val="20"/>
                <w:color w:val="auto"/>
              </w:rPr>
            </w:pPr>
            <w:r>
              <w:rPr>
                <w:rFonts w:ascii="Arial" w:cs="Arial" w:eastAsia="Arial" w:hAnsi="Arial"/>
                <w:sz w:val="14"/>
                <w:szCs w:val="14"/>
                <w:b w:val="1"/>
                <w:bCs w:val="1"/>
                <w:color w:val="auto"/>
                <w:w w:val="88"/>
              </w:rPr>
              <w:t>Shares outstanding as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August 4, 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Class A common stock, par value $0.00001 per share</w:t>
            </w:r>
          </w:p>
        </w:tc>
        <w:tc>
          <w:tcPr>
            <w:tcW w:w="2040" w:type="dxa"/>
            <w:vAlign w:val="bottom"/>
            <w:shd w:val="clear" w:color="auto" w:fill="CCEEFF"/>
          </w:tcPr>
          <w:p>
            <w:pPr>
              <w:jc w:val="center"/>
              <w:ind w:left="385"/>
              <w:spacing w:after="0"/>
              <w:rPr>
                <w:sz w:val="20"/>
                <w:szCs w:val="20"/>
                <w:color w:val="auto"/>
              </w:rPr>
            </w:pPr>
            <w:r>
              <w:rPr>
                <w:rFonts w:ascii="Arial" w:cs="Arial" w:eastAsia="Arial" w:hAnsi="Arial"/>
                <w:sz w:val="16"/>
                <w:szCs w:val="16"/>
                <w:color w:val="auto"/>
                <w:w w:val="87"/>
              </w:rPr>
              <w:t>117,386,677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gridSpan w:val="2"/>
          </w:tcPr>
          <w:p>
            <w:pPr>
              <w:ind w:left="480"/>
              <w:spacing w:after="0"/>
              <w:rPr>
                <w:sz w:val="20"/>
                <w:szCs w:val="20"/>
                <w:color w:val="auto"/>
              </w:rPr>
            </w:pPr>
            <w:r>
              <w:rPr>
                <w:rFonts w:ascii="Arial" w:cs="Arial" w:eastAsia="Arial" w:hAnsi="Arial"/>
                <w:sz w:val="16"/>
                <w:szCs w:val="16"/>
                <w:color w:val="auto"/>
              </w:rPr>
              <w:t>Class C common stock, par value $0.00001 per share</w:t>
            </w:r>
          </w:p>
        </w:tc>
        <w:tc>
          <w:tcPr>
            <w:tcW w:w="2040" w:type="dxa"/>
            <w:vAlign w:val="bottom"/>
          </w:tcPr>
          <w:p>
            <w:pPr>
              <w:jc w:val="center"/>
              <w:ind w:left="405"/>
              <w:spacing w:after="0"/>
              <w:rPr>
                <w:sz w:val="20"/>
                <w:szCs w:val="20"/>
                <w:color w:val="auto"/>
              </w:rPr>
            </w:pPr>
            <w:r>
              <w:rPr>
                <w:rFonts w:ascii="Arial" w:cs="Arial" w:eastAsia="Arial" w:hAnsi="Arial"/>
                <w:sz w:val="16"/>
                <w:szCs w:val="16"/>
                <w:color w:val="auto"/>
                <w:w w:val="89"/>
              </w:rPr>
              <w:t>9,791,375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Class D common stock, par value $0.00001 per share</w:t>
            </w:r>
          </w:p>
        </w:tc>
        <w:tc>
          <w:tcPr>
            <w:tcW w:w="2040" w:type="dxa"/>
            <w:vAlign w:val="bottom"/>
            <w:shd w:val="clear" w:color="auto" w:fill="CCEEFF"/>
          </w:tcPr>
          <w:p>
            <w:pPr>
              <w:jc w:val="center"/>
              <w:ind w:left="405"/>
              <w:spacing w:after="0"/>
              <w:rPr>
                <w:sz w:val="20"/>
                <w:szCs w:val="20"/>
                <w:color w:val="auto"/>
              </w:rPr>
            </w:pPr>
            <w:r>
              <w:rPr>
                <w:rFonts w:ascii="Arial" w:cs="Arial" w:eastAsia="Arial" w:hAnsi="Arial"/>
                <w:sz w:val="16"/>
                <w:szCs w:val="16"/>
                <w:color w:val="auto"/>
                <w:w w:val="89"/>
              </w:rPr>
              <w:t>60,091,740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64" w:right="23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INDEX TO FORM 10-Q</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THE QUARTER ENDED June 30, 2021</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PAGE</w:t>
            </w:r>
          </w:p>
        </w:tc>
      </w:tr>
      <w:tr>
        <w:trPr>
          <w:trHeight w:val="182"/>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NUMBER</w:t>
            </w:r>
          </w:p>
        </w:tc>
      </w:tr>
      <w:tr>
        <w:trPr>
          <w:trHeight w:val="400"/>
        </w:trPr>
        <w:tc>
          <w:tcPr>
            <w:tcW w:w="660" w:type="dxa"/>
            <w:vAlign w:val="bottom"/>
            <w:gridSpan w:val="2"/>
          </w:tcPr>
          <w:p>
            <w:pPr>
              <w:spacing w:after="0"/>
              <w:rPr>
                <w:sz w:val="20"/>
                <w:szCs w:val="20"/>
                <w:color w:val="auto"/>
              </w:rPr>
            </w:pPr>
            <w:r>
              <w:rPr>
                <w:rFonts w:ascii="Arial" w:cs="Arial" w:eastAsia="Arial" w:hAnsi="Arial"/>
                <w:sz w:val="17"/>
                <w:szCs w:val="17"/>
                <w:color w:val="0000FF"/>
                <w:w w:val="98"/>
              </w:rPr>
              <w:t>PART I -</w:t>
            </w:r>
          </w:p>
        </w:tc>
        <w:tc>
          <w:tcPr>
            <w:tcW w:w="760" w:type="dxa"/>
            <w:vAlign w:val="bottom"/>
            <w:gridSpan w:val="2"/>
          </w:tcPr>
          <w:p>
            <w:pPr>
              <w:spacing w:after="0"/>
              <w:rPr>
                <w:sz w:val="24"/>
                <w:szCs w:val="24"/>
                <w:color w:val="auto"/>
              </w:rPr>
            </w:pPr>
          </w:p>
        </w:tc>
        <w:tc>
          <w:tcPr>
            <w:tcW w:w="8560" w:type="dxa"/>
            <w:vAlign w:val="bottom"/>
            <w:gridSpan w:val="18"/>
          </w:tcPr>
          <w:p>
            <w:pPr>
              <w:spacing w:after="0"/>
              <w:rPr>
                <w:rFonts w:ascii="Arial" w:cs="Arial" w:eastAsia="Arial" w:hAnsi="Arial"/>
                <w:sz w:val="17"/>
                <w:szCs w:val="17"/>
                <w:color w:val="0000FF"/>
              </w:rPr>
            </w:pPr>
            <w:hyperlink w:anchor="page78">
              <w:r>
                <w:rPr>
                  <w:rFonts w:ascii="Arial" w:cs="Arial" w:eastAsia="Arial" w:hAnsi="Arial"/>
                  <w:sz w:val="17"/>
                  <w:szCs w:val="17"/>
                  <w:color w:val="0000FF"/>
                </w:rPr>
                <w:t>FINANCIAL INFORMATION</w:t>
              </w:r>
            </w:hyperlink>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rFonts w:ascii="Arial" w:cs="Arial" w:eastAsia="Arial" w:hAnsi="Arial"/>
                <w:sz w:val="17"/>
                <w:szCs w:val="17"/>
                <w:color w:val="0000FF"/>
                <w:w w:val="99"/>
              </w:rPr>
            </w:pPr>
            <w:hyperlink w:anchor="page3">
              <w:r>
                <w:rPr>
                  <w:rFonts w:ascii="Arial" w:cs="Arial" w:eastAsia="Arial" w:hAnsi="Arial"/>
                  <w:sz w:val="17"/>
                  <w:szCs w:val="17"/>
                  <w:color w:val="0000FF"/>
                  <w:w w:val="99"/>
                </w:rPr>
                <w:t>Item 1.</w:t>
              </w:r>
            </w:hyperlink>
          </w:p>
        </w:tc>
        <w:tc>
          <w:tcPr>
            <w:tcW w:w="120" w:type="dxa"/>
            <w:vAlign w:val="bottom"/>
            <w:tcBorders>
              <w:top w:val="single" w:sz="8" w:color="0000FF"/>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1460" w:type="dxa"/>
            <w:vAlign w:val="bottom"/>
            <w:tcBorders>
              <w:top w:val="single" w:sz="8" w:color="0000FF"/>
              <w:bottom w:val="single" w:sz="8" w:color="0000FF"/>
            </w:tcBorders>
            <w:gridSpan w:val="6"/>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Financial Statements</w:t>
              </w:r>
            </w:hyperlink>
          </w:p>
        </w:tc>
        <w:tc>
          <w:tcPr>
            <w:tcW w:w="720" w:type="dxa"/>
            <w:vAlign w:val="bottom"/>
            <w:tcBorders>
              <w:top w:val="single" w:sz="8" w:color="0000FF"/>
            </w:tcBorders>
            <w:gridSpan w:val="3"/>
          </w:tcPr>
          <w:p>
            <w:pPr>
              <w:spacing w:after="0"/>
              <w:rPr>
                <w:sz w:val="24"/>
                <w:szCs w:val="24"/>
                <w:color w:val="auto"/>
              </w:rPr>
            </w:pPr>
          </w:p>
        </w:tc>
        <w:tc>
          <w:tcPr>
            <w:tcW w:w="6380" w:type="dxa"/>
            <w:vAlign w:val="bottom"/>
            <w:gridSpan w:val="9"/>
          </w:tcPr>
          <w:p>
            <w:pPr>
              <w:spacing w:after="0"/>
              <w:rPr>
                <w:sz w:val="24"/>
                <w:szCs w:val="24"/>
                <w:color w:val="auto"/>
              </w:rPr>
            </w:pPr>
          </w:p>
        </w:tc>
        <w:tc>
          <w:tcPr>
            <w:tcW w:w="1160" w:type="dxa"/>
            <w:vAlign w:val="bottom"/>
          </w:tcPr>
          <w:p>
            <w:pPr>
              <w:spacing w:after="0"/>
              <w:rPr>
                <w:sz w:val="24"/>
                <w:szCs w:val="24"/>
                <w:color w:val="auto"/>
              </w:rPr>
            </w:pPr>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60" w:type="dxa"/>
            <w:vAlign w:val="bottom"/>
            <w:tcBorders>
              <w:bottom w:val="single" w:sz="8" w:color="0000FF"/>
            </w:tcBorders>
            <w:gridSpan w:val="15"/>
          </w:tcPr>
          <w:p>
            <w:pPr>
              <w:spacing w:after="0"/>
              <w:rPr>
                <w:rFonts w:ascii="Arial" w:cs="Arial" w:eastAsia="Arial" w:hAnsi="Arial"/>
                <w:sz w:val="17"/>
                <w:szCs w:val="17"/>
                <w:color w:val="0000FF"/>
                <w:w w:val="92"/>
              </w:rPr>
            </w:pPr>
            <w:hyperlink w:anchor="page3">
              <w:r>
                <w:rPr>
                  <w:rFonts w:ascii="Arial" w:cs="Arial" w:eastAsia="Arial" w:hAnsi="Arial"/>
                  <w:sz w:val="17"/>
                  <w:szCs w:val="17"/>
                  <w:color w:val="0000FF"/>
                  <w:w w:val="92"/>
                </w:rPr>
                <w:t>Condensed Consolidated Statements of Financial Condition (Unaudited)</w:t>
              </w:r>
            </w:hyperlink>
          </w:p>
        </w:tc>
        <w:tc>
          <w:tcPr>
            <w:tcW w:w="3500" w:type="dxa"/>
            <w:vAlign w:val="bottom"/>
            <w:gridSpan w:val="3"/>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20" w:type="dxa"/>
            <w:vAlign w:val="bottom"/>
            <w:tcBorders>
              <w:bottom w:val="single" w:sz="8" w:color="0000FF"/>
            </w:tcBorders>
            <w:gridSpan w:val="16"/>
          </w:tcPr>
          <w:p>
            <w:pPr>
              <w:spacing w:after="0"/>
              <w:rPr>
                <w:rFonts w:ascii="Arial" w:cs="Arial" w:eastAsia="Arial" w:hAnsi="Arial"/>
                <w:sz w:val="17"/>
                <w:szCs w:val="17"/>
                <w:color w:val="0000FF"/>
                <w:w w:val="92"/>
              </w:rPr>
            </w:pPr>
            <w:hyperlink w:anchor="page5">
              <w:r>
                <w:rPr>
                  <w:rFonts w:ascii="Arial" w:cs="Arial" w:eastAsia="Arial" w:hAnsi="Arial"/>
                  <w:sz w:val="17"/>
                  <w:szCs w:val="17"/>
                  <w:color w:val="0000FF"/>
                  <w:w w:val="92"/>
                </w:rPr>
                <w:t>Condensed Consolidated Statements of Comprehensive Income (Loss) (Unaudited)</w:t>
              </w:r>
            </w:hyperlink>
          </w:p>
        </w:tc>
        <w:tc>
          <w:tcPr>
            <w:tcW w:w="2740" w:type="dxa"/>
            <w:vAlign w:val="bottom"/>
            <w:gridSpan w:val="2"/>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960" w:type="dxa"/>
            <w:vAlign w:val="bottom"/>
            <w:tcBorders>
              <w:bottom w:val="single" w:sz="8" w:color="0000FF"/>
            </w:tcBorders>
            <w:gridSpan w:val="14"/>
          </w:tcPr>
          <w:p>
            <w:pPr>
              <w:spacing w:after="0"/>
              <w:rPr>
                <w:rFonts w:ascii="Arial" w:cs="Arial" w:eastAsia="Arial" w:hAnsi="Arial"/>
                <w:sz w:val="17"/>
                <w:szCs w:val="17"/>
                <w:color w:val="0000FF"/>
                <w:w w:val="92"/>
              </w:rPr>
            </w:pPr>
            <w:hyperlink w:anchor="page6">
              <w:r>
                <w:rPr>
                  <w:rFonts w:ascii="Arial" w:cs="Arial" w:eastAsia="Arial" w:hAnsi="Arial"/>
                  <w:sz w:val="17"/>
                  <w:szCs w:val="17"/>
                  <w:color w:val="0000FF"/>
                  <w:w w:val="92"/>
                </w:rPr>
                <w:t>Condensed Consolidated Statements of Changes in Equity (Unaudited)</w:t>
              </w:r>
            </w:hyperlink>
          </w:p>
        </w:tc>
        <w:tc>
          <w:tcPr>
            <w:tcW w:w="3600" w:type="dxa"/>
            <w:vAlign w:val="bottom"/>
            <w:gridSpan w:val="4"/>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8"/>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Condensed Consolidated Statements of Cash Flows (Unaudited)</w:t>
              </w:r>
            </w:hyperlink>
          </w:p>
        </w:tc>
        <w:tc>
          <w:tcPr>
            <w:tcW w:w="1160" w:type="dxa"/>
            <w:vAlign w:val="bottom"/>
          </w:tcPr>
          <w:p>
            <w:pPr>
              <w:jc w:val="right"/>
              <w:spacing w:after="0"/>
              <w:rPr>
                <w:rFonts w:ascii="Arial" w:cs="Arial" w:eastAsia="Arial" w:hAnsi="Arial"/>
                <w:sz w:val="17"/>
                <w:szCs w:val="17"/>
                <w:color w:val="0000FF"/>
              </w:rPr>
            </w:pPr>
            <w:hyperlink w:anchor="page8">
              <w:r>
                <w:rPr>
                  <w:rFonts w:ascii="Arial" w:cs="Arial" w:eastAsia="Arial" w:hAnsi="Arial"/>
                  <w:sz w:val="17"/>
                  <w:szCs w:val="17"/>
                  <w:color w:val="0000FF"/>
                </w:rPr>
                <w:t>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60" w:type="dxa"/>
            <w:vAlign w:val="bottom"/>
            <w:tcBorders>
              <w:bottom w:val="single" w:sz="8" w:color="0000FF"/>
            </w:tcBorders>
            <w:gridSpan w:val="13"/>
          </w:tcPr>
          <w:p>
            <w:pPr>
              <w:spacing w:after="0"/>
              <w:rPr>
                <w:rFonts w:ascii="Arial" w:cs="Arial" w:eastAsia="Arial" w:hAnsi="Arial"/>
                <w:sz w:val="17"/>
                <w:szCs w:val="17"/>
                <w:color w:val="0000FF"/>
                <w:w w:val="91"/>
              </w:rPr>
            </w:pPr>
            <w:hyperlink w:anchor="page10">
              <w:r>
                <w:rPr>
                  <w:rFonts w:ascii="Arial" w:cs="Arial" w:eastAsia="Arial" w:hAnsi="Arial"/>
                  <w:sz w:val="17"/>
                  <w:szCs w:val="17"/>
                  <w:color w:val="0000FF"/>
                  <w:w w:val="91"/>
                </w:rPr>
                <w:t>Notes to Condensed Consolidated Financial Statements (Unaudited)</w:t>
              </w:r>
            </w:hyperlink>
          </w:p>
        </w:tc>
        <w:tc>
          <w:tcPr>
            <w:tcW w:w="3800" w:type="dxa"/>
            <w:vAlign w:val="bottom"/>
            <w:gridSpan w:val="5"/>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10">
              <w:r>
                <w:rPr>
                  <w:rFonts w:ascii="Arial" w:cs="Arial" w:eastAsia="Arial" w:hAnsi="Arial"/>
                  <w:sz w:val="17"/>
                  <w:szCs w:val="17"/>
                  <w:color w:val="0000FF"/>
                </w:rPr>
                <w:t>10</w:t>
              </w:r>
            </w:hyperlink>
          </w:p>
        </w:tc>
      </w:tr>
      <w:tr>
        <w:trPr>
          <w:trHeight w:val="425"/>
        </w:trPr>
        <w:tc>
          <w:tcPr>
            <w:tcW w:w="540" w:type="dxa"/>
            <w:vAlign w:val="bottom"/>
          </w:tcPr>
          <w:p>
            <w:pPr>
              <w:spacing w:after="0"/>
              <w:rPr>
                <w:rFonts w:ascii="Arial" w:cs="Arial" w:eastAsia="Arial" w:hAnsi="Arial"/>
                <w:sz w:val="17"/>
                <w:szCs w:val="17"/>
                <w:color w:val="0000FF"/>
                <w:w w:val="99"/>
              </w:rPr>
            </w:pPr>
            <w:hyperlink w:anchor="page46">
              <w:r>
                <w:rPr>
                  <w:rFonts w:ascii="Arial" w:cs="Arial" w:eastAsia="Arial" w:hAnsi="Arial"/>
                  <w:sz w:val="17"/>
                  <w:szCs w:val="17"/>
                  <w:color w:val="0000FF"/>
                  <w:w w:val="99"/>
                </w:rPr>
                <w:t>Item 2.</w:t>
              </w:r>
            </w:hyperlink>
          </w:p>
        </w:tc>
        <w:tc>
          <w:tcPr>
            <w:tcW w:w="880" w:type="dxa"/>
            <w:vAlign w:val="bottom"/>
            <w:gridSpan w:val="3"/>
          </w:tcPr>
          <w:p>
            <w:pPr>
              <w:spacing w:after="0"/>
              <w:rPr>
                <w:sz w:val="24"/>
                <w:szCs w:val="24"/>
                <w:color w:val="auto"/>
              </w:rPr>
            </w:pPr>
          </w:p>
        </w:tc>
        <w:tc>
          <w:tcPr>
            <w:tcW w:w="8560" w:type="dxa"/>
            <w:vAlign w:val="bottom"/>
            <w:gridSpan w:val="18"/>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Management’s Discussion and Analysis of Financial Condition and Results of Operations</w:t>
              </w:r>
            </w:hyperlink>
          </w:p>
        </w:tc>
        <w:tc>
          <w:tcPr>
            <w:tcW w:w="1160" w:type="dxa"/>
            <w:vAlign w:val="bottom"/>
          </w:tcPr>
          <w:p>
            <w:pPr>
              <w:jc w:val="right"/>
              <w:spacing w:after="0"/>
              <w:rPr>
                <w:rFonts w:ascii="Arial" w:cs="Arial" w:eastAsia="Arial" w:hAnsi="Arial"/>
                <w:sz w:val="17"/>
                <w:szCs w:val="17"/>
                <w:color w:val="0000FF"/>
              </w:rPr>
            </w:pPr>
            <w:hyperlink w:anchor="page46">
              <w:r>
                <w:rPr>
                  <w:rFonts w:ascii="Arial" w:cs="Arial" w:eastAsia="Arial" w:hAnsi="Arial"/>
                  <w:sz w:val="17"/>
                  <w:szCs w:val="17"/>
                  <w:color w:val="0000FF"/>
                </w:rPr>
                <w:t>46</w:t>
              </w:r>
            </w:hyperlink>
          </w:p>
        </w:tc>
      </w:tr>
      <w:tr>
        <w:trPr>
          <w:trHeight w:val="425"/>
        </w:trPr>
        <w:tc>
          <w:tcPr>
            <w:tcW w:w="540" w:type="dxa"/>
            <w:vAlign w:val="bottom"/>
            <w:tcBorders>
              <w:top w:val="single" w:sz="8" w:color="0000FF"/>
            </w:tcBorders>
          </w:tcPr>
          <w:p>
            <w:pPr>
              <w:spacing w:after="0"/>
              <w:rPr>
                <w:rFonts w:ascii="Arial" w:cs="Arial" w:eastAsia="Arial" w:hAnsi="Arial"/>
                <w:sz w:val="17"/>
                <w:szCs w:val="17"/>
                <w:color w:val="0000FF"/>
                <w:w w:val="99"/>
              </w:rPr>
            </w:pPr>
            <w:hyperlink w:anchor="page75">
              <w:r>
                <w:rPr>
                  <w:rFonts w:ascii="Arial" w:cs="Arial" w:eastAsia="Arial" w:hAnsi="Arial"/>
                  <w:sz w:val="17"/>
                  <w:szCs w:val="17"/>
                  <w:color w:val="0000FF"/>
                  <w:w w:val="99"/>
                </w:rPr>
                <w:t>Item 3.</w:t>
              </w:r>
            </w:hyperlink>
          </w:p>
        </w:tc>
        <w:tc>
          <w:tcPr>
            <w:tcW w:w="880" w:type="dxa"/>
            <w:vAlign w:val="bottom"/>
            <w:gridSpan w:val="3"/>
          </w:tcPr>
          <w:p>
            <w:pPr>
              <w:spacing w:after="0"/>
              <w:rPr>
                <w:sz w:val="24"/>
                <w:szCs w:val="24"/>
                <w:color w:val="auto"/>
              </w:rPr>
            </w:pPr>
          </w:p>
        </w:tc>
        <w:tc>
          <w:tcPr>
            <w:tcW w:w="6260" w:type="dxa"/>
            <w:vAlign w:val="bottom"/>
            <w:tcBorders>
              <w:top w:val="single" w:sz="8" w:color="0000FF"/>
            </w:tcBorders>
            <w:gridSpan w:val="17"/>
          </w:tcPr>
          <w:p>
            <w:pPr>
              <w:spacing w:after="0"/>
              <w:rPr>
                <w:rFonts w:ascii="Arial" w:cs="Arial" w:eastAsia="Arial" w:hAnsi="Arial"/>
                <w:sz w:val="17"/>
                <w:szCs w:val="17"/>
                <w:color w:val="0000FF"/>
              </w:rPr>
            </w:pPr>
            <w:hyperlink w:anchor="page75">
              <w:r>
                <w:rPr>
                  <w:rFonts w:ascii="Arial" w:cs="Arial" w:eastAsia="Arial" w:hAnsi="Arial"/>
                  <w:sz w:val="17"/>
                  <w:szCs w:val="17"/>
                  <w:color w:val="0000FF"/>
                </w:rPr>
                <w:t>Quantitative and Qualitative Disclosures About Market Risk</w:t>
              </w:r>
            </w:hyperlink>
          </w:p>
        </w:tc>
        <w:tc>
          <w:tcPr>
            <w:tcW w:w="2300" w:type="dxa"/>
            <w:vAlign w:val="bottom"/>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5">
              <w:r>
                <w:rPr>
                  <w:rFonts w:ascii="Arial" w:cs="Arial" w:eastAsia="Arial" w:hAnsi="Arial"/>
                  <w:sz w:val="17"/>
                  <w:szCs w:val="17"/>
                  <w:color w:val="0000FF"/>
                </w:rPr>
                <w:t>75</w:t>
              </w:r>
            </w:hyperlink>
          </w:p>
        </w:tc>
      </w:tr>
      <w:tr>
        <w:trPr>
          <w:trHeight w:val="425"/>
        </w:trPr>
        <w:tc>
          <w:tcPr>
            <w:tcW w:w="540" w:type="dxa"/>
            <w:vAlign w:val="bottom"/>
            <w:tcBorders>
              <w:top w:val="single" w:sz="8" w:color="0000FF"/>
              <w:bottom w:val="single" w:sz="8" w:color="0000FF"/>
            </w:tcBorders>
          </w:tcPr>
          <w:p>
            <w:pPr>
              <w:spacing w:after="0"/>
              <w:rPr>
                <w:rFonts w:ascii="Arial" w:cs="Arial" w:eastAsia="Arial" w:hAnsi="Arial"/>
                <w:sz w:val="17"/>
                <w:szCs w:val="17"/>
                <w:color w:val="0000FF"/>
                <w:w w:val="99"/>
              </w:rPr>
            </w:pPr>
            <w:hyperlink w:anchor="page78">
              <w:r>
                <w:rPr>
                  <w:rFonts w:ascii="Arial" w:cs="Arial" w:eastAsia="Arial" w:hAnsi="Arial"/>
                  <w:sz w:val="17"/>
                  <w:szCs w:val="17"/>
                  <w:color w:val="0000FF"/>
                  <w:w w:val="99"/>
                </w:rPr>
                <w:t>Item 4.</w:t>
              </w:r>
            </w:hyperlink>
          </w:p>
        </w:tc>
        <w:tc>
          <w:tcPr>
            <w:tcW w:w="880" w:type="dxa"/>
            <w:vAlign w:val="bottom"/>
            <w:gridSpan w:val="3"/>
          </w:tcPr>
          <w:p>
            <w:pPr>
              <w:spacing w:after="0"/>
              <w:rPr>
                <w:sz w:val="24"/>
                <w:szCs w:val="24"/>
                <w:color w:val="auto"/>
              </w:rPr>
            </w:pPr>
          </w:p>
        </w:tc>
        <w:tc>
          <w:tcPr>
            <w:tcW w:w="1720" w:type="dxa"/>
            <w:vAlign w:val="bottom"/>
            <w:tcBorders>
              <w:top w:val="single" w:sz="8" w:color="0000FF"/>
              <w:bottom w:val="single" w:sz="8" w:color="0000FF"/>
            </w:tcBorders>
            <w:gridSpan w:val="7"/>
          </w:tcPr>
          <w:p>
            <w:pPr>
              <w:spacing w:after="0"/>
              <w:rPr>
                <w:rFonts w:ascii="Arial" w:cs="Arial" w:eastAsia="Arial" w:hAnsi="Arial"/>
                <w:sz w:val="17"/>
                <w:szCs w:val="17"/>
                <w:color w:val="0000FF"/>
                <w:w w:val="90"/>
              </w:rPr>
            </w:pPr>
            <w:hyperlink w:anchor="page78">
              <w:r>
                <w:rPr>
                  <w:rFonts w:ascii="Arial" w:cs="Arial" w:eastAsia="Arial" w:hAnsi="Arial"/>
                  <w:sz w:val="17"/>
                  <w:szCs w:val="17"/>
                  <w:color w:val="0000FF"/>
                  <w:w w:val="90"/>
                </w:rPr>
                <w:t>Controls and Procedures</w:t>
              </w:r>
            </w:hyperlink>
          </w:p>
        </w:tc>
        <w:tc>
          <w:tcPr>
            <w:tcW w:w="2500" w:type="dxa"/>
            <w:vAlign w:val="bottom"/>
            <w:tcBorders>
              <w:top w:val="single" w:sz="8" w:color="0000FF"/>
            </w:tcBorders>
            <w:gridSpan w:val="4"/>
          </w:tcPr>
          <w:p>
            <w:pPr>
              <w:spacing w:after="0"/>
              <w:rPr>
                <w:sz w:val="24"/>
                <w:szCs w:val="24"/>
                <w:color w:val="auto"/>
              </w:rPr>
            </w:pPr>
          </w:p>
        </w:tc>
        <w:tc>
          <w:tcPr>
            <w:tcW w:w="4340" w:type="dxa"/>
            <w:vAlign w:val="bottom"/>
            <w:gridSpan w:val="7"/>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8">
              <w:r>
                <w:rPr>
                  <w:rFonts w:ascii="Arial" w:cs="Arial" w:eastAsia="Arial" w:hAnsi="Arial"/>
                  <w:sz w:val="17"/>
                  <w:szCs w:val="17"/>
                  <w:color w:val="0000FF"/>
                </w:rPr>
                <w:t>77</w:t>
              </w:r>
            </w:hyperlink>
          </w:p>
        </w:tc>
      </w:tr>
      <w:tr>
        <w:trPr>
          <w:trHeight w:val="425"/>
        </w:trPr>
        <w:tc>
          <w:tcPr>
            <w:tcW w:w="720" w:type="dxa"/>
            <w:vAlign w:val="bottom"/>
            <w:gridSpan w:val="3"/>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PART II -</w:t>
              </w:r>
            </w:hyperlink>
          </w:p>
        </w:tc>
        <w:tc>
          <w:tcPr>
            <w:tcW w:w="70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OTHER INFORMATION</w:t>
              </w:r>
            </w:hyperlink>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rFonts w:ascii="Arial" w:cs="Arial" w:eastAsia="Arial" w:hAnsi="Arial"/>
                <w:sz w:val="17"/>
                <w:szCs w:val="17"/>
                <w:color w:val="0000FF"/>
                <w:w w:val="99"/>
              </w:rPr>
            </w:pPr>
            <w:hyperlink w:anchor="page79">
              <w:r>
                <w:rPr>
                  <w:rFonts w:ascii="Arial" w:cs="Arial" w:eastAsia="Arial" w:hAnsi="Arial"/>
                  <w:sz w:val="17"/>
                  <w:szCs w:val="17"/>
                  <w:color w:val="0000FF"/>
                  <w:w w:val="99"/>
                </w:rPr>
                <w:t>Item 1.</w:t>
              </w:r>
            </w:hyperlink>
          </w:p>
        </w:tc>
        <w:tc>
          <w:tcPr>
            <w:tcW w:w="180" w:type="dxa"/>
            <w:vAlign w:val="bottom"/>
            <w:tcBorders>
              <w:top w:val="single" w:sz="8" w:color="0000FF"/>
            </w:tcBorders>
            <w:gridSpan w:val="2"/>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90"/>
              </w:rPr>
            </w:pPr>
            <w:hyperlink w:anchor="page79">
              <w:r>
                <w:rPr>
                  <w:rFonts w:ascii="Arial" w:cs="Arial" w:eastAsia="Arial" w:hAnsi="Arial"/>
                  <w:sz w:val="17"/>
                  <w:szCs w:val="17"/>
                  <w:color w:val="0000FF"/>
                  <w:w w:val="90"/>
                </w:rPr>
                <w:t>Legal Proceedings</w:t>
              </w:r>
            </w:hyperlink>
          </w:p>
        </w:tc>
        <w:tc>
          <w:tcPr>
            <w:tcW w:w="520" w:type="dxa"/>
            <w:vAlign w:val="bottom"/>
            <w:tcBorders>
              <w:top w:val="single" w:sz="8" w:color="0000FF"/>
            </w:tcBorders>
            <w:gridSpan w:val="3"/>
          </w:tcPr>
          <w:p>
            <w:pPr>
              <w:spacing w:after="0"/>
              <w:rPr>
                <w:sz w:val="24"/>
                <w:szCs w:val="24"/>
                <w:color w:val="auto"/>
              </w:rPr>
            </w:pPr>
          </w:p>
        </w:tc>
        <w:tc>
          <w:tcPr>
            <w:tcW w:w="6740" w:type="dxa"/>
            <w:vAlign w:val="bottom"/>
            <w:gridSpan w:val="10"/>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9">
              <w:r>
                <w:rPr>
                  <w:rFonts w:ascii="Arial" w:cs="Arial" w:eastAsia="Arial" w:hAnsi="Arial"/>
                  <w:sz w:val="17"/>
                  <w:szCs w:val="17"/>
                  <w:color w:val="0000FF"/>
                </w:rPr>
                <w:t>78</w:t>
              </w:r>
            </w:hyperlink>
          </w:p>
        </w:tc>
      </w:tr>
      <w:tr>
        <w:trPr>
          <w:trHeight w:val="425"/>
        </w:trPr>
        <w:tc>
          <w:tcPr>
            <w:tcW w:w="660" w:type="dxa"/>
            <w:vAlign w:val="bottom"/>
            <w:tcBorders>
              <w:bottom w:val="single" w:sz="8" w:color="0000FF"/>
            </w:tcBorders>
            <w:gridSpan w:val="2"/>
          </w:tcPr>
          <w:p>
            <w:pPr>
              <w:spacing w:after="0"/>
              <w:rPr>
                <w:rFonts w:ascii="Arial" w:cs="Arial" w:eastAsia="Arial" w:hAnsi="Arial"/>
                <w:sz w:val="17"/>
                <w:szCs w:val="17"/>
                <w:color w:val="0000FF"/>
              </w:rPr>
            </w:pPr>
            <w:hyperlink w:anchor="page79">
              <w:r>
                <w:rPr>
                  <w:rFonts w:ascii="Arial" w:cs="Arial" w:eastAsia="Arial" w:hAnsi="Arial"/>
                  <w:sz w:val="17"/>
                  <w:szCs w:val="17"/>
                  <w:color w:val="0000FF"/>
                </w:rPr>
                <w:t>Item 1A.</w:t>
              </w:r>
            </w:hyperlink>
          </w:p>
        </w:tc>
        <w:tc>
          <w:tcPr>
            <w:tcW w:w="760" w:type="dxa"/>
            <w:vAlign w:val="bottom"/>
            <w:gridSpan w:val="2"/>
          </w:tcPr>
          <w:p>
            <w:pPr>
              <w:spacing w:after="0"/>
              <w:rPr>
                <w:sz w:val="24"/>
                <w:szCs w:val="24"/>
                <w:color w:val="auto"/>
              </w:rPr>
            </w:pPr>
          </w:p>
        </w:tc>
        <w:tc>
          <w:tcPr>
            <w:tcW w:w="880" w:type="dxa"/>
            <w:vAlign w:val="bottom"/>
            <w:tcBorders>
              <w:bottom w:val="single" w:sz="8" w:color="0000FF"/>
            </w:tcBorders>
            <w:gridSpan w:val="2"/>
          </w:tcPr>
          <w:p>
            <w:pPr>
              <w:spacing w:after="0"/>
              <w:rPr>
                <w:rFonts w:ascii="Arial" w:cs="Arial" w:eastAsia="Arial" w:hAnsi="Arial"/>
                <w:sz w:val="17"/>
                <w:szCs w:val="17"/>
                <w:color w:val="0000FF"/>
                <w:w w:val="90"/>
              </w:rPr>
            </w:pPr>
            <w:hyperlink w:anchor="page79">
              <w:r>
                <w:rPr>
                  <w:rFonts w:ascii="Arial" w:cs="Arial" w:eastAsia="Arial" w:hAnsi="Arial"/>
                  <w:sz w:val="17"/>
                  <w:szCs w:val="17"/>
                  <w:color w:val="0000FF"/>
                  <w:w w:val="90"/>
                </w:rPr>
                <w:t>Risk Factors</w:t>
              </w:r>
            </w:hyperlink>
          </w:p>
        </w:tc>
        <w:tc>
          <w:tcPr>
            <w:tcW w:w="7680" w:type="dxa"/>
            <w:vAlign w:val="bottom"/>
            <w:gridSpan w:val="16"/>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9">
              <w:r>
                <w:rPr>
                  <w:rFonts w:ascii="Arial" w:cs="Arial" w:eastAsia="Arial" w:hAnsi="Arial"/>
                  <w:sz w:val="17"/>
                  <w:szCs w:val="17"/>
                  <w:color w:val="0000FF"/>
                </w:rPr>
                <w:t>78</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79">
              <w:r>
                <w:rPr>
                  <w:rFonts w:ascii="Arial" w:cs="Arial" w:eastAsia="Arial" w:hAnsi="Arial"/>
                  <w:sz w:val="17"/>
                  <w:szCs w:val="17"/>
                  <w:color w:val="0000FF"/>
                  <w:w w:val="99"/>
                </w:rPr>
                <w:t>Item 2.</w:t>
              </w:r>
            </w:hyperlink>
          </w:p>
        </w:tc>
        <w:tc>
          <w:tcPr>
            <w:tcW w:w="880" w:type="dxa"/>
            <w:vAlign w:val="bottom"/>
            <w:gridSpan w:val="3"/>
          </w:tcPr>
          <w:p>
            <w:pPr>
              <w:spacing w:after="0"/>
              <w:rPr>
                <w:sz w:val="24"/>
                <w:szCs w:val="24"/>
                <w:color w:val="auto"/>
              </w:rPr>
            </w:pPr>
          </w:p>
        </w:tc>
        <w:tc>
          <w:tcPr>
            <w:tcW w:w="4220" w:type="dxa"/>
            <w:vAlign w:val="bottom"/>
            <w:tcBorders>
              <w:bottom w:val="single" w:sz="8" w:color="0000FF"/>
            </w:tcBorders>
            <w:gridSpan w:val="11"/>
          </w:tcPr>
          <w:p>
            <w:pPr>
              <w:spacing w:after="0"/>
              <w:rPr>
                <w:rFonts w:ascii="Arial" w:cs="Arial" w:eastAsia="Arial" w:hAnsi="Arial"/>
                <w:sz w:val="17"/>
                <w:szCs w:val="17"/>
                <w:color w:val="0000FF"/>
                <w:w w:val="91"/>
              </w:rPr>
            </w:pPr>
            <w:hyperlink w:anchor="page79">
              <w:r>
                <w:rPr>
                  <w:rFonts w:ascii="Arial" w:cs="Arial" w:eastAsia="Arial" w:hAnsi="Arial"/>
                  <w:sz w:val="17"/>
                  <w:szCs w:val="17"/>
                  <w:color w:val="0000FF"/>
                  <w:w w:val="91"/>
                </w:rPr>
                <w:t>Unregistered Sales of Equity Securities and Use of Proceeds</w:t>
              </w:r>
            </w:hyperlink>
          </w:p>
        </w:tc>
        <w:tc>
          <w:tcPr>
            <w:tcW w:w="4340" w:type="dxa"/>
            <w:vAlign w:val="bottom"/>
            <w:gridSpan w:val="7"/>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9">
              <w:r>
                <w:rPr>
                  <w:rFonts w:ascii="Arial" w:cs="Arial" w:eastAsia="Arial" w:hAnsi="Arial"/>
                  <w:sz w:val="17"/>
                  <w:szCs w:val="17"/>
                  <w:color w:val="0000FF"/>
                </w:rPr>
                <w:t>78</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79">
              <w:r>
                <w:rPr>
                  <w:rFonts w:ascii="Arial" w:cs="Arial" w:eastAsia="Arial" w:hAnsi="Arial"/>
                  <w:sz w:val="17"/>
                  <w:szCs w:val="17"/>
                  <w:color w:val="0000FF"/>
                  <w:w w:val="99"/>
                </w:rPr>
                <w:t>Item 3.</w:t>
              </w:r>
            </w:hyperlink>
          </w:p>
        </w:tc>
        <w:tc>
          <w:tcPr>
            <w:tcW w:w="880" w:type="dxa"/>
            <w:vAlign w:val="bottom"/>
            <w:gridSpan w:val="3"/>
          </w:tcPr>
          <w:p>
            <w:pPr>
              <w:spacing w:after="0"/>
              <w:rPr>
                <w:sz w:val="24"/>
                <w:szCs w:val="24"/>
                <w:color w:val="auto"/>
              </w:rPr>
            </w:pPr>
          </w:p>
        </w:tc>
        <w:tc>
          <w:tcPr>
            <w:tcW w:w="2260" w:type="dxa"/>
            <w:vAlign w:val="bottom"/>
            <w:tcBorders>
              <w:bottom w:val="single" w:sz="8" w:color="0000FF"/>
            </w:tcBorders>
            <w:gridSpan w:val="10"/>
          </w:tcPr>
          <w:p>
            <w:pPr>
              <w:spacing w:after="0"/>
              <w:rPr>
                <w:rFonts w:ascii="Arial" w:cs="Arial" w:eastAsia="Arial" w:hAnsi="Arial"/>
                <w:sz w:val="17"/>
                <w:szCs w:val="17"/>
                <w:color w:val="0000FF"/>
                <w:w w:val="92"/>
              </w:rPr>
            </w:pPr>
            <w:hyperlink w:anchor="page79">
              <w:r>
                <w:rPr>
                  <w:rFonts w:ascii="Arial" w:cs="Arial" w:eastAsia="Arial" w:hAnsi="Arial"/>
                  <w:sz w:val="17"/>
                  <w:szCs w:val="17"/>
                  <w:color w:val="0000FF"/>
                  <w:w w:val="92"/>
                </w:rPr>
                <w:t>Defaults Upon Senior Securities</w:t>
              </w:r>
            </w:hyperlink>
          </w:p>
        </w:tc>
        <w:tc>
          <w:tcPr>
            <w:tcW w:w="6300" w:type="dxa"/>
            <w:vAlign w:val="bottom"/>
            <w:gridSpan w:val="8"/>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9">
              <w:r>
                <w:rPr>
                  <w:rFonts w:ascii="Arial" w:cs="Arial" w:eastAsia="Arial" w:hAnsi="Arial"/>
                  <w:sz w:val="17"/>
                  <w:szCs w:val="17"/>
                  <w:color w:val="0000FF"/>
                </w:rPr>
                <w:t>79</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80">
              <w:r>
                <w:rPr>
                  <w:rFonts w:ascii="Arial" w:cs="Arial" w:eastAsia="Arial" w:hAnsi="Arial"/>
                  <w:sz w:val="17"/>
                  <w:szCs w:val="17"/>
                  <w:color w:val="0000FF"/>
                  <w:w w:val="99"/>
                </w:rPr>
                <w:t>Item 4.</w:t>
              </w:r>
            </w:hyperlink>
          </w:p>
        </w:tc>
        <w:tc>
          <w:tcPr>
            <w:tcW w:w="880" w:type="dxa"/>
            <w:vAlign w:val="bottom"/>
            <w:gridSpan w:val="3"/>
          </w:tcPr>
          <w:p>
            <w:pPr>
              <w:spacing w:after="0"/>
              <w:rPr>
                <w:sz w:val="24"/>
                <w:szCs w:val="24"/>
                <w:color w:val="auto"/>
              </w:rPr>
            </w:pPr>
          </w:p>
        </w:tc>
        <w:tc>
          <w:tcPr>
            <w:tcW w:w="1720" w:type="dxa"/>
            <w:vAlign w:val="bottom"/>
            <w:tcBorders>
              <w:bottom w:val="single" w:sz="8" w:color="0000FF"/>
            </w:tcBorders>
            <w:gridSpan w:val="7"/>
          </w:tcPr>
          <w:p>
            <w:pPr>
              <w:spacing w:after="0"/>
              <w:rPr>
                <w:rFonts w:ascii="Arial" w:cs="Arial" w:eastAsia="Arial" w:hAnsi="Arial"/>
                <w:sz w:val="17"/>
                <w:szCs w:val="17"/>
                <w:color w:val="0000FF"/>
                <w:w w:val="93"/>
              </w:rPr>
            </w:pPr>
            <w:hyperlink w:anchor="page80">
              <w:r>
                <w:rPr>
                  <w:rFonts w:ascii="Arial" w:cs="Arial" w:eastAsia="Arial" w:hAnsi="Arial"/>
                  <w:sz w:val="17"/>
                  <w:szCs w:val="17"/>
                  <w:color w:val="0000FF"/>
                  <w:w w:val="93"/>
                </w:rPr>
                <w:t>Mine Safety Disclosures</w:t>
              </w:r>
            </w:hyperlink>
          </w:p>
        </w:tc>
        <w:tc>
          <w:tcPr>
            <w:tcW w:w="6840" w:type="dxa"/>
            <w:vAlign w:val="bottom"/>
            <w:gridSpan w:val="11"/>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80">
              <w:r>
                <w:rPr>
                  <w:rFonts w:ascii="Arial" w:cs="Arial" w:eastAsia="Arial" w:hAnsi="Arial"/>
                  <w:sz w:val="17"/>
                  <w:szCs w:val="17"/>
                  <w:color w:val="0000FF"/>
                </w:rPr>
                <w:t>79</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80">
              <w:r>
                <w:rPr>
                  <w:rFonts w:ascii="Arial" w:cs="Arial" w:eastAsia="Arial" w:hAnsi="Arial"/>
                  <w:sz w:val="17"/>
                  <w:szCs w:val="17"/>
                  <w:color w:val="0000FF"/>
                  <w:w w:val="99"/>
                </w:rPr>
                <w:t>Item 5.</w:t>
              </w:r>
            </w:hyperlink>
          </w:p>
        </w:tc>
        <w:tc>
          <w:tcPr>
            <w:tcW w:w="880" w:type="dxa"/>
            <w:vAlign w:val="bottom"/>
            <w:gridSpan w:val="3"/>
          </w:tcPr>
          <w:p>
            <w:pPr>
              <w:spacing w:after="0"/>
              <w:rPr>
                <w:sz w:val="24"/>
                <w:szCs w:val="24"/>
                <w:color w:val="auto"/>
              </w:rPr>
            </w:pPr>
          </w:p>
        </w:tc>
        <w:tc>
          <w:tcPr>
            <w:tcW w:w="1280" w:type="dxa"/>
            <w:vAlign w:val="bottom"/>
            <w:tcBorders>
              <w:bottom w:val="single" w:sz="8" w:color="0000FF"/>
            </w:tcBorders>
            <w:gridSpan w:val="4"/>
          </w:tcPr>
          <w:p>
            <w:pPr>
              <w:spacing w:after="0"/>
              <w:rPr>
                <w:rFonts w:ascii="Arial" w:cs="Arial" w:eastAsia="Arial" w:hAnsi="Arial"/>
                <w:sz w:val="17"/>
                <w:szCs w:val="17"/>
                <w:color w:val="0000FF"/>
                <w:w w:val="95"/>
              </w:rPr>
            </w:pPr>
            <w:hyperlink w:anchor="page80">
              <w:r>
                <w:rPr>
                  <w:rFonts w:ascii="Arial" w:cs="Arial" w:eastAsia="Arial" w:hAnsi="Arial"/>
                  <w:sz w:val="17"/>
                  <w:szCs w:val="17"/>
                  <w:color w:val="0000FF"/>
                  <w:w w:val="95"/>
                </w:rPr>
                <w:t>Other Information</w:t>
              </w:r>
            </w:hyperlink>
          </w:p>
        </w:tc>
        <w:tc>
          <w:tcPr>
            <w:tcW w:w="7280" w:type="dxa"/>
            <w:vAlign w:val="bottom"/>
            <w:gridSpan w:val="14"/>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80">
              <w:r>
                <w:rPr>
                  <w:rFonts w:ascii="Arial" w:cs="Arial" w:eastAsia="Arial" w:hAnsi="Arial"/>
                  <w:sz w:val="17"/>
                  <w:szCs w:val="17"/>
                  <w:color w:val="0000FF"/>
                </w:rPr>
                <w:t>79</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80">
              <w:r>
                <w:rPr>
                  <w:rFonts w:ascii="Arial" w:cs="Arial" w:eastAsia="Arial" w:hAnsi="Arial"/>
                  <w:sz w:val="17"/>
                  <w:szCs w:val="17"/>
                  <w:color w:val="0000FF"/>
                  <w:w w:val="99"/>
                </w:rPr>
                <w:t>Item 6.</w:t>
              </w:r>
            </w:hyperlink>
          </w:p>
        </w:tc>
        <w:tc>
          <w:tcPr>
            <w:tcW w:w="880" w:type="dxa"/>
            <w:vAlign w:val="bottom"/>
            <w:gridSpan w:val="3"/>
          </w:tcPr>
          <w:p>
            <w:pPr>
              <w:spacing w:after="0"/>
              <w:rPr>
                <w:sz w:val="24"/>
                <w:szCs w:val="24"/>
                <w:color w:val="auto"/>
              </w:rPr>
            </w:pPr>
          </w:p>
        </w:tc>
        <w:tc>
          <w:tcPr>
            <w:tcW w:w="580" w:type="dxa"/>
            <w:vAlign w:val="bottom"/>
            <w:tcBorders>
              <w:bottom w:val="single" w:sz="8" w:color="0000FF"/>
            </w:tcBorders>
          </w:tcPr>
          <w:p>
            <w:pPr>
              <w:spacing w:after="0"/>
              <w:rPr>
                <w:rFonts w:ascii="Arial" w:cs="Arial" w:eastAsia="Arial" w:hAnsi="Arial"/>
                <w:sz w:val="17"/>
                <w:szCs w:val="17"/>
                <w:color w:val="0000FF"/>
                <w:w w:val="94"/>
              </w:rPr>
            </w:pPr>
            <w:hyperlink w:anchor="page80">
              <w:r>
                <w:rPr>
                  <w:rFonts w:ascii="Arial" w:cs="Arial" w:eastAsia="Arial" w:hAnsi="Arial"/>
                  <w:sz w:val="17"/>
                  <w:szCs w:val="17"/>
                  <w:color w:val="0000FF"/>
                  <w:w w:val="94"/>
                </w:rPr>
                <w:t>Exhibits</w:t>
              </w:r>
            </w:hyperlink>
          </w:p>
        </w:tc>
        <w:tc>
          <w:tcPr>
            <w:tcW w:w="7980" w:type="dxa"/>
            <w:vAlign w:val="bottom"/>
            <w:gridSpan w:val="17"/>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80">
              <w:r>
                <w:rPr>
                  <w:rFonts w:ascii="Arial" w:cs="Arial" w:eastAsia="Arial" w:hAnsi="Arial"/>
                  <w:sz w:val="17"/>
                  <w:szCs w:val="17"/>
                  <w:color w:val="0000FF"/>
                </w:rPr>
                <w:t>79</w:t>
              </w:r>
            </w:hyperlink>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17"/>
                <w:szCs w:val="17"/>
                <w:color w:val="0000FF"/>
              </w:rPr>
            </w:pPr>
            <w:hyperlink w:anchor="page80">
              <w:r>
                <w:rPr>
                  <w:rFonts w:ascii="Arial" w:cs="Arial" w:eastAsia="Arial" w:hAnsi="Arial"/>
                  <w:sz w:val="17"/>
                  <w:szCs w:val="17"/>
                  <w:color w:val="0000FF"/>
                </w:rPr>
                <w:t>SIGNATURES</w:t>
              </w:r>
            </w:hyperlink>
          </w:p>
        </w:tc>
        <w:tc>
          <w:tcPr>
            <w:tcW w:w="1160" w:type="dxa"/>
            <w:vAlign w:val="bottom"/>
          </w:tcPr>
          <w:p>
            <w:pPr>
              <w:jc w:val="right"/>
              <w:spacing w:after="0"/>
              <w:rPr>
                <w:rFonts w:ascii="Arial" w:cs="Arial" w:eastAsia="Arial" w:hAnsi="Arial"/>
                <w:sz w:val="17"/>
                <w:szCs w:val="17"/>
                <w:color w:val="0000FF"/>
              </w:rPr>
            </w:pPr>
            <w:hyperlink w:anchor="page80">
              <w:r>
                <w:rPr>
                  <w:rFonts w:ascii="Arial" w:cs="Arial" w:eastAsia="Arial" w:hAnsi="Arial"/>
                  <w:sz w:val="17"/>
                  <w:szCs w:val="17"/>
                  <w:color w:val="0000FF"/>
                </w:rPr>
                <w:t>80</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20" w:type="dxa"/>
            <w:vAlign w:val="bottom"/>
            <w:gridSpan w:val="2"/>
          </w:tcPr>
          <w:p>
            <w:pPr>
              <w:jc w:val="center"/>
              <w:ind w:right="3880"/>
              <w:spacing w:after="0"/>
              <w:rPr>
                <w:sz w:val="20"/>
                <w:szCs w:val="20"/>
                <w:color w:val="auto"/>
              </w:rPr>
            </w:pPr>
            <w:r>
              <w:rPr>
                <w:rFonts w:ascii="Arial" w:cs="Arial" w:eastAsia="Arial" w:hAnsi="Arial"/>
                <w:sz w:val="17"/>
                <w:szCs w:val="17"/>
                <w:b w:val="1"/>
                <w:bCs w:val="1"/>
                <w:color w:val="auto"/>
              </w:rPr>
              <w:t>PART I</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55"/>
        </w:trPr>
        <w:tc>
          <w:tcPr>
            <w:tcW w:w="10020" w:type="dxa"/>
            <w:vAlign w:val="bottom"/>
            <w:gridSpan w:val="7"/>
          </w:tcPr>
          <w:p>
            <w:pPr>
              <w:spacing w:after="0"/>
              <w:rPr>
                <w:sz w:val="20"/>
                <w:szCs w:val="20"/>
                <w:color w:val="auto"/>
              </w:rPr>
            </w:pPr>
            <w:r>
              <w:rPr>
                <w:rFonts w:ascii="Arial" w:cs="Arial" w:eastAsia="Arial" w:hAnsi="Arial"/>
                <w:sz w:val="17"/>
                <w:szCs w:val="17"/>
                <w:b w:val="1"/>
                <w:bCs w:val="1"/>
                <w:color w:val="auto"/>
              </w:rPr>
              <w:t>ITEM 1. FINANCIAL STATEMENTS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0020" w:type="dxa"/>
            <w:vAlign w:val="bottom"/>
            <w:gridSpan w:val="7"/>
          </w:tcPr>
          <w:p>
            <w:pPr>
              <w:spacing w:after="0"/>
              <w:rPr>
                <w:sz w:val="20"/>
                <w:szCs w:val="20"/>
                <w:color w:val="auto"/>
              </w:rPr>
            </w:pPr>
            <w:r>
              <w:rPr>
                <w:rFonts w:ascii="Arial" w:cs="Arial" w:eastAsia="Arial" w:hAnsi="Arial"/>
                <w:sz w:val="17"/>
                <w:szCs w:val="17"/>
                <w:b w:val="1"/>
                <w:bCs w:val="1"/>
                <w:color w:val="auto"/>
              </w:rPr>
              <w:t>Index to Condensed Consolidated Financial Statements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PAGE</w:t>
            </w:r>
          </w:p>
        </w:tc>
      </w:tr>
      <w:tr>
        <w:trPr>
          <w:trHeight w:val="183"/>
        </w:trPr>
        <w:tc>
          <w:tcPr>
            <w:tcW w:w="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NUMBER</w:t>
            </w:r>
          </w:p>
        </w:tc>
      </w:tr>
      <w:tr>
        <w:trPr>
          <w:trHeight w:val="387"/>
        </w:trPr>
        <w:tc>
          <w:tcPr>
            <w:tcW w:w="60" w:type="dxa"/>
            <w:vAlign w:val="bottom"/>
          </w:tcPr>
          <w:p>
            <w:pPr>
              <w:spacing w:after="0"/>
              <w:rPr>
                <w:sz w:val="24"/>
                <w:szCs w:val="24"/>
                <w:color w:val="auto"/>
              </w:rPr>
            </w:pPr>
          </w:p>
        </w:tc>
        <w:tc>
          <w:tcPr>
            <w:tcW w:w="9960" w:type="dxa"/>
            <w:vAlign w:val="bottom"/>
            <w:gridSpan w:val="6"/>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Statements of Financial Condition (Unaudited)</w:t>
              </w:r>
            </w:hyperlink>
          </w:p>
        </w:tc>
        <w:tc>
          <w:tcPr>
            <w:tcW w:w="1220" w:type="dxa"/>
            <w:vAlign w:val="bottom"/>
            <w:gridSpan w:val="4"/>
          </w:tcPr>
          <w:p>
            <w:pPr>
              <w:jc w:val="right"/>
              <w:ind w:right="4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9960" w:type="dxa"/>
            <w:vAlign w:val="bottom"/>
            <w:gridSpan w:val="6"/>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Comprehensive Income (Loss) (Unaudited)</w:t>
              </w:r>
            </w:hyperlink>
          </w:p>
        </w:tc>
        <w:tc>
          <w:tcPr>
            <w:tcW w:w="1220" w:type="dxa"/>
            <w:vAlign w:val="bottom"/>
            <w:gridSpan w:val="4"/>
          </w:tcPr>
          <w:p>
            <w:pPr>
              <w:jc w:val="right"/>
              <w:ind w:right="40"/>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5800" w:type="dxa"/>
            <w:vAlign w:val="bottom"/>
            <w:gridSpan w:val="5"/>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Changes in Equity (Unaudited)</w:t>
              </w:r>
            </w:hyperlink>
          </w:p>
        </w:tc>
        <w:tc>
          <w:tcPr>
            <w:tcW w:w="4160" w:type="dxa"/>
            <w:vAlign w:val="bottom"/>
          </w:tcPr>
          <w:p>
            <w:pPr>
              <w:spacing w:after="0"/>
              <w:rPr>
                <w:sz w:val="24"/>
                <w:szCs w:val="24"/>
                <w:color w:val="auto"/>
              </w:rPr>
            </w:pPr>
          </w:p>
        </w:tc>
        <w:tc>
          <w:tcPr>
            <w:tcW w:w="1220" w:type="dxa"/>
            <w:vAlign w:val="bottom"/>
            <w:gridSpan w:val="4"/>
          </w:tcPr>
          <w:p>
            <w:pPr>
              <w:jc w:val="right"/>
              <w:ind w:right="40"/>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4480" w:type="dxa"/>
            <w:vAlign w:val="bottom"/>
          </w:tcPr>
          <w:p>
            <w:pPr>
              <w:spacing w:after="0"/>
              <w:rPr>
                <w:rFonts w:ascii="Arial" w:cs="Arial" w:eastAsia="Arial" w:hAnsi="Arial"/>
                <w:sz w:val="17"/>
                <w:szCs w:val="17"/>
                <w:color w:val="0000FF"/>
                <w:w w:val="91"/>
              </w:rPr>
            </w:pPr>
            <w:hyperlink w:anchor="page8">
              <w:r>
                <w:rPr>
                  <w:rFonts w:ascii="Arial" w:cs="Arial" w:eastAsia="Arial" w:hAnsi="Arial"/>
                  <w:sz w:val="17"/>
                  <w:szCs w:val="17"/>
                  <w:color w:val="0000FF"/>
                  <w:w w:val="91"/>
                </w:rPr>
                <w:t>Condensed Consolidated Statements of Cash Flows (Unaudited)</w:t>
              </w:r>
            </w:hyperlink>
          </w:p>
        </w:tc>
        <w:tc>
          <w:tcPr>
            <w:tcW w:w="460" w:type="dxa"/>
            <w:vAlign w:val="bottom"/>
            <w:gridSpan w:val="2"/>
          </w:tcPr>
          <w:p>
            <w:pPr>
              <w:spacing w:after="0"/>
              <w:rPr>
                <w:sz w:val="24"/>
                <w:szCs w:val="24"/>
                <w:color w:val="auto"/>
              </w:rPr>
            </w:pPr>
          </w:p>
        </w:tc>
        <w:tc>
          <w:tcPr>
            <w:tcW w:w="5020" w:type="dxa"/>
            <w:vAlign w:val="bottom"/>
            <w:gridSpan w:val="3"/>
          </w:tcPr>
          <w:p>
            <w:pPr>
              <w:spacing w:after="0"/>
              <w:rPr>
                <w:sz w:val="24"/>
                <w:szCs w:val="24"/>
                <w:color w:val="auto"/>
              </w:rPr>
            </w:pPr>
          </w:p>
        </w:tc>
        <w:tc>
          <w:tcPr>
            <w:tcW w:w="1220" w:type="dxa"/>
            <w:vAlign w:val="bottom"/>
            <w:gridSpan w:val="4"/>
          </w:tcPr>
          <w:p>
            <w:pPr>
              <w:jc w:val="right"/>
              <w:ind w:right="40"/>
              <w:spacing w:after="0"/>
              <w:rPr>
                <w:rFonts w:ascii="Arial" w:cs="Arial" w:eastAsia="Arial" w:hAnsi="Arial"/>
                <w:sz w:val="17"/>
                <w:szCs w:val="17"/>
                <w:color w:val="0000FF"/>
              </w:rPr>
            </w:pPr>
            <w:hyperlink w:anchor="page8">
              <w:r>
                <w:rPr>
                  <w:rFonts w:ascii="Arial" w:cs="Arial" w:eastAsia="Arial" w:hAnsi="Arial"/>
                  <w:sz w:val="17"/>
                  <w:szCs w:val="17"/>
                  <w:color w:val="0000FF"/>
                </w:rPr>
                <w:t>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9960" w:type="dxa"/>
            <w:vAlign w:val="bottom"/>
            <w:gridSpan w:val="6"/>
          </w:tcPr>
          <w:p>
            <w:pPr>
              <w:spacing w:after="0"/>
              <w:rPr>
                <w:rFonts w:ascii="Arial" w:cs="Arial" w:eastAsia="Arial" w:hAnsi="Arial"/>
                <w:sz w:val="17"/>
                <w:szCs w:val="17"/>
                <w:color w:val="0000FF"/>
              </w:rPr>
            </w:pPr>
            <w:hyperlink w:anchor="page10">
              <w:r>
                <w:rPr>
                  <w:rFonts w:ascii="Arial" w:cs="Arial" w:eastAsia="Arial" w:hAnsi="Arial"/>
                  <w:sz w:val="17"/>
                  <w:szCs w:val="17"/>
                  <w:color w:val="0000FF"/>
                </w:rPr>
                <w:t>Notes to Condensed Consolidated Financial Statements (Unaudited)</w:t>
              </w:r>
            </w:hyperlink>
          </w:p>
        </w:tc>
        <w:tc>
          <w:tcPr>
            <w:tcW w:w="1220" w:type="dxa"/>
            <w:vAlign w:val="bottom"/>
            <w:gridSpan w:val="4"/>
          </w:tcPr>
          <w:p>
            <w:pPr>
              <w:jc w:val="right"/>
              <w:ind w:right="40"/>
              <w:spacing w:after="0"/>
              <w:rPr>
                <w:rFonts w:ascii="Arial" w:cs="Arial" w:eastAsia="Arial" w:hAnsi="Arial"/>
                <w:sz w:val="17"/>
                <w:szCs w:val="17"/>
                <w:color w:val="0000FF"/>
              </w:rPr>
            </w:pPr>
            <w:hyperlink w:anchor="page10">
              <w:r>
                <w:rPr>
                  <w:rFonts w:ascii="Arial" w:cs="Arial" w:eastAsia="Arial" w:hAnsi="Arial"/>
                  <w:sz w:val="17"/>
                  <w:szCs w:val="17"/>
                  <w:color w:val="0000FF"/>
                </w:rPr>
                <w:t>10</w:t>
              </w:r>
            </w:hyperlink>
          </w:p>
        </w:tc>
      </w:tr>
      <w:tr>
        <w:trPr>
          <w:trHeight w:val="870"/>
        </w:trPr>
        <w:tc>
          <w:tcPr>
            <w:tcW w:w="60" w:type="dxa"/>
            <w:vAlign w:val="bottom"/>
          </w:tcPr>
          <w:p>
            <w:pPr>
              <w:spacing w:after="0"/>
              <w:rPr>
                <w:sz w:val="24"/>
                <w:szCs w:val="24"/>
                <w:color w:val="auto"/>
              </w:rPr>
            </w:pPr>
          </w:p>
        </w:tc>
        <w:tc>
          <w:tcPr>
            <w:tcW w:w="4740" w:type="dxa"/>
            <w:vAlign w:val="bottom"/>
            <w:tcBorders>
              <w:top w:val="single" w:sz="8" w:color="0000FF"/>
            </w:tcBorders>
            <w:gridSpan w:val="2"/>
          </w:tcPr>
          <w:p>
            <w:pPr>
              <w:spacing w:after="0"/>
              <w:rPr>
                <w:sz w:val="24"/>
                <w:szCs w:val="24"/>
                <w:color w:val="auto"/>
              </w:rPr>
            </w:pPr>
          </w:p>
        </w:tc>
        <w:tc>
          <w:tcPr>
            <w:tcW w:w="1060" w:type="dxa"/>
            <w:vAlign w:val="bottom"/>
            <w:gridSpan w:val="3"/>
          </w:tcPr>
          <w:p>
            <w:pPr>
              <w:jc w:val="right"/>
              <w:ind w:right="113"/>
              <w:spacing w:after="0"/>
              <w:rPr>
                <w:sz w:val="20"/>
                <w:szCs w:val="20"/>
                <w:color w:val="auto"/>
              </w:rPr>
            </w:pPr>
            <w:r>
              <w:rPr>
                <w:rFonts w:ascii="Arial" w:cs="Arial" w:eastAsia="Arial" w:hAnsi="Arial"/>
                <w:sz w:val="17"/>
                <w:szCs w:val="17"/>
                <w:color w:val="auto"/>
              </w:rPr>
              <w:t>2</w:t>
            </w:r>
          </w:p>
        </w:tc>
        <w:tc>
          <w:tcPr>
            <w:tcW w:w="4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6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7"/>
        </w:trPr>
        <w:tc>
          <w:tcPr>
            <w:tcW w:w="8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8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6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8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848,111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889,559</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Cash restricted or segregated under regulations and other</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67,144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117,446</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Securities borrowed</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1,535,297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1,425,016</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Securities purchased under agreements to resell</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54,555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22,866</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broker-dealers and clearing organizations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1,609,065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1,684,006</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Trading assets, at fair value:</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Financial instruments owned</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2,715,188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2,369,192</w:t>
            </w:r>
          </w:p>
        </w:tc>
        <w:tc>
          <w:tcPr>
            <w:tcW w:w="0" w:type="dxa"/>
            <w:vAlign w:val="bottom"/>
          </w:tcPr>
          <w:p>
            <w:pPr>
              <w:spacing w:after="0"/>
              <w:rPr>
                <w:sz w:val="1"/>
                <w:szCs w:val="1"/>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6"/>
                <w:szCs w:val="16"/>
                <w:color w:val="auto"/>
              </w:rPr>
              <w:t>Financial instruments owned and pledged</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927,158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746,539</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customers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214,478</w:t>
            </w:r>
          </w:p>
        </w:tc>
        <w:tc>
          <w:tcPr>
            <w:tcW w:w="0" w:type="dxa"/>
            <w:vAlign w:val="bottom"/>
          </w:tcPr>
          <w:p>
            <w:pPr>
              <w:spacing w:after="0"/>
              <w:rPr>
                <w:sz w:val="1"/>
                <w:szCs w:val="1"/>
                <w:color w:val="auto"/>
              </w:rPr>
            </w:pPr>
          </w:p>
        </w:tc>
      </w:tr>
      <w:tr>
        <w:trPr>
          <w:trHeight w:val="160"/>
        </w:trPr>
        <w:tc>
          <w:tcPr>
            <w:tcW w:w="8560" w:type="dxa"/>
            <w:vAlign w:val="bottom"/>
            <w:gridSpan w:val="2"/>
          </w:tcPr>
          <w:p>
            <w:pPr>
              <w:ind w:left="140"/>
              <w:spacing w:after="0" w:line="161" w:lineRule="exact"/>
              <w:rPr>
                <w:sz w:val="20"/>
                <w:szCs w:val="20"/>
                <w:color w:val="auto"/>
              </w:rPr>
            </w:pPr>
            <w:r>
              <w:rPr>
                <w:rFonts w:ascii="Arial" w:cs="Arial" w:eastAsia="Arial" w:hAnsi="Arial"/>
                <w:sz w:val="16"/>
                <w:szCs w:val="16"/>
                <w:color w:val="auto"/>
                <w:w w:val="90"/>
              </w:rPr>
              <w:t>Property, equipment and capitalized software (net of accumulated depreciation of $454,875 and $455,961 as of June 30, 2021 and</w:t>
            </w: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107,955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113,590</w:t>
            </w:r>
          </w:p>
        </w:tc>
        <w:tc>
          <w:tcPr>
            <w:tcW w:w="0" w:type="dxa"/>
            <w:vAlign w:val="bottom"/>
          </w:tcPr>
          <w:p>
            <w:pPr>
              <w:spacing w:after="0"/>
              <w:rPr>
                <w:sz w:val="1"/>
                <w:szCs w:val="1"/>
                <w:color w:val="auto"/>
              </w:rPr>
            </w:pPr>
          </w:p>
        </w:tc>
      </w:tr>
      <w:tr>
        <w:trPr>
          <w:trHeight w:val="203"/>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December 31, 2020, respectively)</w:t>
            </w: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268,864</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1,148,926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1,148,926</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0"/>
              </w:rPr>
              <w:t>Intangibles (net of accumulated amortization of $219,648 and $183,494 as of June 30, 2021 and December 31, 2020, respectively)</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418,345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454,499</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Deferred tax assets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180,356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193,070</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assets ($81,055 and $68,316, at fair value, as of June 30, 2021 and December 31, 2020, respectively)</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280,870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317,747</w:t>
            </w:r>
          </w:p>
        </w:tc>
        <w:tc>
          <w:tcPr>
            <w:tcW w:w="0" w:type="dxa"/>
            <w:vAlign w:val="bottom"/>
          </w:tcPr>
          <w:p>
            <w:pPr>
              <w:spacing w:after="0"/>
              <w:rPr>
                <w:sz w:val="1"/>
                <w:szCs w:val="1"/>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10,341,411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9,965,798</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Short-term borrowings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214,252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64,686</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Securities loaned</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948,256</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Securities sold under agreements to repurchase</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490,879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461,235</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Payables to broker-dealers and clearing organizations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776,586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876,446</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Payables to customers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127,859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118,826</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Trading liabilities, at fair value: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6"/>
                <w:szCs w:val="16"/>
                <w:color w:val="auto"/>
              </w:rPr>
              <w:t>Financial instruments sold, not yet purchased</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3,123,388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2,923,708</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receivable agreement obligations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254,660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271,165</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Accounts payable, accrued expenses and other liabilities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399,074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491,818</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286,335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315,340</w:t>
            </w:r>
          </w:p>
        </w:tc>
        <w:tc>
          <w:tcPr>
            <w:tcW w:w="0" w:type="dxa"/>
            <w:vAlign w:val="bottom"/>
          </w:tcPr>
          <w:p>
            <w:pPr>
              <w:spacing w:after="0"/>
              <w:rPr>
                <w:sz w:val="1"/>
                <w:szCs w:val="1"/>
                <w:color w:val="auto"/>
              </w:rPr>
            </w:pPr>
          </w:p>
        </w:tc>
      </w:tr>
      <w:tr>
        <w:trPr>
          <w:trHeight w:val="206"/>
        </w:trPr>
        <w:tc>
          <w:tcPr>
            <w:tcW w:w="8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Long-term borrowings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1,602,815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1,639,280</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8,418,589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8,110,760</w:t>
            </w:r>
          </w:p>
        </w:tc>
        <w:tc>
          <w:tcPr>
            <w:tcW w:w="0" w:type="dxa"/>
            <w:vAlign w:val="bottom"/>
          </w:tcPr>
          <w:p>
            <w:pPr>
              <w:spacing w:after="0"/>
              <w:rPr>
                <w:sz w:val="1"/>
                <w:szCs w:val="1"/>
                <w:color w:val="auto"/>
              </w:rPr>
            </w:pPr>
          </w:p>
        </w:tc>
      </w:tr>
      <w:tr>
        <w:trPr>
          <w:trHeight w:val="157"/>
        </w:trPr>
        <w:tc>
          <w:tcPr>
            <w:tcW w:w="8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Virtu Financial Inc. Stockholders' equity</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560" w:type="dxa"/>
            <w:vAlign w:val="bottom"/>
            <w:gridSpan w:val="2"/>
          </w:tcPr>
          <w:p>
            <w:pPr>
              <w:ind w:left="140"/>
              <w:spacing w:after="0" w:line="161" w:lineRule="exact"/>
              <w:rPr>
                <w:sz w:val="20"/>
                <w:szCs w:val="20"/>
                <w:color w:val="auto"/>
              </w:rPr>
            </w:pPr>
            <w:r>
              <w:rPr>
                <w:rFonts w:ascii="Arial" w:cs="Arial" w:eastAsia="Arial" w:hAnsi="Arial"/>
                <w:sz w:val="16"/>
                <w:szCs w:val="16"/>
                <w:color w:val="auto"/>
                <w:w w:val="91"/>
              </w:rPr>
              <w:t>Class A common stock (par value $0.00001), Authorized — 1,000,000,000 and 1,000,000,000 shares, Issued — 127,725,595 and</w:t>
            </w: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8560" w:type="dxa"/>
            <w:vAlign w:val="bottom"/>
            <w:gridSpan w:val="2"/>
          </w:tcPr>
          <w:p>
            <w:pPr>
              <w:ind w:left="140"/>
              <w:spacing w:after="0"/>
              <w:rPr>
                <w:sz w:val="20"/>
                <w:szCs w:val="20"/>
                <w:color w:val="auto"/>
              </w:rPr>
            </w:pPr>
            <w:r>
              <w:rPr>
                <w:rFonts w:ascii="Arial" w:cs="Arial" w:eastAsia="Arial" w:hAnsi="Arial"/>
                <w:sz w:val="16"/>
                <w:szCs w:val="16"/>
                <w:color w:val="auto"/>
                <w:w w:val="91"/>
              </w:rPr>
              <w:t>125,627,277 shares, Outstanding — 118,475,086 and 122,012,180 shares at June 30, 2021 and December 31, 2020, respectively</w:t>
            </w: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5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6"/>
                <w:szCs w:val="16"/>
                <w:color w:val="auto"/>
                <w:w w:val="89"/>
              </w:rPr>
              <w:t>Class B common stock (par value $0.00001), Authorized — 175,000,000 and 175,000,000 shares, Issued and Outstanding — 0 and</w:t>
            </w:r>
          </w:p>
        </w:tc>
        <w:tc>
          <w:tcPr>
            <w:tcW w:w="2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 shares at June 30, 2021 and December 31, 2020, respectively</w:t>
            </w:r>
          </w:p>
        </w:tc>
        <w:tc>
          <w:tcPr>
            <w:tcW w:w="2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560" w:type="dxa"/>
            <w:vAlign w:val="bottom"/>
            <w:gridSpan w:val="2"/>
          </w:tcPr>
          <w:p>
            <w:pPr>
              <w:ind w:left="140"/>
              <w:spacing w:after="0" w:line="161" w:lineRule="exact"/>
              <w:rPr>
                <w:sz w:val="20"/>
                <w:szCs w:val="20"/>
                <w:color w:val="auto"/>
              </w:rPr>
            </w:pPr>
            <w:r>
              <w:rPr>
                <w:rFonts w:ascii="Arial" w:cs="Arial" w:eastAsia="Arial" w:hAnsi="Arial"/>
                <w:sz w:val="16"/>
                <w:szCs w:val="16"/>
                <w:color w:val="auto"/>
                <w:w w:val="96"/>
              </w:rPr>
              <w:t>Class C common stock (par value $0.00001), Authorized — 90,000,000 and 90,000,000 shares, Issued and Outstanding —</w:t>
            </w:r>
          </w:p>
        </w:tc>
        <w:tc>
          <w:tcPr>
            <w:tcW w:w="22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9,799,036 and 10,226,939 shares at June 30, 2021 and December 31, 2020, respectively</w:t>
            </w:r>
          </w:p>
        </w:tc>
        <w:tc>
          <w:tcPr>
            <w:tcW w:w="2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5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6"/>
                <w:szCs w:val="16"/>
                <w:color w:val="auto"/>
                <w:w w:val="94"/>
              </w:rPr>
              <w:t>Class D common stock (par value $0.00001), Authorized — 175,000,000 and 175,000,000 shares, Issued and Outstanding —</w:t>
            </w: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60,091,740 and 60,091,740 shares at June 30, 2021 and December 31, 2020, respectively</w:t>
            </w:r>
          </w:p>
        </w:tc>
        <w:tc>
          <w:tcPr>
            <w:tcW w:w="2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Treasury stock, at cost, 9,250,509 and 3,615,097 shares at June 30, 2021 and December 31, 2020, respectively</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(253,587)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(88,923)</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1,201,890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1,160,567</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Retained earnings (accumulated deficit)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648,893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422,381</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(25,487)</w:t>
            </w:r>
          </w:p>
        </w:tc>
        <w:tc>
          <w:tcPr>
            <w:tcW w:w="0" w:type="dxa"/>
            <w:vAlign w:val="bottom"/>
          </w:tcPr>
          <w:p>
            <w:pPr>
              <w:spacing w:after="0"/>
              <w:rPr>
                <w:sz w:val="1"/>
                <w:szCs w:val="1"/>
                <w:color w:val="auto"/>
              </w:rPr>
            </w:pPr>
          </w:p>
        </w:tc>
      </w:tr>
      <w:tr>
        <w:trPr>
          <w:trHeight w:val="196"/>
        </w:trPr>
        <w:tc>
          <w:tcPr>
            <w:tcW w:w="8560" w:type="dxa"/>
            <w:vAlign w:val="bottom"/>
            <w:gridSpan w:val="2"/>
          </w:tcPr>
          <w:p>
            <w:pPr>
              <w:ind w:left="20"/>
              <w:spacing w:after="0"/>
              <w:rPr>
                <w:sz w:val="20"/>
                <w:szCs w:val="20"/>
                <w:color w:val="auto"/>
              </w:rPr>
            </w:pPr>
            <w:r>
              <w:rPr>
                <w:rFonts w:ascii="Arial" w:cs="Arial" w:eastAsia="Arial" w:hAnsi="Arial"/>
                <w:sz w:val="16"/>
                <w:szCs w:val="16"/>
                <w:color w:val="auto"/>
              </w:rPr>
              <w:t>Total Virtu Financial Inc. stockholders' equity</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1,578,081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1,468,540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8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5"/>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344,741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386,498</w:t>
            </w:r>
          </w:p>
        </w:tc>
        <w:tc>
          <w:tcPr>
            <w:tcW w:w="0" w:type="dxa"/>
            <w:vAlign w:val="bottom"/>
          </w:tcPr>
          <w:p>
            <w:pPr>
              <w:spacing w:after="0"/>
              <w:rPr>
                <w:sz w:val="1"/>
                <w:szCs w:val="1"/>
                <w:color w:val="auto"/>
              </w:rPr>
            </w:pPr>
          </w:p>
        </w:tc>
      </w:tr>
      <w:tr>
        <w:trPr>
          <w:trHeight w:val="199"/>
        </w:trPr>
        <w:tc>
          <w:tcPr>
            <w:tcW w:w="8560" w:type="dxa"/>
            <w:vAlign w:val="bottom"/>
            <w:gridSpan w:val="2"/>
          </w:tcPr>
          <w:p>
            <w:pPr>
              <w:ind w:left="20"/>
              <w:spacing w:after="0"/>
              <w:rPr>
                <w:sz w:val="20"/>
                <w:szCs w:val="20"/>
                <w:color w:val="auto"/>
              </w:rPr>
            </w:pPr>
            <w:r>
              <w:rPr>
                <w:rFonts w:ascii="Arial" w:cs="Arial" w:eastAsia="Arial" w:hAnsi="Arial"/>
                <w:sz w:val="16"/>
                <w:szCs w:val="16"/>
                <w:color w:val="auto"/>
              </w:rPr>
              <w:t>Total equity</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1,922,822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1,855,038</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gridSpan w:val="2"/>
          </w:tcPr>
          <w:p>
            <w:pPr>
              <w:ind w:left="2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10,341,411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9,965,798</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Condensed Consolidated Statements of Comprehensive Income (Loss) (Unaudited)</w:t>
      </w: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200" w:type="dxa"/>
            <w:vAlign w:val="bottom"/>
            <w:gridSpan w:val="4"/>
          </w:tcPr>
          <w:p>
            <w:pPr>
              <w:jc w:val="right"/>
              <w:ind w:right="301"/>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07"/>
        </w:trPr>
        <w:tc>
          <w:tcPr>
            <w:tcW w:w="60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2020</w:t>
            </w:r>
          </w:p>
        </w:tc>
      </w:tr>
      <w:tr>
        <w:trPr>
          <w:trHeight w:val="205"/>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6"/>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Trading income,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384,832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743,996</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1,197,576</w:t>
            </w:r>
          </w:p>
        </w:tc>
        <w:tc>
          <w:tcPr>
            <w:tcW w:w="12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1,546,461</w:t>
            </w:r>
          </w:p>
        </w:tc>
      </w:tr>
      <w:tr>
        <w:trPr>
          <w:trHeight w:val="213"/>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and dividends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35,856</w:t>
            </w:r>
          </w:p>
        </w:tc>
      </w:tr>
      <w:tr>
        <w:trPr>
          <w:trHeight w:val="206"/>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Commissions, net and technology services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143,115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147,736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334,764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318,481</w:t>
            </w:r>
          </w:p>
        </w:tc>
      </w:tr>
      <w:tr>
        <w:trPr>
          <w:trHeight w:val="213"/>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5,726</w:t>
            </w:r>
          </w:p>
        </w:tc>
      </w:tr>
      <w:tr>
        <w:trPr>
          <w:trHeight w:val="199"/>
        </w:trPr>
        <w:tc>
          <w:tcPr>
            <w:tcW w:w="6040" w:type="dxa"/>
            <w:vAlign w:val="bottom"/>
            <w:gridSpan w:val="2"/>
          </w:tcPr>
          <w:p>
            <w:pPr>
              <w:ind w:left="320"/>
              <w:spacing w:after="0"/>
              <w:rPr>
                <w:sz w:val="20"/>
                <w:szCs w:val="20"/>
                <w:color w:val="auto"/>
              </w:rPr>
            </w:pPr>
            <w:r>
              <w:rPr>
                <w:rFonts w:ascii="Arial" w:cs="Arial" w:eastAsia="Arial" w:hAnsi="Arial"/>
                <w:sz w:val="16"/>
                <w:szCs w:val="16"/>
                <w:color w:val="auto"/>
              </w:rPr>
              <w:t>Total revenue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548,965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905,903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1,561,537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1,906,524</w:t>
            </w:r>
          </w:p>
        </w:tc>
      </w:tr>
      <w:tr>
        <w:trPr>
          <w:trHeight w:val="213"/>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7"/>
        </w:trPr>
        <w:tc>
          <w:tcPr>
            <w:tcW w:w="604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2"/>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Brokerage, exchange, clearance fees and payments for order flow,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377,321</w:t>
            </w:r>
          </w:p>
        </w:tc>
      </w:tr>
      <w:tr>
        <w:trPr>
          <w:trHeight w:val="206"/>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Communication and data processing</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52,507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55,662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104,197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110,689</w:t>
            </w:r>
          </w:p>
        </w:tc>
      </w:tr>
      <w:tr>
        <w:trPr>
          <w:trHeight w:val="213"/>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Employee compensation and payroll taxes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291,292</w:t>
            </w:r>
          </w:p>
        </w:tc>
      </w:tr>
      <w:tr>
        <w:trPr>
          <w:trHeight w:val="206"/>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Interest and dividends expense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24,971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28,841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48,999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70,281</w:t>
            </w:r>
          </w:p>
        </w:tc>
      </w:tr>
      <w:tr>
        <w:trPr>
          <w:trHeight w:val="213"/>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Operations and administrative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48,867</w:t>
            </w:r>
          </w:p>
        </w:tc>
      </w:tr>
      <w:tr>
        <w:trPr>
          <w:trHeight w:val="206"/>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33,127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34,073</w:t>
            </w:r>
          </w:p>
        </w:tc>
      </w:tr>
      <w:tr>
        <w:trPr>
          <w:trHeight w:val="213"/>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Amortization of purchased intangibles and acquired capitalized software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37,912</w:t>
            </w:r>
          </w:p>
        </w:tc>
      </w:tr>
      <w:tr>
        <w:trPr>
          <w:trHeight w:val="206"/>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Termination of office leases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283</w:t>
            </w:r>
          </w:p>
        </w:tc>
      </w:tr>
      <w:tr>
        <w:trPr>
          <w:trHeight w:val="213"/>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issue cost related to debt refinancing, prepayment and commitment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17,366</w:t>
            </w:r>
          </w:p>
        </w:tc>
      </w:tr>
      <w:tr>
        <w:trPr>
          <w:trHeight w:val="206"/>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Transaction advisory fees and expenses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274</w:t>
            </w:r>
          </w:p>
        </w:tc>
      </w:tr>
      <w:tr>
        <w:trPr>
          <w:trHeight w:val="213"/>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Financing interest expense on long-term borrowings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47,406</w:t>
            </w:r>
          </w:p>
        </w:tc>
      </w:tr>
      <w:tr>
        <w:trPr>
          <w:trHeight w:val="199"/>
        </w:trPr>
        <w:tc>
          <w:tcPr>
            <w:tcW w:w="604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413,963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501,368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936,748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1,035,764</w:t>
            </w:r>
          </w:p>
        </w:tc>
      </w:tr>
      <w:tr>
        <w:trPr>
          <w:trHeight w:val="206"/>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before income taxes and noncontrolling interest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404,535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624,789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870,760</w:t>
            </w:r>
          </w:p>
        </w:tc>
      </w:tr>
      <w:tr>
        <w:trPr>
          <w:trHeight w:val="206"/>
        </w:trPr>
        <w:tc>
          <w:tcPr>
            <w:tcW w:w="60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26,095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69,250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106,650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147,237</w:t>
            </w:r>
          </w:p>
        </w:tc>
      </w:tr>
      <w:tr>
        <w:trPr>
          <w:trHeight w:val="206"/>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723,523</w:t>
            </w:r>
          </w:p>
        </w:tc>
      </w:tr>
      <w:tr>
        <w:trPr>
          <w:trHeight w:val="206"/>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Noncontrolling interest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(45,997)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(136,143)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(215,824)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(303,312)</w:t>
            </w:r>
          </w:p>
        </w:tc>
      </w:tr>
      <w:tr>
        <w:trPr>
          <w:trHeight w:val="213"/>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03"/>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Net income available for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62,910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199,142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302,315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420,211</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6"/>
        </w:trPr>
        <w:tc>
          <w:tcPr>
            <w:tcW w:w="5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6"/>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Earnings per share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3.39</w:t>
            </w:r>
          </w:p>
        </w:tc>
      </w:tr>
      <w:tr>
        <w:trPr>
          <w:trHeight w:val="206"/>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3.38</w:t>
            </w:r>
          </w:p>
        </w:tc>
      </w:tr>
      <w:tr>
        <w:trPr>
          <w:trHeight w:val="213"/>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6"/>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119,681,845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121,527,673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120,865,624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6"/>
              </w:rPr>
              <w:t>120,642,415</w:t>
            </w:r>
          </w:p>
        </w:tc>
      </w:tr>
      <w:tr>
        <w:trPr>
          <w:trHeight w:val="206"/>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121,181,392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122,238,905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6"/>
              </w:rPr>
              <w:t>122,279,261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w w:val="96"/>
              </w:rPr>
              <w:t>121,013,689</w:t>
            </w:r>
          </w:p>
        </w:tc>
      </w:tr>
      <w:tr>
        <w:trPr>
          <w:trHeight w:val="213"/>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6"/>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108,907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335,285</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518,139</w:t>
            </w:r>
          </w:p>
        </w:tc>
        <w:tc>
          <w:tcPr>
            <w:tcW w:w="12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723,523</w:t>
            </w:r>
          </w:p>
        </w:tc>
      </w:tr>
      <w:tr>
        <w:trPr>
          <w:trHeight w:val="213"/>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6"/>
        </w:trPr>
        <w:tc>
          <w:tcPr>
            <w:tcW w:w="6040" w:type="dxa"/>
            <w:vAlign w:val="bottom"/>
            <w:gridSpan w:val="2"/>
          </w:tcPr>
          <w:p>
            <w:pPr>
              <w:ind w:left="120"/>
              <w:spacing w:after="0"/>
              <w:rPr>
                <w:sz w:val="20"/>
                <w:szCs w:val="20"/>
                <w:color w:val="auto"/>
              </w:rPr>
            </w:pPr>
            <w:r>
              <w:rPr>
                <w:rFonts w:ascii="Arial" w:cs="Arial" w:eastAsia="Arial" w:hAnsi="Arial"/>
                <w:sz w:val="16"/>
                <w:szCs w:val="16"/>
                <w:color w:val="auto"/>
              </w:rPr>
              <w:t>Foreign exchange translation adjustment, net of taxes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(3,952)</w:t>
            </w:r>
          </w:p>
        </w:tc>
      </w:tr>
      <w:tr>
        <w:trPr>
          <w:trHeight w:val="213"/>
        </w:trPr>
        <w:tc>
          <w:tcPr>
            <w:tcW w:w="60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change in unrealized cash flow hedges gain (loss), net of taxes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(64,739)</w:t>
            </w:r>
          </w:p>
        </w:tc>
      </w:tr>
      <w:tr>
        <w:trPr>
          <w:trHeight w:val="199"/>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101,767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332,592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529,229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654,832</w:t>
            </w:r>
          </w:p>
        </w:tc>
      </w:tr>
      <w:tr>
        <w:trPr>
          <w:trHeight w:val="210"/>
        </w:trPr>
        <w:tc>
          <w:tcPr>
            <w:tcW w:w="60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(135,018)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(220,545)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(273,541)</w:t>
            </w:r>
          </w:p>
        </w:tc>
      </w:tr>
      <w:tr>
        <w:trPr>
          <w:trHeight w:val="206"/>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Comprehensive income attributable to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58,838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197,574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308,684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381,291</w:t>
            </w: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320" w:top="127" w:right="579" w:bottom="1440" w:gutter="0" w:footer="0" w:header="0"/>
        </w:sectPr>
      </w:pPr>
    </w:p>
    <w:bookmarkStart w:id="6" w:name="page7"/>
    <w:bookmarkEnd w:id="6"/>
    <w:p>
      <w:pPr>
        <w:ind w:left="2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Condensed Consolidated Statements of Changes in Equity (Unaudited)</w:t>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Three and Six Months Ended June 30, 2021 and 2020</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1300" w:type="dxa"/>
            <w:vAlign w:val="bottom"/>
            <w:gridSpan w:val="5"/>
            <w:vMerge w:val="restart"/>
          </w:tcPr>
          <w:p>
            <w:pPr>
              <w:ind w:left="80"/>
              <w:spacing w:after="0"/>
              <w:rPr>
                <w:sz w:val="20"/>
                <w:szCs w:val="20"/>
                <w:color w:val="auto"/>
              </w:rPr>
            </w:pPr>
            <w:r>
              <w:rPr>
                <w:rFonts w:ascii="Arial" w:cs="Arial" w:eastAsia="Arial" w:hAnsi="Arial"/>
                <w:sz w:val="10"/>
                <w:szCs w:val="10"/>
                <w:b w:val="1"/>
                <w:bCs w:val="1"/>
                <w:color w:val="auto"/>
              </w:rPr>
              <w:t>Class A Common Stock</w:t>
            </w:r>
          </w:p>
        </w:tc>
        <w:tc>
          <w:tcPr>
            <w:tcW w:w="1280" w:type="dxa"/>
            <w:vAlign w:val="bottom"/>
            <w:gridSpan w:val="5"/>
            <w:vMerge w:val="restart"/>
          </w:tcPr>
          <w:p>
            <w:pPr>
              <w:jc w:val="right"/>
              <w:ind w:right="160"/>
              <w:spacing w:after="0"/>
              <w:rPr>
                <w:sz w:val="20"/>
                <w:szCs w:val="20"/>
                <w:color w:val="auto"/>
              </w:rPr>
            </w:pPr>
            <w:r>
              <w:rPr>
                <w:rFonts w:ascii="Arial" w:cs="Arial" w:eastAsia="Arial" w:hAnsi="Arial"/>
                <w:sz w:val="10"/>
                <w:szCs w:val="10"/>
                <w:b w:val="1"/>
                <w:bCs w:val="1"/>
                <w:color w:val="auto"/>
                <w:w w:val="97"/>
              </w:rPr>
              <w:t>Class C Common Stock</w:t>
            </w:r>
          </w:p>
        </w:tc>
        <w:tc>
          <w:tcPr>
            <w:tcW w:w="1300" w:type="dxa"/>
            <w:vAlign w:val="bottom"/>
            <w:gridSpan w:val="5"/>
            <w:vMerge w:val="restart"/>
          </w:tcPr>
          <w:p>
            <w:pPr>
              <w:jc w:val="right"/>
              <w:ind w:right="160"/>
              <w:spacing w:after="0"/>
              <w:rPr>
                <w:sz w:val="20"/>
                <w:szCs w:val="20"/>
                <w:color w:val="auto"/>
              </w:rPr>
            </w:pPr>
            <w:r>
              <w:rPr>
                <w:rFonts w:ascii="Arial" w:cs="Arial" w:eastAsia="Arial" w:hAnsi="Arial"/>
                <w:sz w:val="10"/>
                <w:szCs w:val="10"/>
                <w:b w:val="1"/>
                <w:bCs w:val="1"/>
                <w:color w:val="auto"/>
                <w:w w:val="99"/>
              </w:rPr>
              <w:t>Class D Common Stock</w:t>
            </w:r>
          </w:p>
        </w:tc>
        <w:tc>
          <w:tcPr>
            <w:tcW w:w="1260" w:type="dxa"/>
            <w:vAlign w:val="bottom"/>
            <w:gridSpan w:val="5"/>
            <w:vMerge w:val="restart"/>
          </w:tcPr>
          <w:p>
            <w:pPr>
              <w:ind w:left="240"/>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4"/>
              </w:rPr>
              <w:t>Retained</w:t>
            </w:r>
          </w:p>
        </w:tc>
        <w:tc>
          <w:tcPr>
            <w:tcW w:w="60" w:type="dxa"/>
            <w:vAlign w:val="bottom"/>
          </w:tcPr>
          <w:p>
            <w:pPr>
              <w:spacing w:after="0"/>
              <w:rPr>
                <w:sz w:val="9"/>
                <w:szCs w:val="9"/>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5"/>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Total Virtu</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thousands, except</w:t>
            </w: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tcPr>
          <w:p>
            <w:pPr>
              <w:jc w:val="center"/>
              <w:ind w:right="180"/>
              <w:spacing w:after="0" w:line="72" w:lineRule="exact"/>
              <w:rPr>
                <w:sz w:val="20"/>
                <w:szCs w:val="20"/>
                <w:color w:val="auto"/>
              </w:rPr>
            </w:pPr>
            <w:r>
              <w:rPr>
                <w:rFonts w:ascii="Arial" w:cs="Arial" w:eastAsia="Arial" w:hAnsi="Arial"/>
                <w:sz w:val="8"/>
                <w:szCs w:val="8"/>
                <w:b w:val="1"/>
                <w:bCs w:val="1"/>
                <w:color w:val="auto"/>
              </w:rPr>
              <w:t>Earnings</w:t>
            </w:r>
          </w:p>
        </w:tc>
        <w:tc>
          <w:tcPr>
            <w:tcW w:w="6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Arial" w:cs="Arial" w:eastAsia="Arial" w:hAnsi="Arial"/>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Arial" w:cs="Arial" w:eastAsia="Arial" w:hAnsi="Arial"/>
                <w:sz w:val="8"/>
                <w:szCs w:val="8"/>
                <w:b w:val="1"/>
                <w:bCs w:val="1"/>
                <w:color w:val="auto"/>
              </w:rPr>
              <w:t>Financial Inc.</w:t>
            </w:r>
          </w:p>
        </w:tc>
        <w:tc>
          <w:tcPr>
            <w:tcW w:w="80" w:type="dxa"/>
            <w:vAlign w:val="bottom"/>
          </w:tcPr>
          <w:p>
            <w:pPr>
              <w:spacing w:after="0"/>
              <w:rPr>
                <w:sz w:val="6"/>
                <w:szCs w:val="6"/>
                <w:color w:val="auto"/>
              </w:rPr>
            </w:pPr>
          </w:p>
        </w:tc>
        <w:tc>
          <w:tcPr>
            <w:tcW w:w="580" w:type="dxa"/>
            <w:vAlign w:val="bottom"/>
            <w:gridSpan w:val="2"/>
          </w:tcPr>
          <w:p>
            <w:pPr>
              <w:jc w:val="center"/>
              <w:ind w:right="160"/>
              <w:spacing w:after="0" w:line="72" w:lineRule="exact"/>
              <w:rPr>
                <w:sz w:val="20"/>
                <w:szCs w:val="20"/>
                <w:color w:val="auto"/>
              </w:rPr>
            </w:pPr>
            <w:r>
              <w:rPr>
                <w:rFonts w:ascii="Arial" w:cs="Arial" w:eastAsia="Arial" w:hAnsi="Arial"/>
                <w:sz w:val="8"/>
                <w:szCs w:val="8"/>
                <w:b w:val="1"/>
                <w:bCs w:val="1"/>
                <w:color w:val="auto"/>
              </w:rPr>
              <w:t>Non-</w:t>
            </w:r>
          </w:p>
        </w:tc>
        <w:tc>
          <w:tcPr>
            <w:tcW w:w="100" w:type="dxa"/>
            <w:vAlign w:val="bottom"/>
          </w:tcPr>
          <w:p>
            <w:pPr>
              <w:spacing w:after="0"/>
              <w:rPr>
                <w:sz w:val="6"/>
                <w:szCs w:val="6"/>
                <w:color w:val="auto"/>
              </w:rPr>
            </w:pPr>
          </w:p>
        </w:tc>
        <w:tc>
          <w:tcPr>
            <w:tcW w:w="500" w:type="dxa"/>
            <w:vAlign w:val="bottom"/>
            <w:vMerge w:val="restart"/>
          </w:tcPr>
          <w:p>
            <w:pPr>
              <w:jc w:val="right"/>
              <w:ind w:right="12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60" w:type="dxa"/>
            <w:vAlign w:val="bottom"/>
            <w:vMerge w:val="continue"/>
          </w:tcPr>
          <w:p>
            <w:pPr>
              <w:spacing w:after="0"/>
              <w:rPr>
                <w:sz w:val="9"/>
                <w:szCs w:val="9"/>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92"/>
              </w:rPr>
              <w:t>Amounts</w:t>
            </w:r>
          </w:p>
        </w:tc>
        <w:tc>
          <w:tcPr>
            <w:tcW w:w="6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9"/>
                <w:szCs w:val="9"/>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92"/>
              </w:rPr>
              <w:t>Amounts</w:t>
            </w:r>
          </w:p>
        </w:tc>
        <w:tc>
          <w:tcPr>
            <w:tcW w:w="64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spacing w:after="0"/>
              <w:rPr>
                <w:sz w:val="9"/>
                <w:szCs w:val="9"/>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6"/>
              </w:rPr>
              <w:t>Amounts</w:t>
            </w:r>
          </w:p>
        </w:tc>
        <w:tc>
          <w:tcPr>
            <w:tcW w:w="76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(Accumulated</w:t>
            </w:r>
          </w:p>
        </w:tc>
        <w:tc>
          <w:tcPr>
            <w:tcW w:w="800" w:type="dxa"/>
            <w:vAlign w:val="bottom"/>
            <w:gridSpan w:val="3"/>
          </w:tcPr>
          <w:p>
            <w:pPr>
              <w:spacing w:after="0" w:line="105" w:lineRule="exact"/>
              <w:rPr>
                <w:sz w:val="20"/>
                <w:szCs w:val="20"/>
                <w:color w:val="auto"/>
              </w:rPr>
            </w:pPr>
            <w:r>
              <w:rPr>
                <w:rFonts w:ascii="Arial" w:cs="Arial" w:eastAsia="Arial" w:hAnsi="Arial"/>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Stockholders'</w:t>
            </w:r>
          </w:p>
        </w:tc>
        <w:tc>
          <w:tcPr>
            <w:tcW w:w="66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93"/>
              </w:rPr>
              <w:t>Controlling</w:t>
            </w: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Deficit)</w:t>
            </w:r>
          </w:p>
        </w:tc>
        <w:tc>
          <w:tcPr>
            <w:tcW w:w="8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4"/>
              </w:rPr>
              <w:t>Income (Loss)</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Equity</w:t>
            </w:r>
          </w:p>
        </w:tc>
        <w:tc>
          <w:tcPr>
            <w:tcW w:w="80" w:type="dxa"/>
            <w:vAlign w:val="bottom"/>
          </w:tcPr>
          <w:p>
            <w:pPr>
              <w:spacing w:after="0"/>
              <w:rPr>
                <w:sz w:val="11"/>
                <w:szCs w:val="11"/>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Interest</w:t>
            </w:r>
          </w:p>
        </w:tc>
        <w:tc>
          <w:tcPr>
            <w:tcW w:w="100" w:type="dxa"/>
            <w:vAlign w:val="bottom"/>
          </w:tcPr>
          <w:p>
            <w:pPr>
              <w:spacing w:after="0"/>
              <w:rPr>
                <w:sz w:val="11"/>
                <w:szCs w:val="11"/>
                <w:color w:val="auto"/>
              </w:rPr>
            </w:pPr>
          </w:p>
        </w:tc>
        <w:tc>
          <w:tcPr>
            <w:tcW w:w="500" w:type="dxa"/>
            <w:vAlign w:val="bottom"/>
          </w:tcPr>
          <w:p>
            <w:pPr>
              <w:jc w:val="right"/>
              <w:ind w:right="108"/>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2"/>
        </w:trPr>
        <w:tc>
          <w:tcPr>
            <w:tcW w:w="16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December 31, 2020</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3"/>
              </w:rPr>
              <w:t>125,627,277</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9"/>
              </w:rPr>
              <w:t>10,226,939</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9"/>
              </w:rPr>
              <w:t>60,091,740</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97"/>
              </w:rPr>
              <w:t>(3,615,097)</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(88,923)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8"/>
              </w:rPr>
              <w:t>1,160,567</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422,381</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(25,487)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1,468,540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386,498</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1,855,038</w:t>
            </w: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rPr>
                <w:sz w:val="20"/>
                <w:szCs w:val="20"/>
                <w:color w:val="auto"/>
              </w:rPr>
            </w:pPr>
            <w:r>
              <w:rPr>
                <w:rFonts w:ascii="Arial" w:cs="Arial" w:eastAsia="Arial" w:hAnsi="Arial"/>
                <w:sz w:val="10"/>
                <w:szCs w:val="10"/>
                <w:color w:val="auto"/>
              </w:rPr>
              <w:t>Share based compensation</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1,896,407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27,450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27,450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27,450</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Treasury stock purchases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(615,794)</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97"/>
              </w:rPr>
              <w:t>(2,277,409)</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(63,359)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(16,059)</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(79,418)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(79,418)</w:t>
            </w: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rPr>
                <w:sz w:val="20"/>
                <w:szCs w:val="20"/>
                <w:color w:val="auto"/>
              </w:rPr>
            </w:pPr>
            <w:r>
              <w:rPr>
                <w:rFonts w:ascii="Arial" w:cs="Arial" w:eastAsia="Arial" w:hAnsi="Arial"/>
                <w:sz w:val="10"/>
                <w:szCs w:val="10"/>
                <w:color w:val="auto"/>
              </w:rPr>
              <w:t>Stock options exercised</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154,372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2,933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2,933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2,933</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Net income</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239,405</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239,405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169,827</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409,232</w:t>
            </w:r>
          </w:p>
        </w:tc>
        <w:tc>
          <w:tcPr>
            <w:tcW w:w="0" w:type="dxa"/>
            <w:vAlign w:val="bottom"/>
          </w:tcPr>
          <w:p>
            <w:pPr>
              <w:spacing w:after="0"/>
              <w:rPr>
                <w:sz w:val="1"/>
                <w:szCs w:val="1"/>
                <w:color w:val="auto"/>
              </w:rPr>
            </w:pPr>
          </w:p>
        </w:tc>
      </w:tr>
      <w:tr>
        <w:trPr>
          <w:trHeight w:val="108"/>
        </w:trPr>
        <w:tc>
          <w:tcPr>
            <w:tcW w:w="1660" w:type="dxa"/>
            <w:vAlign w:val="bottom"/>
          </w:tcPr>
          <w:p>
            <w:pPr>
              <w:ind w:left="140"/>
              <w:spacing w:after="0" w:line="108" w:lineRule="exact"/>
              <w:rPr>
                <w:sz w:val="20"/>
                <w:szCs w:val="20"/>
                <w:color w:val="auto"/>
              </w:rPr>
            </w:pPr>
            <w:r>
              <w:rPr>
                <w:rFonts w:ascii="Arial" w:cs="Arial" w:eastAsia="Arial" w:hAnsi="Arial"/>
                <w:sz w:val="10"/>
                <w:szCs w:val="10"/>
                <w:color w:val="auto"/>
              </w:rPr>
              <w:t>Foreign exchange translation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(2,165)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(2,165)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(1,511)</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(3,676)</w:t>
            </w:r>
          </w:p>
        </w:tc>
        <w:tc>
          <w:tcPr>
            <w:tcW w:w="0" w:type="dxa"/>
            <w:vAlign w:val="bottom"/>
          </w:tcPr>
          <w:p>
            <w:pPr>
              <w:spacing w:after="0"/>
              <w:rPr>
                <w:sz w:val="1"/>
                <w:szCs w:val="1"/>
                <w:color w:val="auto"/>
              </w:rPr>
            </w:pPr>
          </w:p>
        </w:tc>
      </w:tr>
      <w:tr>
        <w:trPr>
          <w:trHeight w:val="131"/>
        </w:trPr>
        <w:tc>
          <w:tcPr>
            <w:tcW w:w="1660" w:type="dxa"/>
            <w:vAlign w:val="bottom"/>
          </w:tcPr>
          <w:p>
            <w:pPr>
              <w:ind w:left="140"/>
              <w:spacing w:after="0"/>
              <w:rPr>
                <w:sz w:val="20"/>
                <w:szCs w:val="20"/>
                <w:color w:val="auto"/>
              </w:rPr>
            </w:pPr>
            <w:r>
              <w:rPr>
                <w:rFonts w:ascii="Arial" w:cs="Arial" w:eastAsia="Arial" w:hAnsi="Arial"/>
                <w:sz w:val="10"/>
                <w:szCs w:val="10"/>
                <w:color w:val="auto"/>
              </w:rPr>
              <w:t>adjustment</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6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Net change in unrealized cash</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12,607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12,607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9,299</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21,906</w:t>
            </w:r>
          </w:p>
        </w:tc>
        <w:tc>
          <w:tcPr>
            <w:tcW w:w="0" w:type="dxa"/>
            <w:vAlign w:val="bottom"/>
          </w:tcPr>
          <w:p>
            <w:pPr>
              <w:spacing w:after="0"/>
              <w:rPr>
                <w:sz w:val="1"/>
                <w:szCs w:val="1"/>
                <w:color w:val="auto"/>
              </w:rPr>
            </w:pPr>
          </w:p>
        </w:tc>
      </w:tr>
      <w:tr>
        <w:trPr>
          <w:trHeight w:val="134"/>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flow hedges gains (losses)</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60" w:type="dxa"/>
            <w:vAlign w:val="bottom"/>
          </w:tcPr>
          <w:p>
            <w:pPr>
              <w:ind w:left="140"/>
              <w:spacing w:after="0" w:line="108" w:lineRule="exact"/>
              <w:rPr>
                <w:sz w:val="20"/>
                <w:szCs w:val="20"/>
                <w:color w:val="auto"/>
              </w:rPr>
            </w:pPr>
            <w:r>
              <w:rPr>
                <w:rFonts w:ascii="Arial" w:cs="Arial" w:eastAsia="Arial" w:hAnsi="Arial"/>
                <w:sz w:val="10"/>
                <w:szCs w:val="10"/>
                <w:color w:val="auto"/>
              </w:rPr>
              <w:t>Dividends ($0.24 per share of</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Class A common stock and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participating Restricted Stock</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Unit and Restricted Stock</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Awards) and distributions from</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Virtu Financial to non-controlling</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(30,147)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(30,147)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(159,239)</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(189,386)</w:t>
            </w:r>
          </w:p>
        </w:tc>
        <w:tc>
          <w:tcPr>
            <w:tcW w:w="0" w:type="dxa"/>
            <w:vAlign w:val="bottom"/>
          </w:tcPr>
          <w:p>
            <w:pPr>
              <w:spacing w:after="0"/>
              <w:rPr>
                <w:sz w:val="1"/>
                <w:szCs w:val="1"/>
                <w:color w:val="auto"/>
              </w:rPr>
            </w:pPr>
          </w:p>
        </w:tc>
      </w:tr>
      <w:tr>
        <w:trPr>
          <w:trHeight w:val="131"/>
        </w:trPr>
        <w:tc>
          <w:tcPr>
            <w:tcW w:w="1660" w:type="dxa"/>
            <w:vAlign w:val="bottom"/>
          </w:tcPr>
          <w:p>
            <w:pPr>
              <w:ind w:left="140"/>
              <w:spacing w:after="0"/>
              <w:rPr>
                <w:sz w:val="20"/>
                <w:szCs w:val="20"/>
                <w:color w:val="auto"/>
              </w:rPr>
            </w:pPr>
            <w:r>
              <w:rPr>
                <w:rFonts w:ascii="Arial" w:cs="Arial" w:eastAsia="Arial" w:hAnsi="Arial"/>
                <w:sz w:val="10"/>
                <w:szCs w:val="10"/>
                <w:color w:val="auto"/>
              </w:rPr>
              <w:t>interest</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6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Issuance of common stock in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91,757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exchanges</w:t>
            </w: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60" w:type="dxa"/>
            <w:vAlign w:val="bottom"/>
          </w:tcPr>
          <w:p>
            <w:pPr>
              <w:ind w:left="140"/>
              <w:spacing w:after="0" w:line="108" w:lineRule="exact"/>
              <w:rPr>
                <w:sz w:val="20"/>
                <w:szCs w:val="20"/>
                <w:color w:val="auto"/>
              </w:rPr>
            </w:pPr>
            <w:r>
              <w:rPr>
                <w:rFonts w:ascii="Arial" w:cs="Arial" w:eastAsia="Arial" w:hAnsi="Arial"/>
                <w:sz w:val="10"/>
                <w:szCs w:val="10"/>
                <w:color w:val="auto"/>
              </w:rPr>
              <w:t>Repurchase of Virtu Financial</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Units and corresponding number</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of Class C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(91,757)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660" w:type="dxa"/>
            <w:vAlign w:val="bottom"/>
          </w:tcPr>
          <w:p>
            <w:pPr>
              <w:ind w:left="140"/>
              <w:spacing w:after="0"/>
              <w:rPr>
                <w:sz w:val="20"/>
                <w:szCs w:val="20"/>
                <w:color w:val="auto"/>
              </w:rPr>
            </w:pPr>
            <w:r>
              <w:rPr>
                <w:rFonts w:ascii="Arial" w:cs="Arial" w:eastAsia="Arial" w:hAnsi="Arial"/>
                <w:sz w:val="10"/>
                <w:szCs w:val="10"/>
                <w:color w:val="auto"/>
              </w:rPr>
              <w:t>exchanges</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March 31, 2021</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3"/>
              </w:rPr>
              <w:t>127,154,019</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9"/>
              </w:rPr>
              <w:t>10,135,182</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9"/>
              </w:rPr>
              <w:t>60,091,740</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97"/>
              </w:rPr>
              <w:t>(5,892,506)</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8"/>
              </w:rPr>
              <w:t>(152,282)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8"/>
              </w:rPr>
              <w:t>1,190,950</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615,580</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(15,045)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1,639,205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404,874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2,044,079</w:t>
            </w: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rPr>
                <w:sz w:val="20"/>
                <w:szCs w:val="20"/>
                <w:color w:val="auto"/>
              </w:rPr>
            </w:pPr>
            <w:r>
              <w:rPr>
                <w:rFonts w:ascii="Arial" w:cs="Arial" w:eastAsia="Arial" w:hAnsi="Arial"/>
                <w:sz w:val="10"/>
                <w:szCs w:val="10"/>
                <w:color w:val="auto"/>
              </w:rPr>
              <w:t>Share based compensation</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32,916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7,444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7,444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7,444</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6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Repurchase of Class C common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(45,622)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(1,323)</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(1,323)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(1,323)</w:t>
            </w:r>
          </w:p>
        </w:tc>
        <w:tc>
          <w:tcPr>
            <w:tcW w:w="0" w:type="dxa"/>
            <w:vAlign w:val="bottom"/>
          </w:tcPr>
          <w:p>
            <w:pPr>
              <w:spacing w:after="0"/>
              <w:rPr>
                <w:sz w:val="1"/>
                <w:szCs w:val="1"/>
                <w:color w:val="auto"/>
              </w:rPr>
            </w:pPr>
          </w:p>
        </w:tc>
      </w:tr>
      <w:tr>
        <w:trPr>
          <w:trHeight w:val="134"/>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stock</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rPr>
                <w:sz w:val="20"/>
                <w:szCs w:val="20"/>
                <w:color w:val="auto"/>
              </w:rPr>
            </w:pPr>
            <w:r>
              <w:rPr>
                <w:rFonts w:ascii="Arial" w:cs="Arial" w:eastAsia="Arial" w:hAnsi="Arial"/>
                <w:sz w:val="10"/>
                <w:szCs w:val="10"/>
                <w:color w:val="auto"/>
              </w:rPr>
              <w:t>Treasury stock purchases</w:t>
            </w:r>
          </w:p>
        </w:tc>
        <w:tc>
          <w:tcPr>
            <w:tcW w:w="600" w:type="dxa"/>
            <w:vAlign w:val="bottom"/>
          </w:tcPr>
          <w:p>
            <w:pPr>
              <w:jc w:val="right"/>
              <w:spacing w:after="0"/>
              <w:rPr>
                <w:sz w:val="20"/>
                <w:szCs w:val="20"/>
                <w:color w:val="auto"/>
              </w:rPr>
            </w:pPr>
            <w:r>
              <w:rPr>
                <w:rFonts w:ascii="Arial" w:cs="Arial" w:eastAsia="Arial" w:hAnsi="Arial"/>
                <w:sz w:val="10"/>
                <w:szCs w:val="10"/>
                <w:color w:val="auto"/>
              </w:rPr>
              <w:t>(5,489)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40"/>
              <w:spacing w:after="0"/>
              <w:rPr>
                <w:sz w:val="20"/>
                <w:szCs w:val="20"/>
                <w:color w:val="auto"/>
              </w:rPr>
            </w:pPr>
            <w:r>
              <w:rPr>
                <w:rFonts w:ascii="Arial" w:cs="Arial" w:eastAsia="Arial" w:hAnsi="Arial"/>
                <w:sz w:val="10"/>
                <w:szCs w:val="10"/>
                <w:color w:val="auto"/>
                <w:w w:val="97"/>
              </w:rPr>
              <w:t>(3,358,003)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w w:val="98"/>
              </w:rPr>
              <w:t>(101,305)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(114)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(101,419)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(101,419)</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Stock options exercised</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253,625</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4,819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4,819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4,819</w:t>
            </w: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rPr>
                <w:sz w:val="20"/>
                <w:szCs w:val="20"/>
                <w:color w:val="auto"/>
              </w:rPr>
            </w:pPr>
            <w:r>
              <w:rPr>
                <w:rFonts w:ascii="Arial" w:cs="Arial" w:eastAsia="Arial" w:hAnsi="Arial"/>
                <w:sz w:val="10"/>
                <w:szCs w:val="10"/>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62,910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62,910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45,997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108,907</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6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Foreign exchange translation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43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23</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66</w:t>
            </w:r>
          </w:p>
        </w:tc>
        <w:tc>
          <w:tcPr>
            <w:tcW w:w="0" w:type="dxa"/>
            <w:vAlign w:val="bottom"/>
          </w:tcPr>
          <w:p>
            <w:pPr>
              <w:spacing w:after="0"/>
              <w:rPr>
                <w:sz w:val="1"/>
                <w:szCs w:val="1"/>
                <w:color w:val="auto"/>
              </w:rPr>
            </w:pPr>
          </w:p>
        </w:tc>
      </w:tr>
      <w:tr>
        <w:trPr>
          <w:trHeight w:val="134"/>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adjustment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60" w:type="dxa"/>
            <w:vAlign w:val="bottom"/>
          </w:tcPr>
          <w:p>
            <w:pPr>
              <w:ind w:left="140"/>
              <w:spacing w:after="0" w:line="108" w:lineRule="exact"/>
              <w:rPr>
                <w:sz w:val="20"/>
                <w:szCs w:val="20"/>
                <w:color w:val="auto"/>
              </w:rPr>
            </w:pPr>
            <w:r>
              <w:rPr>
                <w:rFonts w:ascii="Arial" w:cs="Arial" w:eastAsia="Arial" w:hAnsi="Arial"/>
                <w:sz w:val="10"/>
                <w:szCs w:val="10"/>
                <w:color w:val="auto"/>
              </w:rPr>
              <w:t>Net change in unrealized cash</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(4,115)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(4,115)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(3,091)</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(7,206)</w:t>
            </w:r>
          </w:p>
        </w:tc>
        <w:tc>
          <w:tcPr>
            <w:tcW w:w="0" w:type="dxa"/>
            <w:vAlign w:val="bottom"/>
          </w:tcPr>
          <w:p>
            <w:pPr>
              <w:spacing w:after="0"/>
              <w:rPr>
                <w:sz w:val="1"/>
                <w:szCs w:val="1"/>
                <w:color w:val="auto"/>
              </w:rPr>
            </w:pPr>
          </w:p>
        </w:tc>
      </w:tr>
      <w:tr>
        <w:trPr>
          <w:trHeight w:val="131"/>
        </w:trPr>
        <w:tc>
          <w:tcPr>
            <w:tcW w:w="1660" w:type="dxa"/>
            <w:vAlign w:val="bottom"/>
          </w:tcPr>
          <w:p>
            <w:pPr>
              <w:ind w:left="140"/>
              <w:spacing w:after="0"/>
              <w:rPr>
                <w:sz w:val="20"/>
                <w:szCs w:val="20"/>
                <w:color w:val="auto"/>
              </w:rPr>
            </w:pPr>
            <w:r>
              <w:rPr>
                <w:rFonts w:ascii="Arial" w:cs="Arial" w:eastAsia="Arial" w:hAnsi="Arial"/>
                <w:sz w:val="10"/>
                <w:szCs w:val="10"/>
                <w:color w:val="auto"/>
              </w:rPr>
              <w:t>flow hedges gains (losses)</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6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Dividends ($0.24 per share of</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Class A and Class B common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stock and participating Restricted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Stock Unit and Restricted Stock</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Awards) and distributions from</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Virtu Financial to non-controlling</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(29,483)</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(29,483)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(103,062)</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(132,545)</w:t>
            </w:r>
          </w:p>
        </w:tc>
        <w:tc>
          <w:tcPr>
            <w:tcW w:w="0" w:type="dxa"/>
            <w:vAlign w:val="bottom"/>
          </w:tcPr>
          <w:p>
            <w:pPr>
              <w:spacing w:after="0"/>
              <w:rPr>
                <w:sz w:val="1"/>
                <w:szCs w:val="1"/>
                <w:color w:val="auto"/>
              </w:rPr>
            </w:pPr>
          </w:p>
        </w:tc>
      </w:tr>
      <w:tr>
        <w:trPr>
          <w:trHeight w:val="134"/>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interest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60" w:type="dxa"/>
            <w:vAlign w:val="bottom"/>
          </w:tcPr>
          <w:p>
            <w:pPr>
              <w:ind w:left="140"/>
              <w:spacing w:after="0" w:line="108" w:lineRule="exact"/>
              <w:rPr>
                <w:sz w:val="20"/>
                <w:szCs w:val="20"/>
                <w:color w:val="auto"/>
              </w:rPr>
            </w:pPr>
            <w:r>
              <w:rPr>
                <w:rFonts w:ascii="Arial" w:cs="Arial" w:eastAsia="Arial" w:hAnsi="Arial"/>
                <w:sz w:val="10"/>
                <w:szCs w:val="10"/>
                <w:color w:val="auto"/>
              </w:rPr>
              <w:t>Issuance of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00" w:type="dxa"/>
            <w:vAlign w:val="bottom"/>
            <w:vMerge w:val="restart"/>
          </w:tcPr>
          <w:p>
            <w:pPr>
              <w:jc w:val="right"/>
              <w:ind w:right="8"/>
              <w:spacing w:after="0"/>
              <w:rPr>
                <w:sz w:val="20"/>
                <w:szCs w:val="20"/>
                <w:color w:val="auto"/>
              </w:rPr>
            </w:pPr>
            <w:r>
              <w:rPr>
                <w:rFonts w:ascii="Arial" w:cs="Arial" w:eastAsia="Arial" w:hAnsi="Arial"/>
                <w:sz w:val="10"/>
                <w:szCs w:val="10"/>
                <w:color w:val="auto"/>
              </w:rPr>
              <w:t>290,524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660" w:type="dxa"/>
            <w:vAlign w:val="bottom"/>
          </w:tcPr>
          <w:p>
            <w:pPr>
              <w:ind w:left="140"/>
              <w:spacing w:after="0"/>
              <w:rPr>
                <w:sz w:val="20"/>
                <w:szCs w:val="20"/>
                <w:color w:val="auto"/>
              </w:rPr>
            </w:pPr>
            <w:r>
              <w:rPr>
                <w:rFonts w:ascii="Arial" w:cs="Arial" w:eastAsia="Arial" w:hAnsi="Arial"/>
                <w:sz w:val="10"/>
                <w:szCs w:val="10"/>
                <w:color w:val="auto"/>
              </w:rPr>
              <w:t>exchanges</w:t>
            </w: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6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Repurchase of Virtu Financial</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Units and corresponding number</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of Class C common stock in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(290,524)</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exchanges</w:t>
            </w:r>
          </w:p>
        </w:tc>
        <w:tc>
          <w:tcPr>
            <w:tcW w:w="68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660" w:type="dxa"/>
            <w:vAlign w:val="bottom"/>
          </w:tcPr>
          <w:p>
            <w:pPr>
              <w:ind w:left="20"/>
              <w:spacing w:after="0"/>
              <w:rPr>
                <w:sz w:val="20"/>
                <w:szCs w:val="20"/>
                <w:color w:val="auto"/>
              </w:rPr>
            </w:pPr>
            <w:r>
              <w:rPr>
                <w:rFonts w:ascii="Arial" w:cs="Arial" w:eastAsia="Arial" w:hAnsi="Arial"/>
                <w:sz w:val="10"/>
                <w:szCs w:val="10"/>
                <w:color w:val="auto"/>
              </w:rPr>
              <w:t>Balance at June 30, 2021</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3"/>
              </w:rPr>
              <w:t>127,725,595</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9,799,036</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9"/>
              </w:rPr>
              <w:t>60,091,740</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97"/>
              </w:rPr>
              <w:t>(9,250,509)</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98"/>
              </w:rPr>
              <w:t>(253,587)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8"/>
              </w:rPr>
              <w:t>1,201,890</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648,893</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(19,117)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1,578,081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344,741</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4"/>
              </w:rPr>
              <w:t>1,922,822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70485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440" w:top="127" w:right="4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15"/>
        </w:trPr>
        <w:tc>
          <w:tcPr>
            <w:tcW w:w="1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80" w:type="dxa"/>
            <w:vAlign w:val="bottom"/>
          </w:tcPr>
          <w:p>
            <w:pPr>
              <w:spacing w:after="0"/>
              <w:rPr>
                <w:sz w:val="9"/>
                <w:szCs w:val="9"/>
                <w:color w:val="auto"/>
              </w:rPr>
            </w:pPr>
          </w:p>
        </w:tc>
        <w:tc>
          <w:tcPr>
            <w:tcW w:w="1300" w:type="dxa"/>
            <w:vAlign w:val="bottom"/>
            <w:gridSpan w:val="5"/>
            <w:vMerge w:val="restart"/>
          </w:tcPr>
          <w:p>
            <w:pPr>
              <w:ind w:left="80"/>
              <w:spacing w:after="0"/>
              <w:rPr>
                <w:sz w:val="20"/>
                <w:szCs w:val="20"/>
                <w:color w:val="auto"/>
              </w:rPr>
            </w:pPr>
            <w:r>
              <w:rPr>
                <w:rFonts w:ascii="Arial" w:cs="Arial" w:eastAsia="Arial" w:hAnsi="Arial"/>
                <w:sz w:val="10"/>
                <w:szCs w:val="10"/>
                <w:b w:val="1"/>
                <w:bCs w:val="1"/>
                <w:color w:val="auto"/>
              </w:rPr>
              <w:t>Class A Common Stock</w:t>
            </w:r>
          </w:p>
        </w:tc>
        <w:tc>
          <w:tcPr>
            <w:tcW w:w="1280" w:type="dxa"/>
            <w:vAlign w:val="bottom"/>
            <w:gridSpan w:val="5"/>
            <w:vMerge w:val="restart"/>
          </w:tcPr>
          <w:p>
            <w:pPr>
              <w:jc w:val="right"/>
              <w:ind w:right="160"/>
              <w:spacing w:after="0"/>
              <w:rPr>
                <w:sz w:val="20"/>
                <w:szCs w:val="20"/>
                <w:color w:val="auto"/>
              </w:rPr>
            </w:pPr>
            <w:r>
              <w:rPr>
                <w:rFonts w:ascii="Arial" w:cs="Arial" w:eastAsia="Arial" w:hAnsi="Arial"/>
                <w:sz w:val="10"/>
                <w:szCs w:val="10"/>
                <w:b w:val="1"/>
                <w:bCs w:val="1"/>
                <w:color w:val="auto"/>
                <w:w w:val="97"/>
              </w:rPr>
              <w:t>Class C Common Stock</w:t>
            </w:r>
          </w:p>
        </w:tc>
        <w:tc>
          <w:tcPr>
            <w:tcW w:w="1300" w:type="dxa"/>
            <w:vAlign w:val="bottom"/>
            <w:gridSpan w:val="5"/>
            <w:vMerge w:val="restart"/>
          </w:tcPr>
          <w:p>
            <w:pPr>
              <w:jc w:val="right"/>
              <w:ind w:right="160"/>
              <w:spacing w:after="0"/>
              <w:rPr>
                <w:sz w:val="20"/>
                <w:szCs w:val="20"/>
                <w:color w:val="auto"/>
              </w:rPr>
            </w:pPr>
            <w:r>
              <w:rPr>
                <w:rFonts w:ascii="Arial" w:cs="Arial" w:eastAsia="Arial" w:hAnsi="Arial"/>
                <w:sz w:val="10"/>
                <w:szCs w:val="10"/>
                <w:b w:val="1"/>
                <w:bCs w:val="1"/>
                <w:color w:val="auto"/>
                <w:w w:val="99"/>
              </w:rPr>
              <w:t>Class D Common Stock</w:t>
            </w:r>
          </w:p>
        </w:tc>
        <w:tc>
          <w:tcPr>
            <w:tcW w:w="1240" w:type="dxa"/>
            <w:vAlign w:val="bottom"/>
            <w:gridSpan w:val="5"/>
            <w:vMerge w:val="restart"/>
          </w:tcPr>
          <w:p>
            <w:pPr>
              <w:ind w:left="240"/>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4"/>
              </w:rPr>
              <w:t>Retained</w:t>
            </w:r>
          </w:p>
        </w:tc>
        <w:tc>
          <w:tcPr>
            <w:tcW w:w="60" w:type="dxa"/>
            <w:vAlign w:val="bottom"/>
          </w:tcPr>
          <w:p>
            <w:pPr>
              <w:spacing w:after="0"/>
              <w:rPr>
                <w:sz w:val="9"/>
                <w:szCs w:val="9"/>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5"/>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Total Virtu</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thousands, except</w:t>
            </w: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tcPr>
          <w:p>
            <w:pPr>
              <w:jc w:val="center"/>
              <w:ind w:right="180"/>
              <w:spacing w:after="0" w:line="72" w:lineRule="exact"/>
              <w:rPr>
                <w:sz w:val="20"/>
                <w:szCs w:val="20"/>
                <w:color w:val="auto"/>
              </w:rPr>
            </w:pPr>
            <w:r>
              <w:rPr>
                <w:rFonts w:ascii="Arial" w:cs="Arial" w:eastAsia="Arial" w:hAnsi="Arial"/>
                <w:sz w:val="8"/>
                <w:szCs w:val="8"/>
                <w:b w:val="1"/>
                <w:bCs w:val="1"/>
                <w:color w:val="auto"/>
              </w:rPr>
              <w:t>Earnings</w:t>
            </w:r>
          </w:p>
        </w:tc>
        <w:tc>
          <w:tcPr>
            <w:tcW w:w="6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Arial" w:cs="Arial" w:eastAsia="Arial" w:hAnsi="Arial"/>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Arial" w:cs="Arial" w:eastAsia="Arial" w:hAnsi="Arial"/>
                <w:sz w:val="8"/>
                <w:szCs w:val="8"/>
                <w:b w:val="1"/>
                <w:bCs w:val="1"/>
                <w:color w:val="auto"/>
              </w:rPr>
              <w:t>Financial Inc.</w:t>
            </w:r>
          </w:p>
        </w:tc>
        <w:tc>
          <w:tcPr>
            <w:tcW w:w="80" w:type="dxa"/>
            <w:vAlign w:val="bottom"/>
          </w:tcPr>
          <w:p>
            <w:pPr>
              <w:spacing w:after="0"/>
              <w:rPr>
                <w:sz w:val="6"/>
                <w:szCs w:val="6"/>
                <w:color w:val="auto"/>
              </w:rPr>
            </w:pPr>
          </w:p>
        </w:tc>
        <w:tc>
          <w:tcPr>
            <w:tcW w:w="580" w:type="dxa"/>
            <w:vAlign w:val="bottom"/>
            <w:gridSpan w:val="2"/>
          </w:tcPr>
          <w:p>
            <w:pPr>
              <w:jc w:val="center"/>
              <w:ind w:right="160"/>
              <w:spacing w:after="0" w:line="72" w:lineRule="exact"/>
              <w:rPr>
                <w:sz w:val="20"/>
                <w:szCs w:val="20"/>
                <w:color w:val="auto"/>
              </w:rPr>
            </w:pPr>
            <w:r>
              <w:rPr>
                <w:rFonts w:ascii="Arial" w:cs="Arial" w:eastAsia="Arial" w:hAnsi="Arial"/>
                <w:sz w:val="8"/>
                <w:szCs w:val="8"/>
                <w:b w:val="1"/>
                <w:bCs w:val="1"/>
                <w:color w:val="auto"/>
              </w:rPr>
              <w:t>Non-</w:t>
            </w:r>
          </w:p>
        </w:tc>
        <w:tc>
          <w:tcPr>
            <w:tcW w:w="100" w:type="dxa"/>
            <w:vAlign w:val="bottom"/>
          </w:tcPr>
          <w:p>
            <w:pPr>
              <w:spacing w:after="0"/>
              <w:rPr>
                <w:sz w:val="6"/>
                <w:szCs w:val="6"/>
                <w:color w:val="auto"/>
              </w:rPr>
            </w:pPr>
          </w:p>
        </w:tc>
        <w:tc>
          <w:tcPr>
            <w:tcW w:w="500" w:type="dxa"/>
            <w:vAlign w:val="bottom"/>
            <w:vMerge w:val="restart"/>
          </w:tcPr>
          <w:p>
            <w:pPr>
              <w:jc w:val="right"/>
              <w:ind w:right="12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80" w:type="dxa"/>
            <w:vAlign w:val="bottom"/>
            <w:vMerge w:val="continue"/>
          </w:tcPr>
          <w:p>
            <w:pPr>
              <w:spacing w:after="0"/>
              <w:rPr>
                <w:sz w:val="9"/>
                <w:szCs w:val="9"/>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Amounts</w:t>
            </w:r>
          </w:p>
        </w:tc>
        <w:tc>
          <w:tcPr>
            <w:tcW w:w="66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87"/>
              </w:rPr>
              <w:t>Amounts</w:t>
            </w:r>
          </w:p>
        </w:tc>
        <w:tc>
          <w:tcPr>
            <w:tcW w:w="6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9"/>
                <w:szCs w:val="9"/>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92"/>
              </w:rPr>
              <w:t>Amounts</w:t>
            </w:r>
          </w:p>
        </w:tc>
        <w:tc>
          <w:tcPr>
            <w:tcW w:w="64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Shares</w:t>
            </w:r>
          </w:p>
        </w:tc>
        <w:tc>
          <w:tcPr>
            <w:tcW w:w="60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spacing w:after="0"/>
              <w:rPr>
                <w:sz w:val="9"/>
                <w:szCs w:val="9"/>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6"/>
              </w:rPr>
              <w:t>Amounts</w:t>
            </w:r>
          </w:p>
        </w:tc>
        <w:tc>
          <w:tcPr>
            <w:tcW w:w="76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(Accumulated</w:t>
            </w:r>
          </w:p>
        </w:tc>
        <w:tc>
          <w:tcPr>
            <w:tcW w:w="800" w:type="dxa"/>
            <w:vAlign w:val="bottom"/>
            <w:gridSpan w:val="3"/>
          </w:tcPr>
          <w:p>
            <w:pPr>
              <w:spacing w:after="0" w:line="105" w:lineRule="exact"/>
              <w:rPr>
                <w:sz w:val="20"/>
                <w:szCs w:val="20"/>
                <w:color w:val="auto"/>
              </w:rPr>
            </w:pPr>
            <w:r>
              <w:rPr>
                <w:rFonts w:ascii="Arial" w:cs="Arial" w:eastAsia="Arial" w:hAnsi="Arial"/>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Stockholders'</w:t>
            </w:r>
          </w:p>
        </w:tc>
        <w:tc>
          <w:tcPr>
            <w:tcW w:w="66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93"/>
              </w:rPr>
              <w:t>Controlling</w:t>
            </w: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Deficit)</w:t>
            </w:r>
          </w:p>
        </w:tc>
        <w:tc>
          <w:tcPr>
            <w:tcW w:w="8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4"/>
              </w:rPr>
              <w:t>Income (Loss)</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Equity</w:t>
            </w:r>
          </w:p>
        </w:tc>
        <w:tc>
          <w:tcPr>
            <w:tcW w:w="80" w:type="dxa"/>
            <w:vAlign w:val="bottom"/>
          </w:tcPr>
          <w:p>
            <w:pPr>
              <w:spacing w:after="0"/>
              <w:rPr>
                <w:sz w:val="11"/>
                <w:szCs w:val="11"/>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Interest</w:t>
            </w:r>
          </w:p>
        </w:tc>
        <w:tc>
          <w:tcPr>
            <w:tcW w:w="100" w:type="dxa"/>
            <w:vAlign w:val="bottom"/>
          </w:tcPr>
          <w:p>
            <w:pPr>
              <w:spacing w:after="0"/>
              <w:rPr>
                <w:sz w:val="11"/>
                <w:szCs w:val="11"/>
                <w:color w:val="auto"/>
              </w:rPr>
            </w:pPr>
          </w:p>
        </w:tc>
        <w:tc>
          <w:tcPr>
            <w:tcW w:w="500" w:type="dxa"/>
            <w:vAlign w:val="bottom"/>
          </w:tcPr>
          <w:p>
            <w:pPr>
              <w:jc w:val="right"/>
              <w:ind w:right="108"/>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2"/>
        </w:trPr>
        <w:tc>
          <w:tcPr>
            <w:tcW w:w="16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December 31, 2019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3"/>
              </w:rPr>
              <w:t>120,435,912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9"/>
              </w:rPr>
              <w:t>12,887,178</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9"/>
              </w:rPr>
              <w:t>60,091,740</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97"/>
              </w:rPr>
              <w:t>(2,178,771)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6"/>
              </w:rPr>
              <w:t>(55,005)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8"/>
              </w:rPr>
              <w:t>1,077,398</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(90,374)</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(647)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931,374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297,562</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1,228,936</w:t>
            </w:r>
          </w:p>
        </w:tc>
        <w:tc>
          <w:tcPr>
            <w:tcW w:w="0" w:type="dxa"/>
            <w:vAlign w:val="bottom"/>
          </w:tcPr>
          <w:p>
            <w:pPr>
              <w:spacing w:after="0"/>
              <w:rPr>
                <w:sz w:val="1"/>
                <w:szCs w:val="1"/>
                <w:color w:val="auto"/>
              </w:rPr>
            </w:pPr>
          </w:p>
        </w:tc>
      </w:tr>
      <w:tr>
        <w:trPr>
          <w:trHeight w:val="135"/>
        </w:trPr>
        <w:tc>
          <w:tcPr>
            <w:tcW w:w="1680" w:type="dxa"/>
            <w:vAlign w:val="bottom"/>
          </w:tcPr>
          <w:p>
            <w:pPr>
              <w:ind w:left="140"/>
              <w:spacing w:after="0"/>
              <w:rPr>
                <w:sz w:val="20"/>
                <w:szCs w:val="20"/>
                <w:color w:val="auto"/>
              </w:rPr>
            </w:pPr>
            <w:r>
              <w:rPr>
                <w:rFonts w:ascii="Arial" w:cs="Arial" w:eastAsia="Arial" w:hAnsi="Arial"/>
                <w:sz w:val="10"/>
                <w:szCs w:val="10"/>
                <w:color w:val="auto"/>
              </w:rPr>
              <w:t>Share based compensation</w:t>
            </w: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1,854,961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21,357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21,357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21,357</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Treasury stock purchases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(642,869)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(9,801)</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(9,801)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(9,801)</w:t>
            </w:r>
          </w:p>
        </w:tc>
        <w:tc>
          <w:tcPr>
            <w:tcW w:w="0" w:type="dxa"/>
            <w:vAlign w:val="bottom"/>
          </w:tcPr>
          <w:p>
            <w:pPr>
              <w:spacing w:after="0"/>
              <w:rPr>
                <w:sz w:val="1"/>
                <w:szCs w:val="1"/>
                <w:color w:val="auto"/>
              </w:rPr>
            </w:pPr>
          </w:p>
        </w:tc>
      </w:tr>
      <w:tr>
        <w:trPr>
          <w:trHeight w:val="135"/>
        </w:trPr>
        <w:tc>
          <w:tcPr>
            <w:tcW w:w="1680" w:type="dxa"/>
            <w:vAlign w:val="bottom"/>
          </w:tcPr>
          <w:p>
            <w:pPr>
              <w:ind w:left="140"/>
              <w:spacing w:after="0"/>
              <w:rPr>
                <w:sz w:val="20"/>
                <w:szCs w:val="20"/>
                <w:color w:val="auto"/>
              </w:rPr>
            </w:pPr>
            <w:r>
              <w:rPr>
                <w:rFonts w:ascii="Arial" w:cs="Arial" w:eastAsia="Arial" w:hAnsi="Arial"/>
                <w:sz w:val="10"/>
                <w:szCs w:val="10"/>
                <w:color w:val="auto"/>
              </w:rPr>
              <w:t>Stock options exercised</w:t>
            </w: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213,129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3,206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3,206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3,206</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Warrants issued</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11,486</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11,486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11,486</w:t>
            </w:r>
          </w:p>
        </w:tc>
        <w:tc>
          <w:tcPr>
            <w:tcW w:w="0" w:type="dxa"/>
            <w:vAlign w:val="bottom"/>
          </w:tcPr>
          <w:p>
            <w:pPr>
              <w:spacing w:after="0"/>
              <w:rPr>
                <w:sz w:val="1"/>
                <w:szCs w:val="1"/>
                <w:color w:val="auto"/>
              </w:rPr>
            </w:pPr>
          </w:p>
        </w:tc>
      </w:tr>
      <w:tr>
        <w:trPr>
          <w:trHeight w:val="135"/>
        </w:trPr>
        <w:tc>
          <w:tcPr>
            <w:tcW w:w="1680" w:type="dxa"/>
            <w:vAlign w:val="bottom"/>
          </w:tcPr>
          <w:p>
            <w:pPr>
              <w:ind w:left="140"/>
              <w:spacing w:after="0"/>
              <w:rPr>
                <w:sz w:val="20"/>
                <w:szCs w:val="20"/>
                <w:color w:val="auto"/>
              </w:rPr>
            </w:pPr>
            <w:r>
              <w:rPr>
                <w:rFonts w:ascii="Arial" w:cs="Arial" w:eastAsia="Arial" w:hAnsi="Arial"/>
                <w:sz w:val="10"/>
                <w:szCs w:val="10"/>
                <w:color w:val="auto"/>
              </w:rPr>
              <w:t>Net income</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221,069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221,069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167,169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388,238</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8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Foreign exchange translation</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(5,884)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(5,884)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(4,512)</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(10,396)</w:t>
            </w:r>
          </w:p>
        </w:tc>
        <w:tc>
          <w:tcPr>
            <w:tcW w:w="0" w:type="dxa"/>
            <w:vAlign w:val="bottom"/>
          </w:tcPr>
          <w:p>
            <w:pPr>
              <w:spacing w:after="0"/>
              <w:rPr>
                <w:sz w:val="1"/>
                <w:szCs w:val="1"/>
                <w:color w:val="auto"/>
              </w:rPr>
            </w:pPr>
          </w:p>
        </w:tc>
      </w:tr>
      <w:tr>
        <w:trPr>
          <w:trHeight w:val="134"/>
        </w:trPr>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adjustment</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80" w:type="dxa"/>
            <w:vAlign w:val="bottom"/>
          </w:tcPr>
          <w:p>
            <w:pPr>
              <w:ind w:left="140"/>
              <w:spacing w:after="0" w:line="108" w:lineRule="exact"/>
              <w:rPr>
                <w:sz w:val="20"/>
                <w:szCs w:val="20"/>
                <w:color w:val="auto"/>
              </w:rPr>
            </w:pPr>
            <w:r>
              <w:rPr>
                <w:rFonts w:ascii="Arial" w:cs="Arial" w:eastAsia="Arial" w:hAnsi="Arial"/>
                <w:sz w:val="10"/>
                <w:szCs w:val="10"/>
                <w:color w:val="auto"/>
              </w:rPr>
              <w:t>Net change in unrealized cash</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(31,468)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(31,468)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(24,134)</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(55,602)</w:t>
            </w:r>
          </w:p>
        </w:tc>
        <w:tc>
          <w:tcPr>
            <w:tcW w:w="0" w:type="dxa"/>
            <w:vAlign w:val="bottom"/>
          </w:tcPr>
          <w:p>
            <w:pPr>
              <w:spacing w:after="0"/>
              <w:rPr>
                <w:sz w:val="1"/>
                <w:szCs w:val="1"/>
                <w:color w:val="auto"/>
              </w:rPr>
            </w:pPr>
          </w:p>
        </w:tc>
      </w:tr>
      <w:tr>
        <w:trPr>
          <w:trHeight w:val="131"/>
        </w:trPr>
        <w:tc>
          <w:tcPr>
            <w:tcW w:w="1680" w:type="dxa"/>
            <w:vAlign w:val="bottom"/>
          </w:tcPr>
          <w:p>
            <w:pPr>
              <w:ind w:left="140"/>
              <w:spacing w:after="0"/>
              <w:rPr>
                <w:sz w:val="20"/>
                <w:szCs w:val="20"/>
                <w:color w:val="auto"/>
              </w:rPr>
            </w:pPr>
            <w:r>
              <w:rPr>
                <w:rFonts w:ascii="Arial" w:cs="Arial" w:eastAsia="Arial" w:hAnsi="Arial"/>
                <w:sz w:val="10"/>
                <w:szCs w:val="10"/>
                <w:color w:val="auto"/>
              </w:rPr>
              <w:t>flow hedges gains (losses)</w:t>
            </w: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8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Dividends ($0.24 per share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Class A common stock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participating Restricted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Unit and Restricted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Awards) and distributions from</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Virtu Financial to non-controlling</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(29,602)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(29,602)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(19,165)</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(48,767)</w:t>
            </w:r>
          </w:p>
        </w:tc>
        <w:tc>
          <w:tcPr>
            <w:tcW w:w="0" w:type="dxa"/>
            <w:vAlign w:val="bottom"/>
          </w:tcPr>
          <w:p>
            <w:pPr>
              <w:spacing w:after="0"/>
              <w:rPr>
                <w:sz w:val="1"/>
                <w:szCs w:val="1"/>
                <w:color w:val="auto"/>
              </w:rPr>
            </w:pPr>
          </w:p>
        </w:tc>
      </w:tr>
      <w:tr>
        <w:trPr>
          <w:trHeight w:val="134"/>
        </w:trPr>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interest</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80" w:type="dxa"/>
            <w:vAlign w:val="bottom"/>
          </w:tcPr>
          <w:p>
            <w:pPr>
              <w:ind w:left="140"/>
              <w:spacing w:after="0" w:line="108" w:lineRule="exact"/>
              <w:rPr>
                <w:sz w:val="20"/>
                <w:szCs w:val="20"/>
                <w:color w:val="auto"/>
              </w:rPr>
            </w:pPr>
            <w:r>
              <w:rPr>
                <w:rFonts w:ascii="Arial" w:cs="Arial" w:eastAsia="Arial" w:hAnsi="Arial"/>
                <w:sz w:val="10"/>
                <w:szCs w:val="10"/>
                <w:color w:val="auto"/>
              </w:rPr>
              <w:t>Issuance of common stock in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580" w:type="dxa"/>
            <w:vAlign w:val="bottom"/>
            <w:vMerge w:val="restart"/>
          </w:tcPr>
          <w:p>
            <w:pPr>
              <w:jc w:val="right"/>
              <w:ind w:right="8"/>
              <w:spacing w:after="0"/>
              <w:rPr>
                <w:sz w:val="20"/>
                <w:szCs w:val="20"/>
                <w:color w:val="auto"/>
              </w:rPr>
            </w:pPr>
            <w:r>
              <w:rPr>
                <w:rFonts w:ascii="Arial" w:cs="Arial" w:eastAsia="Arial" w:hAnsi="Arial"/>
                <w:sz w:val="10"/>
                <w:szCs w:val="10"/>
                <w:color w:val="auto"/>
              </w:rPr>
              <w:t>724,327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680" w:type="dxa"/>
            <w:vAlign w:val="bottom"/>
          </w:tcPr>
          <w:p>
            <w:pPr>
              <w:ind w:left="140"/>
              <w:spacing w:after="0"/>
              <w:rPr>
                <w:sz w:val="20"/>
                <w:szCs w:val="20"/>
                <w:color w:val="auto"/>
              </w:rPr>
            </w:pPr>
            <w:r>
              <w:rPr>
                <w:rFonts w:ascii="Arial" w:cs="Arial" w:eastAsia="Arial" w:hAnsi="Arial"/>
                <w:sz w:val="10"/>
                <w:szCs w:val="10"/>
                <w:color w:val="auto"/>
              </w:rPr>
              <w:t>exchanges</w:t>
            </w: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8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Repurchase of Virtu Financial</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Units and corresponding number</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of Class C common stock in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(724,327)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exchanges</w:t>
            </w: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80" w:type="dxa"/>
            <w:vAlign w:val="bottom"/>
          </w:tcPr>
          <w:p>
            <w:pPr>
              <w:ind w:left="20"/>
              <w:spacing w:after="0"/>
              <w:rPr>
                <w:sz w:val="20"/>
                <w:szCs w:val="20"/>
                <w:color w:val="auto"/>
              </w:rPr>
            </w:pPr>
            <w:r>
              <w:rPr>
                <w:rFonts w:ascii="Arial" w:cs="Arial" w:eastAsia="Arial" w:hAnsi="Arial"/>
                <w:sz w:val="10"/>
                <w:szCs w:val="10"/>
                <w:color w:val="auto"/>
              </w:rPr>
              <w:t>Balance at March 31, 2020</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3"/>
              </w:rPr>
              <w:t>122,585,460</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9"/>
              </w:rPr>
              <w:t>12,162,851</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9"/>
              </w:rPr>
              <w:t>60,091,740</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6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auto"/>
                <w:w w:val="97"/>
              </w:rPr>
              <w:t>(2,178,771)</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6"/>
              </w:rPr>
              <w:t>(55,005)</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8"/>
              </w:rPr>
              <w:t>1,113,447</w:t>
            </w:r>
          </w:p>
        </w:tc>
        <w:tc>
          <w:tcPr>
            <w:tcW w:w="6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91,292</w:t>
            </w: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(37,999)</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1,111,737</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416,920</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4"/>
              </w:rPr>
              <w:t>1,528,657</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Share based compensation</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36,771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7,839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7,839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7,839</w:t>
            </w:r>
          </w:p>
        </w:tc>
        <w:tc>
          <w:tcPr>
            <w:tcW w:w="0" w:type="dxa"/>
            <w:vAlign w:val="bottom"/>
          </w:tcPr>
          <w:p>
            <w:pPr>
              <w:spacing w:after="0"/>
              <w:rPr>
                <w:sz w:val="1"/>
                <w:szCs w:val="1"/>
                <w:color w:val="auto"/>
              </w:rPr>
            </w:pPr>
          </w:p>
        </w:tc>
      </w:tr>
      <w:tr>
        <w:trPr>
          <w:trHeight w:val="135"/>
        </w:trPr>
        <w:tc>
          <w:tcPr>
            <w:tcW w:w="1680" w:type="dxa"/>
            <w:vAlign w:val="bottom"/>
          </w:tcPr>
          <w:p>
            <w:pPr>
              <w:ind w:left="140"/>
              <w:spacing w:after="0"/>
              <w:rPr>
                <w:sz w:val="20"/>
                <w:szCs w:val="20"/>
                <w:color w:val="auto"/>
              </w:rPr>
            </w:pPr>
            <w:r>
              <w:rPr>
                <w:rFonts w:ascii="Arial" w:cs="Arial" w:eastAsia="Arial" w:hAnsi="Arial"/>
                <w:sz w:val="10"/>
                <w:szCs w:val="10"/>
                <w:color w:val="auto"/>
              </w:rPr>
              <w:t>Treasury stock purchases</w:t>
            </w:r>
          </w:p>
        </w:tc>
        <w:tc>
          <w:tcPr>
            <w:tcW w:w="580" w:type="dxa"/>
            <w:vAlign w:val="bottom"/>
          </w:tcPr>
          <w:p>
            <w:pPr>
              <w:jc w:val="right"/>
              <w:spacing w:after="0"/>
              <w:rPr>
                <w:sz w:val="20"/>
                <w:szCs w:val="20"/>
                <w:color w:val="auto"/>
              </w:rPr>
            </w:pPr>
            <w:r>
              <w:rPr>
                <w:rFonts w:ascii="Arial" w:cs="Arial" w:eastAsia="Arial" w:hAnsi="Arial"/>
                <w:sz w:val="10"/>
                <w:szCs w:val="10"/>
                <w:color w:val="auto"/>
              </w:rPr>
              <w:t>(8,727)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(360)</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Stock options exercised</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404,794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7,691</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7,691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7,691</w:t>
            </w:r>
          </w:p>
        </w:tc>
        <w:tc>
          <w:tcPr>
            <w:tcW w:w="0" w:type="dxa"/>
            <w:vAlign w:val="bottom"/>
          </w:tcPr>
          <w:p>
            <w:pPr>
              <w:spacing w:after="0"/>
              <w:rPr>
                <w:sz w:val="1"/>
                <w:szCs w:val="1"/>
                <w:color w:val="auto"/>
              </w:rPr>
            </w:pPr>
          </w:p>
        </w:tc>
      </w:tr>
      <w:tr>
        <w:trPr>
          <w:trHeight w:val="135"/>
        </w:trPr>
        <w:tc>
          <w:tcPr>
            <w:tcW w:w="1680" w:type="dxa"/>
            <w:vAlign w:val="bottom"/>
          </w:tcPr>
          <w:p>
            <w:pPr>
              <w:ind w:left="140"/>
              <w:spacing w:after="0"/>
              <w:rPr>
                <w:sz w:val="20"/>
                <w:szCs w:val="20"/>
                <w:color w:val="auto"/>
              </w:rPr>
            </w:pPr>
            <w:r>
              <w:rPr>
                <w:rFonts w:ascii="Arial" w:cs="Arial" w:eastAsia="Arial" w:hAnsi="Arial"/>
                <w:sz w:val="10"/>
                <w:szCs w:val="10"/>
                <w:color w:val="auto"/>
              </w:rPr>
              <w:t>Net income</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199,142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199,142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136,143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335,285</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8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Foreign exchange translation</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3,674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3,674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2,770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6,444</w:t>
            </w:r>
          </w:p>
        </w:tc>
        <w:tc>
          <w:tcPr>
            <w:tcW w:w="0" w:type="dxa"/>
            <w:vAlign w:val="bottom"/>
          </w:tcPr>
          <w:p>
            <w:pPr>
              <w:spacing w:after="0"/>
              <w:rPr>
                <w:sz w:val="1"/>
                <w:szCs w:val="1"/>
                <w:color w:val="auto"/>
              </w:rPr>
            </w:pPr>
          </w:p>
        </w:tc>
      </w:tr>
      <w:tr>
        <w:trPr>
          <w:trHeight w:val="134"/>
        </w:trPr>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adjustment</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80" w:type="dxa"/>
            <w:vAlign w:val="bottom"/>
          </w:tcPr>
          <w:p>
            <w:pPr>
              <w:ind w:left="140"/>
              <w:spacing w:after="0" w:line="108" w:lineRule="exact"/>
              <w:rPr>
                <w:sz w:val="20"/>
                <w:szCs w:val="20"/>
                <w:color w:val="auto"/>
              </w:rPr>
            </w:pPr>
            <w:r>
              <w:rPr>
                <w:rFonts w:ascii="Arial" w:cs="Arial" w:eastAsia="Arial" w:hAnsi="Arial"/>
                <w:sz w:val="10"/>
                <w:szCs w:val="10"/>
                <w:color w:val="auto"/>
              </w:rPr>
              <w:t>Net change in unrealized cash</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(5,242)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(5,242)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(3,895)</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(9,137)</w:t>
            </w:r>
          </w:p>
        </w:tc>
        <w:tc>
          <w:tcPr>
            <w:tcW w:w="0" w:type="dxa"/>
            <w:vAlign w:val="bottom"/>
          </w:tcPr>
          <w:p>
            <w:pPr>
              <w:spacing w:after="0"/>
              <w:rPr>
                <w:sz w:val="1"/>
                <w:szCs w:val="1"/>
                <w:color w:val="auto"/>
              </w:rPr>
            </w:pPr>
          </w:p>
        </w:tc>
      </w:tr>
      <w:tr>
        <w:trPr>
          <w:trHeight w:val="131"/>
        </w:trPr>
        <w:tc>
          <w:tcPr>
            <w:tcW w:w="1680" w:type="dxa"/>
            <w:vAlign w:val="bottom"/>
          </w:tcPr>
          <w:p>
            <w:pPr>
              <w:ind w:left="140"/>
              <w:spacing w:after="0"/>
              <w:rPr>
                <w:sz w:val="20"/>
                <w:szCs w:val="20"/>
                <w:color w:val="auto"/>
              </w:rPr>
            </w:pPr>
            <w:r>
              <w:rPr>
                <w:rFonts w:ascii="Arial" w:cs="Arial" w:eastAsia="Arial" w:hAnsi="Arial"/>
                <w:sz w:val="10"/>
                <w:szCs w:val="10"/>
                <w:color w:val="auto"/>
              </w:rPr>
              <w:t>flow hedges gains (losses)</w:t>
            </w: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8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Dividends ($0.24 per share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Class A and Class B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stock and participating Restricted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Stock Unit and Restricted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Award) and distributions from</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Virtu Financial to non-controlling</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(30,201)</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(30,201)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(145,211)</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(175,412)</w:t>
            </w:r>
          </w:p>
        </w:tc>
        <w:tc>
          <w:tcPr>
            <w:tcW w:w="0" w:type="dxa"/>
            <w:vAlign w:val="bottom"/>
          </w:tcPr>
          <w:p>
            <w:pPr>
              <w:spacing w:after="0"/>
              <w:rPr>
                <w:sz w:val="1"/>
                <w:szCs w:val="1"/>
                <w:color w:val="auto"/>
              </w:rPr>
            </w:pPr>
          </w:p>
        </w:tc>
      </w:tr>
      <w:tr>
        <w:trPr>
          <w:trHeight w:val="134"/>
        </w:trPr>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interest</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80" w:type="dxa"/>
            <w:vAlign w:val="bottom"/>
          </w:tcPr>
          <w:p>
            <w:pPr>
              <w:ind w:left="140"/>
              <w:spacing w:after="0" w:line="108" w:lineRule="exact"/>
              <w:rPr>
                <w:sz w:val="20"/>
                <w:szCs w:val="20"/>
                <w:color w:val="auto"/>
              </w:rPr>
            </w:pPr>
            <w:r>
              <w:rPr>
                <w:rFonts w:ascii="Arial" w:cs="Arial" w:eastAsia="Arial" w:hAnsi="Arial"/>
                <w:sz w:val="10"/>
                <w:szCs w:val="10"/>
                <w:color w:val="auto"/>
              </w:rPr>
              <w:t>Issuance of common stock in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580" w:type="dxa"/>
            <w:vAlign w:val="bottom"/>
            <w:vMerge w:val="restart"/>
          </w:tcPr>
          <w:p>
            <w:pPr>
              <w:jc w:val="right"/>
              <w:ind w:right="8"/>
              <w:spacing w:after="0"/>
              <w:rPr>
                <w:sz w:val="20"/>
                <w:szCs w:val="20"/>
                <w:color w:val="auto"/>
              </w:rPr>
            </w:pPr>
            <w:r>
              <w:rPr>
                <w:rFonts w:ascii="Arial" w:cs="Arial" w:eastAsia="Arial" w:hAnsi="Arial"/>
                <w:sz w:val="10"/>
                <w:szCs w:val="10"/>
                <w:color w:val="auto"/>
              </w:rPr>
              <w:t>1,635,912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680" w:type="dxa"/>
            <w:vAlign w:val="bottom"/>
          </w:tcPr>
          <w:p>
            <w:pPr>
              <w:ind w:left="140"/>
              <w:spacing w:after="0"/>
              <w:rPr>
                <w:sz w:val="20"/>
                <w:szCs w:val="20"/>
                <w:color w:val="auto"/>
              </w:rPr>
            </w:pPr>
            <w:r>
              <w:rPr>
                <w:rFonts w:ascii="Arial" w:cs="Arial" w:eastAsia="Arial" w:hAnsi="Arial"/>
                <w:sz w:val="10"/>
                <w:szCs w:val="10"/>
                <w:color w:val="auto"/>
              </w:rPr>
              <w:t>exchanges</w:t>
            </w: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8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Repurchase of Virtu Financial</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Units and corresponding number</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of Class C common stock in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(1,635,912)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exchanges</w:t>
            </w: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680" w:type="dxa"/>
            <w:vAlign w:val="bottom"/>
          </w:tcPr>
          <w:p>
            <w:pPr>
              <w:ind w:left="20"/>
              <w:spacing w:after="0"/>
              <w:rPr>
                <w:sz w:val="20"/>
                <w:szCs w:val="20"/>
                <w:color w:val="auto"/>
              </w:rPr>
            </w:pPr>
            <w:r>
              <w:rPr>
                <w:rFonts w:ascii="Arial" w:cs="Arial" w:eastAsia="Arial" w:hAnsi="Arial"/>
                <w:sz w:val="10"/>
                <w:szCs w:val="10"/>
                <w:color w:val="auto"/>
              </w:rPr>
              <w:t>Balance at June 30, 2020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93"/>
              </w:rPr>
              <w:t>124,654,210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9"/>
              </w:rPr>
              <w:t>10,526,939</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9"/>
              </w:rPr>
              <w:t>60,091,740</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97"/>
              </w:rPr>
              <w:t>(2,178,771)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96"/>
              </w:rPr>
              <w:t>(55,005)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8"/>
              </w:rPr>
              <w:t>1,128,977</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259,873</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(39,567)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1,294,280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406,727</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4"/>
              </w:rPr>
              <w:t>1,701,007</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75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75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346" w:lineRule="exact"/>
        <w:rPr>
          <w:sz w:val="20"/>
          <w:szCs w:val="20"/>
          <w:color w:val="auto"/>
        </w:rPr>
      </w:pPr>
    </w:p>
    <w:tbl>
      <w:tblPr>
        <w:tblLayout w:type="fixed"/>
        <w:tblInd w:w="78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980" w:type="dxa"/>
            <w:vAlign w:val="bottom"/>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0"/>
              <w:spacing w:after="0"/>
              <w:rPr>
                <w:sz w:val="20"/>
                <w:szCs w:val="20"/>
                <w:color w:val="auto"/>
              </w:rPr>
            </w:pPr>
            <w:r>
              <w:rPr>
                <w:rFonts w:ascii="Arial" w:cs="Arial" w:eastAsia="Arial" w:hAnsi="Arial"/>
                <w:sz w:val="14"/>
                <w:szCs w:val="14"/>
                <w:b w:val="1"/>
                <w:bCs w:val="1"/>
                <w:color w:val="auto"/>
              </w:rPr>
              <w:t>2020</w:t>
            </w:r>
          </w:p>
        </w:tc>
      </w:tr>
      <w:tr>
        <w:trPr>
          <w:trHeight w:val="177"/>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518,139</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723,523</w:t>
            </w:r>
          </w:p>
        </w:tc>
      </w:tr>
      <w:tr>
        <w:trPr>
          <w:trHeight w:val="212"/>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34,073</w:t>
            </w:r>
          </w:p>
        </w:tc>
      </w:tr>
      <w:tr>
        <w:trPr>
          <w:trHeight w:val="181"/>
        </w:trPr>
        <w:tc>
          <w:tcPr>
            <w:tcW w:w="7080" w:type="dxa"/>
            <w:vAlign w:val="bottom"/>
            <w:gridSpan w:val="2"/>
          </w:tcPr>
          <w:p>
            <w:pPr>
              <w:ind w:left="20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36,154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37,912</w:t>
            </w:r>
          </w:p>
        </w:tc>
      </w:tr>
      <w:tr>
        <w:trPr>
          <w:trHeight w:val="18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Debt issue cost related to debt refinancing and prepayment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5,486</w:t>
            </w:r>
          </w:p>
        </w:tc>
      </w:tr>
      <w:tr>
        <w:trPr>
          <w:trHeight w:val="181"/>
        </w:trPr>
        <w:tc>
          <w:tcPr>
            <w:tcW w:w="7080" w:type="dxa"/>
            <w:vAlign w:val="bottom"/>
            <w:gridSpan w:val="2"/>
          </w:tcPr>
          <w:p>
            <w:pPr>
              <w:ind w:left="200"/>
              <w:spacing w:after="0"/>
              <w:rPr>
                <w:sz w:val="20"/>
                <w:szCs w:val="20"/>
                <w:color w:val="auto"/>
              </w:rPr>
            </w:pPr>
            <w:r>
              <w:rPr>
                <w:rFonts w:ascii="Arial" w:cs="Arial" w:eastAsia="Arial" w:hAnsi="Arial"/>
                <w:sz w:val="14"/>
                <w:szCs w:val="14"/>
                <w:color w:val="auto"/>
              </w:rPr>
              <w:t>Amortization of debt issuance costs and deferred financing fees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3,547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14,650</w:t>
            </w:r>
          </w:p>
        </w:tc>
      </w:tr>
      <w:tr>
        <w:trPr>
          <w:trHeight w:val="18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Termination of office leases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r>
      <w:tr>
        <w:trPr>
          <w:trHeight w:val="181"/>
        </w:trPr>
        <w:tc>
          <w:tcPr>
            <w:tcW w:w="7080" w:type="dxa"/>
            <w:vAlign w:val="bottom"/>
            <w:gridSpan w:val="2"/>
          </w:tcPr>
          <w:p>
            <w:pPr>
              <w:ind w:left="200"/>
              <w:spacing w:after="0"/>
              <w:rPr>
                <w:sz w:val="20"/>
                <w:szCs w:val="20"/>
                <w:color w:val="auto"/>
              </w:rPr>
            </w:pPr>
            <w:r>
              <w:rPr>
                <w:rFonts w:ascii="Arial" w:cs="Arial" w:eastAsia="Arial" w:hAnsi="Arial"/>
                <w:sz w:val="14"/>
                <w:szCs w:val="14"/>
                <w:color w:val="auto"/>
              </w:rPr>
              <w:t>Share-based compensation</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25,330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37,012</w:t>
            </w:r>
          </w:p>
        </w:tc>
      </w:tr>
      <w:tr>
        <w:trPr>
          <w:trHeight w:val="18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Deferred taxes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18,827</w:t>
            </w:r>
          </w:p>
        </w:tc>
      </w:tr>
      <w:tr>
        <w:trPr>
          <w:trHeight w:val="181"/>
        </w:trPr>
        <w:tc>
          <w:tcPr>
            <w:tcW w:w="7080" w:type="dxa"/>
            <w:vAlign w:val="bottom"/>
            <w:gridSpan w:val="2"/>
          </w:tcPr>
          <w:p>
            <w:pPr>
              <w:ind w:left="20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(1,153)</w:t>
            </w:r>
          </w:p>
        </w:tc>
      </w:tr>
      <w:tr>
        <w:trPr>
          <w:trHeight w:val="18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Securities borrowed</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(110,281)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492,986</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(101,210)</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Receivables from broker-dealers and clearing organizations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74,941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(1,122,699)</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Trading assets, at fair value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(526,615)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124,097</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Receivables from customers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(171,975)</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19,995</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47,750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10,175</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Securities loaned</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194,485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(395,985)</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Securities sold under agreements to repurchase</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29,644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(28,174)</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Payables to broker-dealers and clearing organizations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308,723</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Payables to customers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9,033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58,800</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Trading liabilities, at fair value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199,680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255,889</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(25,762)</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Accounts payable, accrued expenses and other liabilities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(76,580)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203,804</w:t>
            </w:r>
          </w:p>
        </w:tc>
      </w:tr>
      <w:tr>
        <w:trPr>
          <w:trHeight w:val="174"/>
        </w:trPr>
        <w:tc>
          <w:tcPr>
            <w:tcW w:w="7080" w:type="dxa"/>
            <w:vAlign w:val="bottom"/>
            <w:gridSpan w:val="2"/>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355,441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499,277</w:t>
            </w:r>
          </w:p>
        </w:tc>
      </w:tr>
      <w:tr>
        <w:trPr>
          <w:trHeight w:val="212"/>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3"/>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4"/>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Development of capitalized software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(11,895)</w:t>
            </w: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Acquisition of property and equipment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(20,082)</w:t>
            </w:r>
          </w:p>
        </w:tc>
      </w:tr>
      <w:tr>
        <w:trPr>
          <w:trHeight w:val="186"/>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Investment in joint ventures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(4,716)</w:t>
            </w:r>
          </w:p>
        </w:tc>
      </w:tr>
      <w:tr>
        <w:trPr>
          <w:trHeight w:val="174"/>
        </w:trPr>
        <w:tc>
          <w:tcPr>
            <w:tcW w:w="7080" w:type="dxa"/>
            <w:vAlign w:val="bottom"/>
            <w:gridSpan w:val="2"/>
          </w:tcPr>
          <w:p>
            <w:pPr>
              <w:ind w:left="44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(42,738)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(36,693)</w:t>
            </w:r>
          </w:p>
        </w:tc>
      </w:tr>
      <w:tr>
        <w:trPr>
          <w:trHeight w:val="212"/>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3"/>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4"/>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Dividends to stockholders and distributions from Virtu Financial to non-controlling interest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(321,931)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(224,179)</w:t>
            </w: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Repurchase of Class C common stock</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Purchase of treasury stock</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(180,837)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(10,161)</w:t>
            </w: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Stock options exercised</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7,752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10,898</w:t>
            </w:r>
          </w:p>
        </w:tc>
      </w:tr>
      <w:tr>
        <w:trPr>
          <w:trHeight w:val="186"/>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Short-term borrowings, net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151,396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(49,312)</w:t>
            </w: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Repayment of long term borrowings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(36,737)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(188,556)</w:t>
            </w:r>
          </w:p>
        </w:tc>
      </w:tr>
      <w:tr>
        <w:trPr>
          <w:trHeight w:val="186"/>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Tax receivable agreement obligations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(13,286)</w:t>
            </w:r>
          </w:p>
        </w:tc>
      </w:tr>
      <w:tr>
        <w:trPr>
          <w:trHeight w:val="181"/>
        </w:trPr>
        <w:tc>
          <w:tcPr>
            <w:tcW w:w="7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Debt issuance costs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(9,301)</w:t>
            </w:r>
          </w:p>
        </w:tc>
      </w:tr>
      <w:tr>
        <w:trPr>
          <w:trHeight w:val="179"/>
        </w:trPr>
        <w:tc>
          <w:tcPr>
            <w:tcW w:w="70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(400,843)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(483,897)</w:t>
            </w: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7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w:t>
            </w: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7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decrease in cash and cash equivalents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(25,265)</w:t>
            </w:r>
          </w:p>
        </w:tc>
      </w:tr>
      <w:tr>
        <w:trPr>
          <w:trHeight w:val="181"/>
        </w:trPr>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cash equivalents, and restricted or segregated cash, beginning of period</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1,007,005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773,280</w:t>
            </w:r>
          </w:p>
        </w:tc>
      </w:tr>
      <w:tr>
        <w:trPr>
          <w:trHeight w:val="204"/>
        </w:trPr>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or segregated cash, end of period</w:t>
            </w: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915,255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748,015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6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3"/>
        </w:trPr>
        <w:tc>
          <w:tcPr>
            <w:tcW w:w="7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Cash paid for interest</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75,548</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98,750</w:t>
            </w:r>
          </w:p>
        </w:tc>
      </w:tr>
      <w:tr>
        <w:trPr>
          <w:trHeight w:val="186"/>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paid for taxes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103,083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36,451</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80"/>
          </w:cols>
          <w:pgMar w:left="320" w:top="127" w:right="109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78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ind w:left="4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260" w:type="dxa"/>
            <w:vAlign w:val="bottom"/>
          </w:tcPr>
          <w:p>
            <w:pPr>
              <w:jc w:val="right"/>
              <w:ind w:right="430"/>
              <w:spacing w:after="0"/>
              <w:rPr>
                <w:sz w:val="20"/>
                <w:szCs w:val="20"/>
                <w:color w:val="auto"/>
              </w:rPr>
            </w:pPr>
            <w:r>
              <w:rPr>
                <w:rFonts w:ascii="Arial" w:cs="Arial" w:eastAsia="Arial" w:hAnsi="Arial"/>
                <w:sz w:val="14"/>
                <w:szCs w:val="14"/>
                <w:b w:val="1"/>
                <w:bCs w:val="1"/>
                <w:color w:val="auto"/>
              </w:rPr>
              <w:t>2020</w:t>
            </w:r>
          </w:p>
        </w:tc>
      </w:tr>
      <w:tr>
        <w:trPr>
          <w:trHeight w:val="190"/>
        </w:trPr>
        <w:tc>
          <w:tcPr>
            <w:tcW w:w="6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183"/>
        </w:trPr>
        <w:tc>
          <w:tcPr>
            <w:tcW w:w="7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Non-cash investing activities</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8"/>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Share-based and accrued incentive compensation to developers relating to capitalized software</w:t>
            </w:r>
          </w:p>
        </w:tc>
        <w:tc>
          <w:tcPr>
            <w:tcW w:w="1260" w:type="dxa"/>
            <w:vAlign w:val="bottom"/>
          </w:tcPr>
          <w:p>
            <w:pPr>
              <w:jc w:val="right"/>
              <w:spacing w:after="0"/>
              <w:rPr>
                <w:sz w:val="20"/>
                <w:szCs w:val="20"/>
                <w:color w:val="auto"/>
              </w:rPr>
            </w:pPr>
            <w:r>
              <w:rPr>
                <w:rFonts w:ascii="Arial" w:cs="Arial" w:eastAsia="Arial" w:hAnsi="Arial"/>
                <w:sz w:val="14"/>
                <w:szCs w:val="14"/>
                <w:color w:val="auto"/>
              </w:rPr>
              <w:t>8,680</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7,488</w:t>
            </w:r>
          </w:p>
        </w:tc>
      </w:tr>
    </w:tbl>
    <w:p>
      <w:pPr>
        <w:spacing w:after="0" w:line="241"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80"/>
          </w:cols>
          <w:pgMar w:left="320" w:top="127" w:right="109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shares and per share amounts, unless otherwise noted)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250" w:lineRule="exact"/>
        <w:rPr>
          <w:sz w:val="20"/>
          <w:szCs w:val="20"/>
          <w:color w:val="auto"/>
        </w:rPr>
      </w:pPr>
    </w:p>
    <w:p>
      <w:pPr>
        <w:ind w:right="160" w:firstLine="629"/>
        <w:spacing w:after="0" w:line="289" w:lineRule="auto"/>
        <w:rPr>
          <w:sz w:val="20"/>
          <w:szCs w:val="20"/>
          <w:color w:val="auto"/>
        </w:rPr>
      </w:pPr>
      <w:r>
        <w:rPr>
          <w:rFonts w:ascii="Arial" w:cs="Arial" w:eastAsia="Arial" w:hAnsi="Arial"/>
          <w:sz w:val="16"/>
          <w:szCs w:val="16"/>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June 30, 2021, VFI owned approximately 63.6% of the membership interests of Virtu Financial. VFI is the sole managing member of Virtu Financial and operates and controls all of the businesses and affairs of Virtu Financial and its subsidiaries (the “Group”).</w:t>
      </w:r>
    </w:p>
    <w:p>
      <w:pPr>
        <w:spacing w:after="0" w:line="188" w:lineRule="exact"/>
        <w:rPr>
          <w:sz w:val="20"/>
          <w:szCs w:val="20"/>
          <w:color w:val="auto"/>
        </w:rPr>
      </w:pPr>
    </w:p>
    <w:p>
      <w:pPr>
        <w:ind w:right="80" w:firstLine="629"/>
        <w:spacing w:after="0" w:line="261" w:lineRule="auto"/>
        <w:rPr>
          <w:sz w:val="20"/>
          <w:szCs w:val="20"/>
          <w:color w:val="auto"/>
        </w:rPr>
      </w:pPr>
      <w:r>
        <w:rPr>
          <w:rFonts w:ascii="Arial" w:cs="Arial" w:eastAsia="Arial" w:hAnsi="Arial"/>
          <w:sz w:val="17"/>
          <w:szCs w:val="17"/>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foreign exchange, futures, fixed income and other commodities. The Company’s integrated, multi-asset analytics platform provides a range of pre- and post-trade services, data products and compliance tools that its clients rely upon to invest, trade and manage risk across global markets.</w:t>
      </w:r>
    </w:p>
    <w:p>
      <w:pPr>
        <w:spacing w:after="0" w:line="212"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The Company has completed two significant acquisitions over the past five years that have expanded and complemented Virtu Financial's original electronic trading and marking making business. On July 20, 2017 (the “KCG Closing Date”), the Company completed the all-cash acquisition of KCG Holdings, Inc. (“KCG”) (the “Acquisition of KCG”). On March 1, 2019 (the “ITG Closing Date”), the Company completed the acquisition of Investment Technology Group, Inc. and its subsidiaries (“ITG”) in an all-cash transaction valued at $30.30 per ITG share, for a total of approximately $1.0 billion (the “ITG Acquisition”). ITG's business contributes to the Company's Execution Services segment.</w:t>
      </w:r>
    </w:p>
    <w:p>
      <w:pPr>
        <w:spacing w:after="0" w:line="204" w:lineRule="exact"/>
        <w:rPr>
          <w:sz w:val="20"/>
          <w:szCs w:val="20"/>
          <w:color w:val="auto"/>
        </w:rPr>
      </w:pPr>
    </w:p>
    <w:p>
      <w:pPr>
        <w:ind w:right="140" w:firstLine="629"/>
        <w:spacing w:after="0" w:line="261" w:lineRule="auto"/>
        <w:rPr>
          <w:sz w:val="20"/>
          <w:szCs w:val="20"/>
          <w:color w:val="auto"/>
        </w:rPr>
      </w:pPr>
      <w:r>
        <w:rPr>
          <w:rFonts w:ascii="Arial" w:cs="Arial" w:eastAsia="Arial" w:hAnsi="Arial"/>
          <w:sz w:val="17"/>
          <w:szCs w:val="17"/>
          <w:color w:val="auto"/>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pre-and post-trade analysis, fair value, and trade optimization services; and Virtu ITG Platforms LLC, a provider of workflow technology solutions and network connectivity services. Principal foreign subsidiaries include Virtu Financial Ireland Limited ("VFIL") and Virtu ITG Europe Limited ("VIEL"), each formed in Ireland; Virtu ITG UK Limited ("VIUK"), formed in the United Kingdom; Virtu ITG Canada Corp. and Virtu Financial Canada ULC, each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212"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 See Note 20 "Geographic Information and Business Segments" for a further discussion of the Company’s segments.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Form of Presentation</w:t>
      </w:r>
    </w:p>
    <w:p>
      <w:pPr>
        <w:spacing w:after="0" w:line="250"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are unaudited and should be read in conjunction with the audited consolidated financial statements included in the Company’s Annual Report on Form 10-K for the year ended December 31, 2020. The 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Company does not own as noncontrolling interests. All intercompany accounts and transactions have been eliminated in consolidation.</w:t>
      </w:r>
    </w:p>
    <w:p>
      <w:pPr>
        <w:spacing w:after="0" w:line="250" w:lineRule="exact"/>
        <w:rPr>
          <w:sz w:val="20"/>
          <w:szCs w:val="20"/>
          <w:color w:val="auto"/>
        </w:rPr>
      </w:pPr>
    </w:p>
    <w:p>
      <w:pPr>
        <w:jc w:val="both"/>
        <w:ind w:right="280" w:firstLine="629"/>
        <w:spacing w:after="0" w:line="273" w:lineRule="auto"/>
        <w:rPr>
          <w:sz w:val="20"/>
          <w:szCs w:val="20"/>
          <w:color w:val="auto"/>
        </w:rPr>
      </w:pPr>
      <w:r>
        <w:rPr>
          <w:rFonts w:ascii="Arial" w:cs="Arial" w:eastAsia="Arial" w:hAnsi="Arial"/>
          <w:sz w:val="17"/>
          <w:szCs w:val="17"/>
          <w:color w:val="auto"/>
        </w:rPr>
        <w:t>Certain reclassifications have been made to the prior period's condensed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consolidated net income available to common stockholders.</w:t>
      </w:r>
    </w:p>
    <w:p>
      <w:pPr>
        <w:spacing w:after="0" w:line="197" w:lineRule="exact"/>
        <w:rPr>
          <w:sz w:val="20"/>
          <w:szCs w:val="20"/>
          <w:color w:val="auto"/>
        </w:rPr>
      </w:pPr>
    </w:p>
    <w:p>
      <w:pPr>
        <w:ind w:firstLine="629"/>
        <w:spacing w:after="0" w:line="247" w:lineRule="auto"/>
        <w:rPr>
          <w:sz w:val="20"/>
          <w:szCs w:val="20"/>
          <w:color w:val="auto"/>
        </w:rPr>
      </w:pPr>
      <w:r>
        <w:rPr>
          <w:rFonts w:ascii="Arial" w:cs="Arial" w:eastAsia="Arial" w:hAnsi="Arial"/>
          <w:sz w:val="17"/>
          <w:szCs w:val="17"/>
          <w:color w:val="auto"/>
        </w:rPr>
        <w:t>Effective for the quarter ended March 31, 2021, the Company changed the presentation of its Condensed Consolidated Statements of Changes in Equity and Condensed Consolidated Statements of Cash Flows. As a result, the Company combined $30.2 million of Dividends to stockholders and $145.2 million of Distribution from Virtu Financial to non-controlling interest, and $59.8 million of Dividends to stockholders and $164.4 million of Distribution from Virtu Financial to non-controlling interest into one line, Dividends to stockholders and distribution from Virtu Financial to non-controlling interest for the three and six months ended June 30, 2020, respectively. Dividends and distributions from Virtu Financial to non-controlling interest both represent cash payments by the Company to its equity owners which reduce Total equity.</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32" w:lineRule="exact"/>
        <w:rPr>
          <w:sz w:val="20"/>
          <w:szCs w:val="20"/>
          <w:color w:val="auto"/>
        </w:rPr>
      </w:pPr>
    </w:p>
    <w:p>
      <w:pPr>
        <w:ind w:right="840" w:firstLine="629"/>
        <w:spacing w:after="0" w:line="306" w:lineRule="auto"/>
        <w:rPr>
          <w:sz w:val="20"/>
          <w:szCs w:val="20"/>
          <w:color w:val="auto"/>
        </w:rPr>
      </w:pPr>
      <w:r>
        <w:rPr>
          <w:rFonts w:ascii="Arial" w:cs="Arial" w:eastAsia="Arial" w:hAnsi="Arial"/>
          <w:sz w:val="16"/>
          <w:szCs w:val="16"/>
          <w:color w:val="auto"/>
        </w:rPr>
        <w:t>For a detailed discussion of the Company's significant accounting policies, see Note 2 "Summary of Significant Accounting Policies" in our consolidated financial statements included in Part II, Item 8 of our Annual Report on Form 10-K for the year ended December 31, 2020.</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Recently Adopted</w:t>
      </w:r>
    </w:p>
    <w:p>
      <w:pPr>
        <w:spacing w:after="0" w:line="256" w:lineRule="exact"/>
        <w:rPr>
          <w:sz w:val="20"/>
          <w:szCs w:val="20"/>
          <w:color w:val="auto"/>
        </w:rPr>
      </w:pPr>
    </w:p>
    <w:p>
      <w:pPr>
        <w:ind w:right="340" w:firstLine="629"/>
        <w:spacing w:after="0" w:line="26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In December 2019, the FASB issued Accounting Standards Update ("ASU") 2019-12,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Income Taxes (Topic 740): Simplifying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The ASU removes certain exceptions related to the approach for intraperiod tax allocation, the methodology for calculating</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in an interim period, and the recognition of deferred tax liabilities for outside basis differences. The ASU also amends other aspects of the guidance relating to the accounting for franchise taxes, enacted changes in tax laws or rates, the accounting for transactions that result in a step-up in the tax basis of goodwill, and other tax-related items. The Company adopted this ASU on January 1, 2021 and it did not have a material impact on its condensed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Not Yet Adopted as of June 30, 2021</w:t>
      </w:r>
    </w:p>
    <w:p>
      <w:pPr>
        <w:spacing w:after="0" w:line="256"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b w:val="1"/>
          <w:bCs w:val="1"/>
          <w:i w:val="1"/>
          <w:iCs w:val="1"/>
          <w:color w:val="auto"/>
        </w:rPr>
        <w:t xml:space="preserve">Reference Rate Reform </w:t>
      </w:r>
      <w:r>
        <w:rPr>
          <w:rFonts w:ascii="Arial" w:cs="Arial" w:eastAsia="Arial" w:hAnsi="Arial"/>
          <w:sz w:val="16"/>
          <w:szCs w:val="16"/>
          <w:color w:val="auto"/>
        </w:rPr>
        <w:t>- In March 2020, the FASB issued ASU 2020-04,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Reference Rate Reform (Topic 848): Facilitation of the Effects of Reference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Rate Reform on Financial Reporting</w:t>
      </w:r>
      <w:r>
        <w:rPr>
          <w:rFonts w:ascii="Arial" w:cs="Arial" w:eastAsia="Arial" w:hAnsi="Arial"/>
          <w:sz w:val="16"/>
          <w:szCs w:val="16"/>
          <w:color w:val="auto"/>
        </w:rPr>
        <w:t>, which is designed to ease the potential burden in accounting for the transition away from LIBOR. The ASU applies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contracts, hedging relationships, and other transactions that reference LIBOR or another reference rate expected to be discontinued and replaced with alternative reference rates as a result of reference rate reform. The ASU provides optional expedients and exceptions for applying U.S. GAAP to contracts, hedging relationships, and other transactions affected by reference rate reform if certain criteria are met. The ASU is effective for all entities as of March 12, 2020 through December 31, 2022.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which expands the scope of Topic 848 to include derivative instruments that are affected by changes in the interest rates used for margining, discounting or contract price alignment as part of the market transition to new reference rates (the "discounting transition"). The Company is evaluating the impact of these ASUs, but does not expect it to have a material impact on its Condensed Consolidated Financial Statements and related disclosures.</w:t>
      </w:r>
    </w:p>
    <w:p>
      <w:pPr>
        <w:spacing w:after="0" w:line="197"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b w:val="1"/>
          <w:bCs w:val="1"/>
          <w:i w:val="1"/>
          <w:iCs w:val="1"/>
          <w:color w:val="auto"/>
        </w:rPr>
        <w:t xml:space="preserve">Convertible Instruments </w:t>
      </w:r>
      <w:r>
        <w:rPr>
          <w:rFonts w:ascii="Arial" w:cs="Arial" w:eastAsia="Arial" w:hAnsi="Arial"/>
          <w:sz w:val="17"/>
          <w:szCs w:val="17"/>
          <w:color w:val="auto"/>
        </w:rPr>
        <w:t>- In August 2020, the FASB issued ASU 2020-06,</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Debt - Debt with Conversion and Other Options (Subtopic 470-20) and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Derivatives and Hedging - Contracts in Entity's Own Equity (Subtopic 815-40). </w:t>
      </w:r>
      <w:r>
        <w:rPr>
          <w:rFonts w:ascii="Arial" w:cs="Arial" w:eastAsia="Arial" w:hAnsi="Arial"/>
          <w:sz w:val="17"/>
          <w:szCs w:val="17"/>
          <w:color w:val="auto"/>
        </w:rPr>
        <w:t>The ASU simplifies accounting for certain financial instruments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characteristics of liabilities and equity, including convertible instruments and contracts in an entity's own equity and updates selected earnings per share ("EPS") guidance. The ASU is effective for periods beginning after December 15, 2021. The Company is currently evaluating the impact of the new standard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Earnings per Share</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below table contains a reconciliation of net income (loss) before noncontrolling interest to net income (loss) available for common stockholders: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8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 and noncontrolling interest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135,002</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404,535</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624,789</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870,760</w:t>
            </w:r>
          </w:p>
        </w:tc>
        <w:tc>
          <w:tcPr>
            <w:tcW w:w="0" w:type="dxa"/>
            <w:vAlign w:val="bottom"/>
          </w:tcPr>
          <w:p>
            <w:pPr>
              <w:spacing w:after="0"/>
              <w:rPr>
                <w:sz w:val="1"/>
                <w:szCs w:val="1"/>
                <w:color w:val="auto"/>
              </w:rPr>
            </w:pPr>
          </w:p>
        </w:tc>
      </w:tr>
      <w:tr>
        <w:trPr>
          <w:trHeight w:val="181"/>
        </w:trPr>
        <w:tc>
          <w:tcPr>
            <w:tcW w:w="59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26,095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69,250</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106,650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147,237</w:t>
            </w:r>
          </w:p>
        </w:tc>
        <w:tc>
          <w:tcPr>
            <w:tcW w:w="0" w:type="dxa"/>
            <w:vAlign w:val="bottom"/>
          </w:tcPr>
          <w:p>
            <w:pPr>
              <w:spacing w:after="0"/>
              <w:rPr>
                <w:sz w:val="1"/>
                <w:szCs w:val="1"/>
                <w:color w:val="auto"/>
              </w:rPr>
            </w:pPr>
          </w:p>
        </w:tc>
      </w:tr>
      <w:tr>
        <w:trPr>
          <w:trHeight w:val="17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108,907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335,285</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518,139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723,523</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(45,997)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(136,143)</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(215,824)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(303,312)</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available for common stockholders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62,910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199,142</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302,315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420,211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2"/>
            <w:vMerge w:val="restart"/>
          </w:tcPr>
          <w:p>
            <w:pPr>
              <w:ind w:left="640"/>
              <w:spacing w:after="0"/>
              <w:rPr>
                <w:sz w:val="20"/>
                <w:szCs w:val="20"/>
                <w:color w:val="auto"/>
              </w:rPr>
            </w:pPr>
            <w:r>
              <w:rPr>
                <w:rFonts w:ascii="Arial" w:cs="Arial" w:eastAsia="Arial" w:hAnsi="Arial"/>
                <w:sz w:val="17"/>
                <w:szCs w:val="17"/>
                <w:color w:val="auto"/>
                <w:w w:val="94"/>
              </w:rPr>
              <w:t>The calculation of basic and diluted earnings per share is presented below:</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9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238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9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(in thousands, except for share or per share data)</w:t>
            </w: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Basic earnings (loss) per share:</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Net income available for common stockholders</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62,910</w:t>
            </w:r>
          </w:p>
        </w:tc>
        <w:tc>
          <w:tcPr>
            <w:tcW w:w="10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199,142</w:t>
            </w:r>
          </w:p>
        </w:tc>
        <w:tc>
          <w:tcPr>
            <w:tcW w:w="18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302,315</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420,211</w:t>
            </w:r>
          </w:p>
        </w:tc>
        <w:tc>
          <w:tcPr>
            <w:tcW w:w="0" w:type="dxa"/>
            <w:vAlign w:val="bottom"/>
          </w:tcPr>
          <w:p>
            <w:pPr>
              <w:spacing w:after="0"/>
              <w:rPr>
                <w:sz w:val="1"/>
                <w:szCs w:val="1"/>
                <w:color w:val="auto"/>
              </w:rPr>
            </w:pPr>
          </w:p>
        </w:tc>
      </w:tr>
      <w:tr>
        <w:trPr>
          <w:trHeight w:val="186"/>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Dividends and undistributed earnings allocated to participating securities</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1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(10,793)</w:t>
            </w:r>
          </w:p>
        </w:tc>
        <w:tc>
          <w:tcPr>
            <w:tcW w:w="0" w:type="dxa"/>
            <w:vAlign w:val="bottom"/>
          </w:tcPr>
          <w:p>
            <w:pPr>
              <w:spacing w:after="0"/>
              <w:rPr>
                <w:sz w:val="1"/>
                <w:szCs w:val="1"/>
                <w:color w:val="auto"/>
              </w:rPr>
            </w:pPr>
          </w:p>
        </w:tc>
      </w:tr>
      <w:tr>
        <w:trPr>
          <w:trHeight w:val="111"/>
        </w:trPr>
        <w:tc>
          <w:tcPr>
            <w:tcW w:w="5960" w:type="dxa"/>
            <w:vAlign w:val="bottom"/>
            <w:gridSpan w:val="2"/>
          </w:tcPr>
          <w:p>
            <w:pPr>
              <w:ind w:left="20"/>
              <w:spacing w:after="0" w:line="111" w:lineRule="exact"/>
              <w:rPr>
                <w:sz w:val="20"/>
                <w:szCs w:val="20"/>
                <w:color w:val="auto"/>
              </w:rPr>
            </w:pPr>
            <w:r>
              <w:rPr>
                <w:rFonts w:ascii="Arial" w:cs="Arial" w:eastAsia="Arial" w:hAnsi="Arial"/>
                <w:sz w:val="12"/>
                <w:szCs w:val="12"/>
                <w:color w:val="auto"/>
              </w:rPr>
              <w:t>Net income available for common stockholders, net of dividends and undistributed earnings allocated to</w:t>
            </w:r>
          </w:p>
        </w:tc>
        <w:tc>
          <w:tcPr>
            <w:tcW w:w="200" w:type="dxa"/>
            <w:vAlign w:val="bottom"/>
          </w:tcPr>
          <w:p>
            <w:pPr>
              <w:spacing w:after="0"/>
              <w:rPr>
                <w:sz w:val="9"/>
                <w:szCs w:val="9"/>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4"/>
                <w:szCs w:val="14"/>
                <w:color w:val="auto"/>
              </w:rPr>
              <w:t>61,109</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193,636</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294,202</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409,418</w:t>
            </w:r>
          </w:p>
        </w:tc>
        <w:tc>
          <w:tcPr>
            <w:tcW w:w="0" w:type="dxa"/>
            <w:vAlign w:val="bottom"/>
          </w:tcPr>
          <w:p>
            <w:pPr>
              <w:spacing w:after="0"/>
              <w:rPr>
                <w:sz w:val="1"/>
                <w:szCs w:val="1"/>
                <w:color w:val="auto"/>
              </w:rPr>
            </w:pPr>
          </w:p>
        </w:tc>
      </w:tr>
      <w:tr>
        <w:trPr>
          <w:trHeight w:val="181"/>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participating securities</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9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Class A</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119,681,845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121,527,673</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120,865,624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120,642,415</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CEEFF"/>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Basic earnings (loss) per share</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0.51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23"/>
                <w:szCs w:val="23"/>
                <w:color w:val="auto"/>
              </w:rPr>
            </w:pPr>
          </w:p>
        </w:tc>
        <w:tc>
          <w:tcPr>
            <w:tcW w:w="238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9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(in thousands, except for share or per share data)</w:t>
            </w: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Diluted earnings (loss) per share:</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96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92"/>
              </w:rPr>
              <w:t>Net income available for common stockholders, net of dividends and undistributed earnings allocated to</w:t>
            </w:r>
          </w:p>
        </w:tc>
        <w:tc>
          <w:tcPr>
            <w:tcW w:w="2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0"/>
              <w:spacing w:after="0"/>
              <w:rPr>
                <w:sz w:val="20"/>
                <w:szCs w:val="20"/>
                <w:color w:val="auto"/>
              </w:rPr>
            </w:pPr>
            <w:r>
              <w:rPr>
                <w:rFonts w:ascii="Arial" w:cs="Arial" w:eastAsia="Arial" w:hAnsi="Arial"/>
                <w:sz w:val="14"/>
                <w:szCs w:val="14"/>
                <w:color w:val="auto"/>
              </w:rPr>
              <w:t>61,109</w:t>
            </w:r>
          </w:p>
        </w:tc>
        <w:tc>
          <w:tcPr>
            <w:tcW w:w="100" w:type="dxa"/>
            <w:vAlign w:val="bottom"/>
          </w:tcPr>
          <w:p>
            <w:pPr>
              <w:spacing w:after="0"/>
              <w:rPr>
                <w:sz w:val="11"/>
                <w:szCs w:val="11"/>
                <w:color w:val="auto"/>
              </w:rPr>
            </w:pPr>
          </w:p>
        </w:tc>
        <w:tc>
          <w:tcPr>
            <w:tcW w:w="240" w:type="dxa"/>
            <w:vAlign w:val="bottom"/>
            <w:vMerge w:val="restart"/>
          </w:tcPr>
          <w:p>
            <w:pPr>
              <w:jc w:val="right"/>
              <w:ind w:right="90"/>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193,636</w:t>
            </w:r>
          </w:p>
        </w:tc>
        <w:tc>
          <w:tcPr>
            <w:tcW w:w="180" w:type="dxa"/>
            <w:vAlign w:val="bottom"/>
          </w:tcPr>
          <w:p>
            <w:pPr>
              <w:spacing w:after="0"/>
              <w:rPr>
                <w:sz w:val="11"/>
                <w:szCs w:val="11"/>
                <w:color w:val="auto"/>
              </w:rPr>
            </w:pPr>
          </w:p>
        </w:tc>
        <w:tc>
          <w:tcPr>
            <w:tcW w:w="280" w:type="dxa"/>
            <w:vAlign w:val="bottom"/>
            <w:vMerge w:val="restart"/>
          </w:tcPr>
          <w:p>
            <w:pPr>
              <w:jc w:val="right"/>
              <w:ind w:right="130"/>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294,202</w:t>
            </w:r>
          </w:p>
        </w:tc>
        <w:tc>
          <w:tcPr>
            <w:tcW w:w="100" w:type="dxa"/>
            <w:vAlign w:val="bottom"/>
          </w:tcPr>
          <w:p>
            <w:pPr>
              <w:spacing w:after="0"/>
              <w:rPr>
                <w:sz w:val="11"/>
                <w:szCs w:val="11"/>
                <w:color w:val="auto"/>
              </w:rPr>
            </w:pPr>
          </w:p>
        </w:tc>
        <w:tc>
          <w:tcPr>
            <w:tcW w:w="300" w:type="dxa"/>
            <w:vAlign w:val="bottom"/>
            <w:vMerge w:val="restart"/>
          </w:tcPr>
          <w:p>
            <w:pPr>
              <w:jc w:val="right"/>
              <w:ind w:right="150"/>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409,418</w:t>
            </w:r>
          </w:p>
        </w:tc>
        <w:tc>
          <w:tcPr>
            <w:tcW w:w="0" w:type="dxa"/>
            <w:vAlign w:val="bottom"/>
          </w:tcPr>
          <w:p>
            <w:pPr>
              <w:spacing w:after="0"/>
              <w:rPr>
                <w:sz w:val="1"/>
                <w:szCs w:val="1"/>
                <w:color w:val="auto"/>
              </w:rPr>
            </w:pPr>
          </w:p>
        </w:tc>
      </w:tr>
      <w:tr>
        <w:trPr>
          <w:trHeight w:val="181"/>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participating securities</w:t>
            </w:r>
          </w:p>
        </w:tc>
        <w:tc>
          <w:tcPr>
            <w:tcW w:w="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9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Class A</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960" w:type="dxa"/>
            <w:vAlign w:val="bottom"/>
            <w:gridSpan w:val="2"/>
          </w:tcPr>
          <w:p>
            <w:pPr>
              <w:ind w:left="340"/>
              <w:spacing w:after="0"/>
              <w:rPr>
                <w:sz w:val="20"/>
                <w:szCs w:val="20"/>
                <w:color w:val="auto"/>
              </w:rPr>
            </w:pPr>
            <w:r>
              <w:rPr>
                <w:rFonts w:ascii="Arial" w:cs="Arial" w:eastAsia="Arial" w:hAnsi="Arial"/>
                <w:sz w:val="14"/>
                <w:szCs w:val="14"/>
                <w:color w:val="auto"/>
              </w:rPr>
              <w:t>Issued and outstanding</w:t>
            </w:r>
          </w:p>
        </w:tc>
        <w:tc>
          <w:tcPr>
            <w:tcW w:w="200" w:type="dxa"/>
            <w:vAlign w:val="bottom"/>
          </w:tcPr>
          <w:p>
            <w:pPr>
              <w:spacing w:after="0"/>
              <w:rPr>
                <w:sz w:val="15"/>
                <w:szCs w:val="15"/>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119,681,845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121,527,673</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120,865,624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120,642,415</w:t>
            </w:r>
          </w:p>
        </w:tc>
        <w:tc>
          <w:tcPr>
            <w:tcW w:w="0" w:type="dxa"/>
            <w:vAlign w:val="bottom"/>
          </w:tcPr>
          <w:p>
            <w:pPr>
              <w:spacing w:after="0"/>
              <w:rPr>
                <w:sz w:val="1"/>
                <w:szCs w:val="1"/>
                <w:color w:val="auto"/>
              </w:rPr>
            </w:pPr>
          </w:p>
        </w:tc>
      </w:tr>
      <w:tr>
        <w:trPr>
          <w:trHeight w:val="133"/>
        </w:trPr>
        <w:tc>
          <w:tcPr>
            <w:tcW w:w="5960" w:type="dxa"/>
            <w:vAlign w:val="bottom"/>
            <w:gridSpan w:val="2"/>
            <w:shd w:val="clear" w:color="auto" w:fill="CCEEFF"/>
          </w:tcPr>
          <w:p>
            <w:pPr>
              <w:ind w:left="340"/>
              <w:spacing w:after="0" w:line="133" w:lineRule="exact"/>
              <w:rPr>
                <w:sz w:val="20"/>
                <w:szCs w:val="20"/>
                <w:color w:val="auto"/>
              </w:rPr>
            </w:pPr>
            <w:r>
              <w:rPr>
                <w:rFonts w:ascii="Arial" w:cs="Arial" w:eastAsia="Arial" w:hAnsi="Arial"/>
                <w:sz w:val="14"/>
                <w:szCs w:val="14"/>
                <w:color w:val="auto"/>
                <w:w w:val="95"/>
              </w:rPr>
              <w:t>Issuable pursuant to Amended and Restated 2015 Management Incentive Plan, Amended and</w:t>
            </w: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960" w:type="dxa"/>
            <w:vAlign w:val="bottom"/>
            <w:gridSpan w:val="2"/>
            <w:shd w:val="clear" w:color="auto" w:fill="CCEEFF"/>
          </w:tcPr>
          <w:p>
            <w:pPr>
              <w:ind w:left="340"/>
              <w:spacing w:after="0" w:line="131" w:lineRule="exact"/>
              <w:rPr>
                <w:sz w:val="20"/>
                <w:szCs w:val="20"/>
                <w:color w:val="auto"/>
              </w:rPr>
            </w:pPr>
            <w:r>
              <w:rPr>
                <w:rFonts w:ascii="Arial" w:cs="Arial" w:eastAsia="Arial" w:hAnsi="Arial"/>
                <w:sz w:val="14"/>
                <w:szCs w:val="14"/>
                <w:color w:val="auto"/>
                <w:w w:val="97"/>
              </w:rPr>
              <w:t>Restated Investment Technology Group, Inc. 2007 Omnibus Equity Compensation Plan, and</w:t>
            </w: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1,499,547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711,232</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1,413,637</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371,274</w:t>
            </w:r>
          </w:p>
        </w:tc>
        <w:tc>
          <w:tcPr>
            <w:tcW w:w="0" w:type="dxa"/>
            <w:vAlign w:val="bottom"/>
          </w:tcPr>
          <w:p>
            <w:pPr>
              <w:spacing w:after="0"/>
              <w:rPr>
                <w:sz w:val="1"/>
                <w:szCs w:val="1"/>
                <w:color w:val="auto"/>
              </w:rPr>
            </w:pPr>
          </w:p>
        </w:tc>
      </w:tr>
      <w:tr>
        <w:trPr>
          <w:trHeight w:val="181"/>
        </w:trPr>
        <w:tc>
          <w:tcPr>
            <w:tcW w:w="59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Warrants issued in connection with the Founder Member Loan</w:t>
            </w: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121,181,392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122,238,905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122,279,261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121,013,689</w:t>
            </w:r>
          </w:p>
        </w:tc>
        <w:tc>
          <w:tcPr>
            <w:tcW w:w="0" w:type="dxa"/>
            <w:vAlign w:val="bottom"/>
          </w:tcPr>
          <w:p>
            <w:pPr>
              <w:spacing w:after="0"/>
              <w:rPr>
                <w:sz w:val="1"/>
                <w:szCs w:val="1"/>
                <w:color w:val="auto"/>
              </w:rPr>
            </w:pPr>
          </w:p>
        </w:tc>
      </w:tr>
      <w:tr>
        <w:trPr>
          <w:trHeight w:val="212"/>
        </w:trPr>
        <w:tc>
          <w:tcPr>
            <w:tcW w:w="5960" w:type="dxa"/>
            <w:vAlign w:val="bottom"/>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Diluted earnings (loss) per share</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2"/>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Tax Receivable Agreements</w:t>
      </w:r>
    </w:p>
    <w:p>
      <w:pPr>
        <w:spacing w:after="0" w:line="361" w:lineRule="exact"/>
        <w:rPr>
          <w:sz w:val="20"/>
          <w:szCs w:val="20"/>
          <w:color w:val="auto"/>
        </w:rPr>
      </w:pPr>
    </w:p>
    <w:p>
      <w:pPr>
        <w:ind w:right="740" w:firstLine="629"/>
        <w:spacing w:after="0" w:line="289" w:lineRule="auto"/>
        <w:rPr>
          <w:sz w:val="20"/>
          <w:szCs w:val="20"/>
          <w:color w:val="auto"/>
        </w:rPr>
      </w:pPr>
      <w:r>
        <w:rPr>
          <w:rFonts w:ascii="Arial" w:cs="Arial" w:eastAsia="Arial" w:hAnsi="Arial"/>
          <w:sz w:val="17"/>
          <w:szCs w:val="17"/>
          <w:color w:val="auto"/>
        </w:rPr>
        <w:t>For a detailed discussion of the Company's tax receivable agreements, see Note 7 "Tax Receivable Agreements" in our consolidated financial statements included in Part II, Item 8 of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80" w:firstLine="629"/>
        <w:spacing w:after="0" w:line="283" w:lineRule="auto"/>
        <w:rPr>
          <w:sz w:val="20"/>
          <w:szCs w:val="20"/>
          <w:color w:val="auto"/>
        </w:rPr>
      </w:pPr>
      <w:r>
        <w:rPr>
          <w:rFonts w:ascii="Arial" w:cs="Arial" w:eastAsia="Arial" w:hAnsi="Arial"/>
          <w:sz w:val="16"/>
          <w:szCs w:val="16"/>
          <w:color w:val="auto"/>
        </w:rPr>
        <w:t>For purposes of the tax receivable agreements,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192" w:lineRule="exact"/>
        <w:rPr>
          <w:sz w:val="20"/>
          <w:szCs w:val="20"/>
          <w:color w:val="auto"/>
        </w:rPr>
      </w:pPr>
    </w:p>
    <w:p>
      <w:pPr>
        <w:ind w:right="220" w:firstLine="669"/>
        <w:spacing w:after="0" w:line="273" w:lineRule="auto"/>
        <w:rPr>
          <w:sz w:val="20"/>
          <w:szCs w:val="20"/>
          <w:color w:val="auto"/>
        </w:rPr>
      </w:pPr>
      <w:r>
        <w:rPr>
          <w:rFonts w:ascii="Arial" w:cs="Arial" w:eastAsia="Arial" w:hAnsi="Arial"/>
          <w:sz w:val="17"/>
          <w:szCs w:val="17"/>
          <w:color w:val="auto"/>
        </w:rPr>
        <w:t>The Company made its first payment of $7.0 million in February 2017, its second payment of $12.4 million in September 2018, its third payment of $13.3 million in March 2020, and its fourth payment of $16.5 million in April 2021. Tax receivable payments are expected to range from approximately $0.9 million to $21.7 million per year over the next 15 years.</w:t>
      </w:r>
    </w:p>
    <w:p>
      <w:pPr>
        <w:spacing w:after="0" w:line="197"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At June 30, 2021 and December 31, 2020, the Company’s remaining deferred tax assets that relate to the matters described above were approximately $189.2 million and $199.1 million, respectively, and the Company’s liabilities over the next 15 years pursuant to the tax receivable agreements were approximately $254.7 million and $271.2 million, respectively. The amounts recorded as of June 30, 2021 and December 31, 2020 are based on best estimates available at the respective dates and may be subject to change after the filing of the Company’s U.S. federal and state income tax returns for the years in which tax savings were realized.</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Goodwill and Intangible Assets</w:t>
      </w:r>
    </w:p>
    <w:p>
      <w:pPr>
        <w:spacing w:after="0" w:line="256"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The Company has two operating segments: (i) Market Making; (ii) Execution Services; and one non-operating segment: Corporate. As of June 30, 2021 and December 31, 2020, the Company’s total amount of goodwill recorded was $1,148.9 million. No goodwill impairment was recognized during the three and six months ended June 30, 2021 and 2020.</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details of goodwill by segment as of June 30, 2021 and December 31, 2020:</w:t>
      </w:r>
    </w:p>
    <w:p>
      <w:pPr>
        <w:spacing w:after="0" w:line="43"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6"/>
              </w:rPr>
              <w:t>Market Making</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Execution Services</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207"/>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period-end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755,292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393,634</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1,148,926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620" w:firstLine="629"/>
        <w:spacing w:after="0" w:line="289" w:lineRule="auto"/>
        <w:rPr>
          <w:sz w:val="20"/>
          <w:szCs w:val="20"/>
          <w:color w:val="auto"/>
        </w:rPr>
      </w:pPr>
      <w:r>
        <w:rPr>
          <w:rFonts w:ascii="Arial" w:cs="Arial" w:eastAsia="Arial" w:hAnsi="Arial"/>
          <w:sz w:val="17"/>
          <w:szCs w:val="17"/>
          <w:color w:val="auto"/>
        </w:rPr>
        <w:t>As of June 30, 2021 and December 31, 2020, the Company's total amount of intangible assets recorded was $418.3 million and $454.5 million, respectively. Acquired intangible assets consisted of the following as of June 30, 2021 and December 31, 2020:</w:t>
      </w:r>
    </w:p>
    <w:p>
      <w:pPr>
        <w:spacing w:after="0" w:line="82"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As of June 30, 2021</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Gross Carrying</w:t>
            </w:r>
          </w:p>
        </w:tc>
        <w:tc>
          <w:tcPr>
            <w:tcW w:w="140" w:type="dxa"/>
            <w:vAlign w:val="bottom"/>
          </w:tcPr>
          <w:p>
            <w:pPr>
              <w:spacing w:after="0"/>
              <w:rPr>
                <w:sz w:val="11"/>
                <w:szCs w:val="11"/>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1"/>
                <w:szCs w:val="11"/>
                <w:color w:val="auto"/>
              </w:rPr>
            </w:pPr>
          </w:p>
        </w:tc>
        <w:tc>
          <w:tcPr>
            <w:tcW w:w="1080" w:type="dxa"/>
            <w:vAlign w:val="bottom"/>
          </w:tcPr>
          <w:p>
            <w:pPr>
              <w:jc w:val="right"/>
              <w:ind w:right="150"/>
              <w:spacing w:after="0" w:line="129" w:lineRule="exact"/>
              <w:rPr>
                <w:sz w:val="20"/>
                <w:szCs w:val="20"/>
                <w:color w:val="auto"/>
              </w:rPr>
            </w:pPr>
            <w:r>
              <w:rPr>
                <w:rFonts w:ascii="Arial" w:cs="Arial" w:eastAsia="Arial" w:hAnsi="Arial"/>
                <w:sz w:val="14"/>
                <w:szCs w:val="14"/>
                <w:b w:val="1"/>
                <w:bCs w:val="1"/>
                <w:color w:val="auto"/>
                <w:w w:val="99"/>
              </w:rPr>
              <w:t>Net Carrying</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Useful Lives</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5"/>
                <w:szCs w:val="15"/>
                <w:color w:val="auto"/>
              </w:rPr>
            </w:pPr>
          </w:p>
        </w:tc>
        <w:tc>
          <w:tcPr>
            <w:tcW w:w="1080" w:type="dxa"/>
            <w:vAlign w:val="bottom"/>
          </w:tcPr>
          <w:p>
            <w:pPr>
              <w:jc w:val="right"/>
              <w:ind w:right="33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486,600</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(118,221)</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368,379</w:t>
            </w: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Arial" w:cs="Arial" w:eastAsia="Arial" w:hAnsi="Arial"/>
                <w:sz w:val="14"/>
                <w:szCs w:val="14"/>
                <w:color w:val="auto"/>
                <w:w w:val="8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136,000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(93,534)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42,466</w:t>
            </w:r>
          </w:p>
        </w:tc>
        <w:tc>
          <w:tcPr>
            <w:tcW w:w="540" w:type="dxa"/>
            <w:vAlign w:val="bottom"/>
            <w:gridSpan w:val="2"/>
          </w:tcPr>
          <w:p>
            <w:pPr>
              <w:jc w:val="center"/>
              <w:ind w:left="210"/>
              <w:spacing w:after="0"/>
              <w:rPr>
                <w:sz w:val="20"/>
                <w:szCs w:val="20"/>
                <w:color w:val="auto"/>
              </w:rPr>
            </w:pPr>
            <w:r>
              <w:rPr>
                <w:rFonts w:ascii="Arial" w:cs="Arial" w:eastAsia="Arial" w:hAnsi="Arial"/>
                <w:sz w:val="14"/>
                <w:szCs w:val="14"/>
                <w:color w:val="auto"/>
                <w:w w:val="76"/>
              </w:rPr>
              <w:t>1</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0"/>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w:t>
            </w:r>
          </w:p>
        </w:tc>
        <w:tc>
          <w:tcPr>
            <w:tcW w:w="540" w:type="dxa"/>
            <w:vAlign w:val="bottom"/>
            <w:gridSpan w:val="2"/>
            <w:shd w:val="clear" w:color="auto" w:fill="CCEEFF"/>
          </w:tcPr>
          <w:p>
            <w:pPr>
              <w:jc w:val="center"/>
              <w:ind w:left="210"/>
              <w:spacing w:after="0"/>
              <w:rPr>
                <w:sz w:val="20"/>
                <w:szCs w:val="20"/>
                <w:color w:val="auto"/>
              </w:rPr>
            </w:pPr>
            <w:r>
              <w:rPr>
                <w:rFonts w:ascii="Arial" w:cs="Arial" w:eastAsia="Arial" w:hAnsi="Arial"/>
                <w:sz w:val="14"/>
                <w:szCs w:val="14"/>
                <w:color w:val="auto"/>
                <w:w w:val="76"/>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3,998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3,998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Trade name</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637,993</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(219,648)</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418,345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As of December 31, 2020</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080" w:type="dxa"/>
            <w:vAlign w:val="bottom"/>
          </w:tcPr>
          <w:p>
            <w:pPr>
              <w:jc w:val="right"/>
              <w:ind w:right="150"/>
              <w:spacing w:after="0" w:line="129" w:lineRule="exact"/>
              <w:rPr>
                <w:sz w:val="20"/>
                <w:szCs w:val="20"/>
                <w:color w:val="auto"/>
              </w:rPr>
            </w:pPr>
            <w:r>
              <w:rPr>
                <w:rFonts w:ascii="Arial" w:cs="Arial" w:eastAsia="Arial" w:hAnsi="Arial"/>
                <w:sz w:val="14"/>
                <w:szCs w:val="14"/>
                <w:b w:val="1"/>
                <w:bCs w:val="1"/>
                <w:color w:val="auto"/>
                <w:w w:val="99"/>
              </w:rPr>
              <w:t>Net Carrying</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Useful Lives</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1080" w:type="dxa"/>
            <w:vAlign w:val="bottom"/>
          </w:tcPr>
          <w:p>
            <w:pPr>
              <w:jc w:val="right"/>
              <w:ind w:right="31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486,600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(94,299)</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392,301</w:t>
            </w: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Arial" w:cs="Arial" w:eastAsia="Arial" w:hAnsi="Arial"/>
                <w:sz w:val="14"/>
                <w:szCs w:val="14"/>
                <w:color w:val="auto"/>
                <w:w w:val="8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136,000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(82,403)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53,597</w:t>
            </w:r>
          </w:p>
        </w:tc>
        <w:tc>
          <w:tcPr>
            <w:tcW w:w="540" w:type="dxa"/>
            <w:vAlign w:val="bottom"/>
            <w:gridSpan w:val="2"/>
          </w:tcPr>
          <w:p>
            <w:pPr>
              <w:jc w:val="center"/>
              <w:ind w:left="210"/>
              <w:spacing w:after="0"/>
              <w:rPr>
                <w:sz w:val="20"/>
                <w:szCs w:val="20"/>
                <w:color w:val="auto"/>
              </w:rPr>
            </w:pPr>
            <w:r>
              <w:rPr>
                <w:rFonts w:ascii="Arial" w:cs="Arial" w:eastAsia="Arial" w:hAnsi="Arial"/>
                <w:sz w:val="14"/>
                <w:szCs w:val="14"/>
                <w:color w:val="auto"/>
                <w:w w:val="76"/>
              </w:rPr>
              <w:t>1</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0"/>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5,895</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540" w:type="dxa"/>
            <w:vAlign w:val="bottom"/>
            <w:gridSpan w:val="2"/>
            <w:shd w:val="clear" w:color="auto" w:fill="CCEEFF"/>
          </w:tcPr>
          <w:p>
            <w:pPr>
              <w:jc w:val="center"/>
              <w:ind w:left="210"/>
              <w:spacing w:after="0"/>
              <w:rPr>
                <w:sz w:val="20"/>
                <w:szCs w:val="20"/>
                <w:color w:val="auto"/>
              </w:rPr>
            </w:pPr>
            <w:r>
              <w:rPr>
                <w:rFonts w:ascii="Arial" w:cs="Arial" w:eastAsia="Arial" w:hAnsi="Arial"/>
                <w:sz w:val="14"/>
                <w:szCs w:val="14"/>
                <w:color w:val="auto"/>
                <w:w w:val="76"/>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3,998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3,998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Trade name</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637,993</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(183,494)</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454,499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firstLine="629"/>
        <w:spacing w:after="0" w:line="325" w:lineRule="auto"/>
        <w:rPr>
          <w:sz w:val="20"/>
          <w:szCs w:val="20"/>
          <w:color w:val="auto"/>
        </w:rPr>
      </w:pPr>
      <w:r>
        <w:rPr>
          <w:rFonts w:ascii="Arial" w:cs="Arial" w:eastAsia="Arial" w:hAnsi="Arial"/>
          <w:sz w:val="15"/>
          <w:szCs w:val="15"/>
          <w:color w:val="auto"/>
        </w:rPr>
        <w:t>Amortization expense relating to finite-lived intangible assets was approximately $18.1 million and $19.0 million for the three months ended June 30, 2021 and 2020, respectfully, and $36.2 million and $37.9 million for the six months ended June 30, 2021 and 2020, respectively. This is included in Amortization of purchased intangibles and acquired capitalized software in the accompanying Condensed Consolidated Statements of Comprehensive Income.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expects to record amortization expense as follows over the remaining current year and the next five subsequent years:</w:t>
      </w:r>
    </w:p>
    <w:p>
      <w:pPr>
        <w:spacing w:after="0" w:line="279" w:lineRule="exact"/>
        <w:rPr>
          <w:sz w:val="20"/>
          <w:szCs w:val="20"/>
          <w:color w:val="auto"/>
        </w:rPr>
      </w:pPr>
    </w:p>
    <w:tbl>
      <w:tblPr>
        <w:tblLayout w:type="fixed"/>
        <w:tblInd w:w="3420" w:type="dxa"/>
        <w:tblCellMar>
          <w:top w:w="0" w:type="dxa"/>
          <w:left w:w="0" w:type="dxa"/>
          <w:bottom w:w="0" w:type="dxa"/>
          <w:right w:w="0" w:type="dxa"/>
        </w:tblCellMar>
      </w:tblPr>
      <w:tr>
        <w:trPr>
          <w:trHeight w:val="188"/>
        </w:trPr>
        <w:tc>
          <w:tcPr>
            <w:tcW w:w="2020" w:type="dxa"/>
            <w:vAlign w:val="bottom"/>
          </w:tcPr>
          <w:p>
            <w:pPr>
              <w:ind w:left="34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2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Remainder of 2021</w:t>
            </w:r>
          </w:p>
        </w:tc>
        <w:tc>
          <w:tcPr>
            <w:tcW w:w="1460" w:type="dxa"/>
            <w:vAlign w:val="bottom"/>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33,523</w:t>
            </w:r>
          </w:p>
        </w:tc>
      </w:tr>
      <w:tr>
        <w:trPr>
          <w:trHeight w:val="181"/>
        </w:trPr>
        <w:tc>
          <w:tcPr>
            <w:tcW w:w="2020" w:type="dxa"/>
            <w:vAlign w:val="bottom"/>
          </w:tcPr>
          <w:p>
            <w:pPr>
              <w:ind w:left="340"/>
              <w:spacing w:after="0"/>
              <w:rPr>
                <w:sz w:val="20"/>
                <w:szCs w:val="20"/>
                <w:color w:val="auto"/>
              </w:rPr>
            </w:pPr>
            <w:r>
              <w:rPr>
                <w:rFonts w:ascii="Arial" w:cs="Arial" w:eastAsia="Arial" w:hAnsi="Arial"/>
                <w:sz w:val="14"/>
                <w:szCs w:val="14"/>
                <w:color w:val="auto"/>
              </w:rPr>
              <w:t>2022</w:t>
            </w:r>
          </w:p>
        </w:tc>
        <w:tc>
          <w:tcPr>
            <w:tcW w:w="14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64,852</w:t>
            </w:r>
          </w:p>
        </w:tc>
      </w:tr>
      <w:tr>
        <w:trPr>
          <w:trHeight w:val="186"/>
        </w:trPr>
        <w:tc>
          <w:tcPr>
            <w:tcW w:w="2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2023</w:t>
            </w:r>
          </w:p>
        </w:tc>
        <w:tc>
          <w:tcPr>
            <w:tcW w:w="14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63,960</w:t>
            </w:r>
          </w:p>
        </w:tc>
      </w:tr>
      <w:tr>
        <w:trPr>
          <w:trHeight w:val="181"/>
        </w:trPr>
        <w:tc>
          <w:tcPr>
            <w:tcW w:w="2020" w:type="dxa"/>
            <w:vAlign w:val="bottom"/>
          </w:tcPr>
          <w:p>
            <w:pPr>
              <w:ind w:left="340"/>
              <w:spacing w:after="0"/>
              <w:rPr>
                <w:sz w:val="20"/>
                <w:szCs w:val="20"/>
                <w:color w:val="auto"/>
              </w:rPr>
            </w:pPr>
            <w:r>
              <w:rPr>
                <w:rFonts w:ascii="Arial" w:cs="Arial" w:eastAsia="Arial" w:hAnsi="Arial"/>
                <w:sz w:val="14"/>
                <w:szCs w:val="14"/>
                <w:color w:val="auto"/>
              </w:rPr>
              <w:t>2024</w:t>
            </w:r>
          </w:p>
        </w:tc>
        <w:tc>
          <w:tcPr>
            <w:tcW w:w="14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50,845</w:t>
            </w:r>
          </w:p>
        </w:tc>
      </w:tr>
      <w:tr>
        <w:trPr>
          <w:trHeight w:val="186"/>
        </w:trPr>
        <w:tc>
          <w:tcPr>
            <w:tcW w:w="2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2025</w:t>
            </w:r>
          </w:p>
        </w:tc>
        <w:tc>
          <w:tcPr>
            <w:tcW w:w="14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47,879</w:t>
            </w:r>
          </w:p>
        </w:tc>
      </w:tr>
      <w:tr>
        <w:trPr>
          <w:trHeight w:val="178"/>
        </w:trPr>
        <w:tc>
          <w:tcPr>
            <w:tcW w:w="2020" w:type="dxa"/>
            <w:vAlign w:val="bottom"/>
          </w:tcPr>
          <w:p>
            <w:pPr>
              <w:ind w:left="340"/>
              <w:spacing w:after="0"/>
              <w:rPr>
                <w:sz w:val="20"/>
                <w:szCs w:val="20"/>
                <w:color w:val="auto"/>
              </w:rPr>
            </w:pPr>
            <w:r>
              <w:rPr>
                <w:rFonts w:ascii="Arial" w:cs="Arial" w:eastAsia="Arial" w:hAnsi="Arial"/>
                <w:sz w:val="14"/>
                <w:szCs w:val="14"/>
                <w:color w:val="auto"/>
              </w:rPr>
              <w:t>2026</w:t>
            </w:r>
          </w:p>
        </w:tc>
        <w:tc>
          <w:tcPr>
            <w:tcW w:w="14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47,879</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Receivables from/Payables to Broker-Dealers and Clearing Organizations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is a summary of receivables from and payables to brokers-dealers and clearing organizations at June 30, 2021 and December 31, 2020:</w:t>
      </w:r>
    </w:p>
    <w:p>
      <w:pPr>
        <w:spacing w:after="0" w:line="276"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7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6"/>
                <w:szCs w:val="16"/>
                <w:color w:val="auto"/>
              </w:rPr>
            </w:pPr>
          </w:p>
        </w:tc>
        <w:tc>
          <w:tcPr>
            <w:tcW w:w="1580" w:type="dxa"/>
            <w:vAlign w:val="bottom"/>
          </w:tcPr>
          <w:p>
            <w:pPr>
              <w:jc w:val="right"/>
              <w:ind w:right="270"/>
              <w:spacing w:after="0"/>
              <w:rPr>
                <w:sz w:val="20"/>
                <w:szCs w:val="20"/>
                <w:color w:val="auto"/>
              </w:rPr>
            </w:pPr>
            <w:r>
              <w:rPr>
                <w:rFonts w:ascii="Arial" w:cs="Arial" w:eastAsia="Arial" w:hAnsi="Arial"/>
                <w:sz w:val="14"/>
                <w:szCs w:val="14"/>
                <w:b w:val="1"/>
                <w:bCs w:val="1"/>
                <w:color w:val="auto"/>
                <w:w w:val="96"/>
              </w:rPr>
              <w:t>December 31, 2020</w:t>
            </w:r>
          </w:p>
        </w:tc>
      </w:tr>
      <w:tr>
        <w:trPr>
          <w:trHeight w:val="182"/>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Due from prime brokers</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484,538</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697,293</w:t>
            </w:r>
          </w:p>
        </w:tc>
      </w:tr>
      <w:tr>
        <w:trPr>
          <w:trHeight w:val="18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216,962</w:t>
            </w: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228,633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248,943</w:t>
            </w:r>
          </w:p>
        </w:tc>
      </w:tr>
      <w:tr>
        <w:trPr>
          <w:trHeight w:val="18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organizations</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118,777</w:t>
            </w: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Securities failed to deliver</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512,303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372,965</w:t>
            </w:r>
          </w:p>
        </w:tc>
      </w:tr>
      <w:tr>
        <w:trPr>
          <w:trHeight w:val="18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3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29,066</w:t>
            </w:r>
          </w:p>
        </w:tc>
      </w:tr>
      <w:tr>
        <w:trPr>
          <w:trHeight w:val="179"/>
        </w:trPr>
        <w:tc>
          <w:tcPr>
            <w:tcW w:w="7000" w:type="dxa"/>
            <w:vAlign w:val="bottom"/>
            <w:gridSpan w:val="2"/>
          </w:tcPr>
          <w:p>
            <w:pPr>
              <w:ind w:left="200"/>
              <w:spacing w:after="0"/>
              <w:rPr>
                <w:sz w:val="20"/>
                <w:szCs w:val="20"/>
                <w:color w:val="auto"/>
              </w:rPr>
            </w:pPr>
            <w:r>
              <w:rPr>
                <w:rFonts w:ascii="Arial" w:cs="Arial" w:eastAsia="Arial" w:hAnsi="Arial"/>
                <w:sz w:val="14"/>
                <w:szCs w:val="14"/>
                <w:color w:val="auto"/>
              </w:rPr>
              <w:t>Total receivables from broker-dealers and clearing organizations</w:t>
            </w: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1,609,065</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1,684,006</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6"/>
        </w:trPr>
        <w:tc>
          <w:tcPr>
            <w:tcW w:w="6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3"/>
        </w:trPr>
        <w:tc>
          <w:tcPr>
            <w:tcW w:w="70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4"/>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Due to prime brokers</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464,947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410,772</w:t>
            </w: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73,734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77,257</w:t>
            </w:r>
          </w:p>
        </w:tc>
      </w:tr>
      <w:tr>
        <w:trPr>
          <w:trHeight w:val="18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organizations</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228,070</w:t>
            </w: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Securities failed to receive</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216,497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156,804</w:t>
            </w:r>
          </w:p>
        </w:tc>
      </w:tr>
      <w:tr>
        <w:trPr>
          <w:trHeight w:val="18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3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3,543</w:t>
            </w:r>
          </w:p>
        </w:tc>
      </w:tr>
      <w:tr>
        <w:trPr>
          <w:trHeight w:val="179"/>
        </w:trPr>
        <w:tc>
          <w:tcPr>
            <w:tcW w:w="7000" w:type="dxa"/>
            <w:vAlign w:val="bottom"/>
            <w:gridSpan w:val="2"/>
          </w:tcPr>
          <w:p>
            <w:pPr>
              <w:ind w:left="200"/>
              <w:spacing w:after="0"/>
              <w:rPr>
                <w:sz w:val="20"/>
                <w:szCs w:val="20"/>
                <w:color w:val="auto"/>
              </w:rPr>
            </w:pPr>
            <w:r>
              <w:rPr>
                <w:rFonts w:ascii="Arial" w:cs="Arial" w:eastAsia="Arial" w:hAnsi="Arial"/>
                <w:sz w:val="14"/>
                <w:szCs w:val="14"/>
                <w:color w:val="auto"/>
              </w:rPr>
              <w:t>Total payables to broker-dealers and clearing organizations</w:t>
            </w: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776,586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876,446</w:t>
            </w: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Included as a deduction from “Due from prime brokers” and “Net equity with futures commission merchants” is the outstanding principal balance on all of the Company’s prime brokerage credit facilities (described in Note 8 "Borrowings") of approximately $201.8 million and $134.7 million as of June 30, 2021 and December 31, 2020,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Collateralized Transactions</w:t>
      </w:r>
    </w:p>
    <w:p>
      <w:pPr>
        <w:spacing w:after="0" w:line="256"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June 30, 2021 and December 31, 2020, substantially all of the securities received as collateral have been repledged.</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fair value of the collateralized transactions at June 30, 2021 and December 31, 2020 are summarized as follows:</w:t>
      </w:r>
    </w:p>
    <w:p>
      <w:pPr>
        <w:spacing w:after="0" w:line="43"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Arial" w:cs="Arial" w:eastAsia="Arial" w:hAnsi="Arial"/>
                <w:sz w:val="14"/>
                <w:szCs w:val="14"/>
                <w:b w:val="1"/>
                <w:bCs w:val="1"/>
                <w:color w:val="auto"/>
                <w:w w:val="95"/>
              </w:rPr>
              <w:t>December 31, 2020</w:t>
            </w:r>
          </w:p>
        </w:tc>
      </w:tr>
      <w:tr>
        <w:trPr>
          <w:trHeight w:val="182"/>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Securities received as collateral:</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r>
      <w:tr>
        <w:trPr>
          <w:trHeight w:val="181"/>
        </w:trPr>
        <w:tc>
          <w:tcPr>
            <w:tcW w:w="7560" w:type="dxa"/>
            <w:vAlign w:val="bottom"/>
            <w:gridSpan w:val="2"/>
          </w:tcPr>
          <w:p>
            <w:pPr>
              <w:ind w:left="220"/>
              <w:spacing w:after="0"/>
              <w:rPr>
                <w:sz w:val="20"/>
                <w:szCs w:val="20"/>
                <w:color w:val="auto"/>
              </w:rPr>
            </w:pPr>
            <w:r>
              <w:rPr>
                <w:rFonts w:ascii="Arial" w:cs="Arial" w:eastAsia="Arial" w:hAnsi="Arial"/>
                <w:sz w:val="14"/>
                <w:szCs w:val="14"/>
                <w:color w:val="auto"/>
              </w:rPr>
              <w:t>Securities borrowed</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1,480,370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1,374,266</w:t>
            </w:r>
          </w:p>
        </w:tc>
      </w:tr>
      <w:tr>
        <w:trPr>
          <w:trHeight w:val="183"/>
        </w:trPr>
        <w:tc>
          <w:tcPr>
            <w:tcW w:w="7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Securities purchased under agreements to resell</w:t>
            </w: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54,555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22,866</w:t>
            </w:r>
          </w:p>
        </w:tc>
      </w:tr>
      <w:tr>
        <w:trPr>
          <w:trHeight w:val="176"/>
        </w:trPr>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1,534,925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1,397,132</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In the normal course of business, the Company pledges qualified securities with clearing organizations to satisfy daily margin and clearing fund requirements.</w:t>
      </w:r>
    </w:p>
    <w:p>
      <w:pPr>
        <w:spacing w:after="0" w:line="184"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Financial instruments owned and pledged, where the counterparty has the right to repledge, at June 30, 2021 and December 31, 2020 consisted of the following:</w:t>
      </w:r>
    </w:p>
    <w:p>
      <w:pPr>
        <w:spacing w:after="0" w:line="213"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Arial" w:cs="Arial" w:eastAsia="Arial" w:hAnsi="Arial"/>
                <w:sz w:val="14"/>
                <w:szCs w:val="14"/>
                <w:b w:val="1"/>
                <w:bCs w:val="1"/>
                <w:color w:val="auto"/>
                <w:w w:val="95"/>
              </w:rPr>
              <w:t>December 31, 2020</w:t>
            </w:r>
          </w:p>
        </w:tc>
      </w:tr>
      <w:tr>
        <w:trPr>
          <w:trHeight w:val="182"/>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919,440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734,024</w:t>
            </w:r>
          </w:p>
        </w:tc>
      </w:tr>
      <w:tr>
        <w:trPr>
          <w:trHeight w:val="181"/>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Exchange traded notes</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12,515</w:t>
            </w:r>
          </w:p>
        </w:tc>
      </w:tr>
      <w:tr>
        <w:trPr>
          <w:trHeight w:val="201"/>
        </w:trPr>
        <w:tc>
          <w:tcPr>
            <w:tcW w:w="7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927,158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746,539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Borrowings, net</w:t>
      </w:r>
    </w:p>
    <w:p>
      <w:pPr>
        <w:spacing w:after="0" w:line="250" w:lineRule="exact"/>
        <w:rPr>
          <w:sz w:val="20"/>
          <w:szCs w:val="20"/>
          <w:color w:val="auto"/>
        </w:rPr>
      </w:pPr>
    </w:p>
    <w:p>
      <w:pPr>
        <w:ind w:right="60" w:firstLine="629"/>
        <w:spacing w:after="0" w:line="275" w:lineRule="auto"/>
        <w:rPr>
          <w:sz w:val="20"/>
          <w:szCs w:val="20"/>
          <w:color w:val="auto"/>
        </w:rPr>
      </w:pPr>
      <w:r>
        <w:rPr>
          <w:rFonts w:ascii="Arial" w:cs="Arial" w:eastAsia="Arial" w:hAnsi="Arial"/>
          <w:sz w:val="17"/>
          <w:szCs w:val="17"/>
          <w:color w:val="auto"/>
        </w:rPr>
        <w:t>The following summarizes the Company's short-term borrowing balances outstanding, net of related debt issuance costs, with each described in further detail below.</w:t>
      </w:r>
    </w:p>
    <w:tbl>
      <w:tblPr>
        <w:tblLayout w:type="fixed"/>
        <w:tblInd w:w="86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 Outstanding</w:t>
            </w:r>
          </w:p>
        </w:tc>
        <w:tc>
          <w:tcPr>
            <w:tcW w:w="80" w:type="dxa"/>
            <w:vAlign w:val="bottom"/>
          </w:tcPr>
          <w:p>
            <w:pPr>
              <w:spacing w:after="0"/>
              <w:rPr>
                <w:sz w:val="11"/>
                <w:szCs w:val="11"/>
                <w:color w:val="auto"/>
              </w:rPr>
            </w:pPr>
          </w:p>
        </w:tc>
        <w:tc>
          <w:tcPr>
            <w:tcW w:w="16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Deferred Debt Issuance</w:t>
            </w:r>
          </w:p>
        </w:tc>
        <w:tc>
          <w:tcPr>
            <w:tcW w:w="80" w:type="dxa"/>
            <w:vAlign w:val="bottom"/>
          </w:tcPr>
          <w:p>
            <w:pPr>
              <w:spacing w:after="0"/>
              <w:rPr>
                <w:sz w:val="11"/>
                <w:szCs w:val="11"/>
                <w:color w:val="auto"/>
              </w:rPr>
            </w:pPr>
          </w:p>
        </w:tc>
        <w:tc>
          <w:tcPr>
            <w:tcW w:w="1560" w:type="dxa"/>
            <w:vAlign w:val="bottom"/>
          </w:tcPr>
          <w:p>
            <w:pPr>
              <w:jc w:val="right"/>
              <w:ind w:right="50"/>
              <w:spacing w:after="0" w:line="129" w:lineRule="exact"/>
              <w:rPr>
                <w:sz w:val="20"/>
                <w:szCs w:val="20"/>
                <w:color w:val="auto"/>
              </w:rPr>
            </w:pPr>
            <w:r>
              <w:rPr>
                <w:rFonts w:ascii="Arial" w:cs="Arial" w:eastAsia="Arial" w:hAnsi="Arial"/>
                <w:sz w:val="14"/>
                <w:szCs w:val="14"/>
                <w:b w:val="1"/>
                <w:bCs w:val="1"/>
                <w:color w:val="auto"/>
                <w:w w:val="90"/>
              </w:rPr>
              <w:t>Short-term Borrowings,</w:t>
            </w:r>
          </w:p>
        </w:tc>
        <w:tc>
          <w:tcPr>
            <w:tcW w:w="0" w:type="dxa"/>
            <w:vAlign w:val="bottom"/>
          </w:tcPr>
          <w:p>
            <w:pPr>
              <w:spacing w:after="0"/>
              <w:rPr>
                <w:sz w:val="1"/>
                <w:szCs w:val="1"/>
                <w:color w:val="auto"/>
              </w:rPr>
            </w:pPr>
          </w:p>
        </w:tc>
      </w:tr>
      <w:tr>
        <w:trPr>
          <w:trHeight w:val="183"/>
        </w:trPr>
        <w:tc>
          <w:tcPr>
            <w:tcW w:w="4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5"/>
                <w:szCs w:val="15"/>
                <w:color w:val="auto"/>
              </w:rPr>
            </w:pPr>
          </w:p>
        </w:tc>
        <w:tc>
          <w:tcPr>
            <w:tcW w:w="1560" w:type="dxa"/>
            <w:vAlign w:val="bottom"/>
          </w:tcPr>
          <w:p>
            <w:pPr>
              <w:jc w:val="right"/>
              <w:ind w:right="67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7"/>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Broker-dealer credit facilities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198,000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195,784</w:t>
            </w:r>
          </w:p>
        </w:tc>
        <w:tc>
          <w:tcPr>
            <w:tcW w:w="0" w:type="dxa"/>
            <w:vAlign w:val="bottom"/>
          </w:tcPr>
          <w:p>
            <w:pPr>
              <w:spacing w:after="0"/>
              <w:rPr>
                <w:sz w:val="1"/>
                <w:szCs w:val="1"/>
                <w:color w:val="auto"/>
              </w:rPr>
            </w:pPr>
          </w:p>
        </w:tc>
      </w:tr>
      <w:tr>
        <w:trPr>
          <w:trHeight w:val="181"/>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Short-term bank loans</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18,468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18,468</w:t>
            </w:r>
          </w:p>
        </w:tc>
        <w:tc>
          <w:tcPr>
            <w:tcW w:w="0" w:type="dxa"/>
            <w:vAlign w:val="bottom"/>
          </w:tcPr>
          <w:p>
            <w:pPr>
              <w:spacing w:after="0"/>
              <w:rPr>
                <w:sz w:val="1"/>
                <w:szCs w:val="1"/>
                <w:color w:val="auto"/>
              </w:rPr>
            </w:pPr>
          </w:p>
        </w:tc>
      </w:tr>
      <w:tr>
        <w:trPr>
          <w:trHeight w:val="201"/>
        </w:trPr>
        <w:tc>
          <w:tcPr>
            <w:tcW w:w="4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216,468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214,252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 Outstanding</w:t>
            </w:r>
          </w:p>
        </w:tc>
        <w:tc>
          <w:tcPr>
            <w:tcW w:w="80" w:type="dxa"/>
            <w:vAlign w:val="bottom"/>
          </w:tcPr>
          <w:p>
            <w:pPr>
              <w:spacing w:after="0"/>
              <w:rPr>
                <w:sz w:val="11"/>
                <w:szCs w:val="11"/>
                <w:color w:val="auto"/>
              </w:rPr>
            </w:pPr>
          </w:p>
        </w:tc>
        <w:tc>
          <w:tcPr>
            <w:tcW w:w="16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Deferred Debt Issuance</w:t>
            </w:r>
          </w:p>
        </w:tc>
        <w:tc>
          <w:tcPr>
            <w:tcW w:w="80" w:type="dxa"/>
            <w:vAlign w:val="bottom"/>
          </w:tcPr>
          <w:p>
            <w:pPr>
              <w:spacing w:after="0"/>
              <w:rPr>
                <w:sz w:val="11"/>
                <w:szCs w:val="11"/>
                <w:color w:val="auto"/>
              </w:rPr>
            </w:pPr>
          </w:p>
        </w:tc>
        <w:tc>
          <w:tcPr>
            <w:tcW w:w="1560" w:type="dxa"/>
            <w:vAlign w:val="bottom"/>
          </w:tcPr>
          <w:p>
            <w:pPr>
              <w:jc w:val="right"/>
              <w:ind w:right="50"/>
              <w:spacing w:after="0" w:line="129" w:lineRule="exact"/>
              <w:rPr>
                <w:sz w:val="20"/>
                <w:szCs w:val="20"/>
                <w:color w:val="auto"/>
              </w:rPr>
            </w:pPr>
            <w:r>
              <w:rPr>
                <w:rFonts w:ascii="Arial" w:cs="Arial" w:eastAsia="Arial" w:hAnsi="Arial"/>
                <w:sz w:val="14"/>
                <w:szCs w:val="14"/>
                <w:b w:val="1"/>
                <w:bCs w:val="1"/>
                <w:color w:val="auto"/>
                <w:w w:val="90"/>
              </w:rPr>
              <w:t>Short-term Borrowings,</w:t>
            </w:r>
          </w:p>
        </w:tc>
        <w:tc>
          <w:tcPr>
            <w:tcW w:w="0" w:type="dxa"/>
            <w:vAlign w:val="bottom"/>
          </w:tcPr>
          <w:p>
            <w:pPr>
              <w:spacing w:after="0"/>
              <w:rPr>
                <w:sz w:val="1"/>
                <w:szCs w:val="1"/>
                <w:color w:val="auto"/>
              </w:rPr>
            </w:pPr>
          </w:p>
        </w:tc>
      </w:tr>
      <w:tr>
        <w:trPr>
          <w:trHeight w:val="183"/>
        </w:trPr>
        <w:tc>
          <w:tcPr>
            <w:tcW w:w="4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5"/>
                <w:szCs w:val="15"/>
                <w:color w:val="auto"/>
              </w:rPr>
            </w:pPr>
          </w:p>
        </w:tc>
        <w:tc>
          <w:tcPr>
            <w:tcW w:w="1560" w:type="dxa"/>
            <w:vAlign w:val="bottom"/>
          </w:tcPr>
          <w:p>
            <w:pPr>
              <w:jc w:val="right"/>
              <w:ind w:right="67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7"/>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Broker-dealer credit facilities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36,400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36,013</w:t>
            </w:r>
          </w:p>
        </w:tc>
        <w:tc>
          <w:tcPr>
            <w:tcW w:w="0" w:type="dxa"/>
            <w:vAlign w:val="bottom"/>
          </w:tcPr>
          <w:p>
            <w:pPr>
              <w:spacing w:after="0"/>
              <w:rPr>
                <w:sz w:val="1"/>
                <w:szCs w:val="1"/>
                <w:color w:val="auto"/>
              </w:rPr>
            </w:pPr>
          </w:p>
        </w:tc>
      </w:tr>
      <w:tr>
        <w:trPr>
          <w:trHeight w:val="181"/>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Short-term bank loans</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28,673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28,673</w:t>
            </w:r>
          </w:p>
        </w:tc>
        <w:tc>
          <w:tcPr>
            <w:tcW w:w="0" w:type="dxa"/>
            <w:vAlign w:val="bottom"/>
          </w:tcPr>
          <w:p>
            <w:pPr>
              <w:spacing w:after="0"/>
              <w:rPr>
                <w:sz w:val="1"/>
                <w:szCs w:val="1"/>
                <w:color w:val="auto"/>
              </w:rPr>
            </w:pPr>
          </w:p>
        </w:tc>
      </w:tr>
      <w:tr>
        <w:trPr>
          <w:trHeight w:val="201"/>
        </w:trPr>
        <w:tc>
          <w:tcPr>
            <w:tcW w:w="4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64,686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Broker-Dealer Credit Facilities</w:t>
      </w:r>
    </w:p>
    <w:p>
      <w:pPr>
        <w:spacing w:after="0" w:line="250" w:lineRule="exact"/>
        <w:rPr>
          <w:sz w:val="20"/>
          <w:szCs w:val="20"/>
          <w:color w:val="auto"/>
        </w:rPr>
      </w:pPr>
    </w:p>
    <w:p>
      <w:pPr>
        <w:ind w:right="80" w:firstLine="629"/>
        <w:spacing w:after="0" w:line="280" w:lineRule="auto"/>
        <w:rPr>
          <w:sz w:val="20"/>
          <w:szCs w:val="20"/>
          <w:color w:val="auto"/>
        </w:rPr>
      </w:pPr>
      <w:r>
        <w:rPr>
          <w:rFonts w:ascii="Arial" w:cs="Arial" w:eastAsia="Arial" w:hAnsi="Arial"/>
          <w:sz w:val="16"/>
          <w:szCs w:val="16"/>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$600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$600 million and bear interest at the adjusted LIBOR or base rate plus 1.25% per annum. Borrowing Base B Loans are subject to a sublimit of $200 million and bear interest at the adjusted LIBOR or base rate plus 2.50% per annum. A commitment fee of 0.50% per annum on the average daily unused portion of this facility is payable quarterly in arrears.</w:t>
      </w:r>
    </w:p>
    <w:p>
      <w:pPr>
        <w:spacing w:after="0" w:line="195" w:lineRule="exact"/>
        <w:rPr>
          <w:sz w:val="20"/>
          <w:szCs w:val="20"/>
          <w:color w:val="auto"/>
        </w:rPr>
      </w:pPr>
    </w:p>
    <w:p>
      <w:pPr>
        <w:jc w:val="both"/>
        <w:ind w:right="40" w:firstLine="629"/>
        <w:spacing w:after="0" w:line="297" w:lineRule="auto"/>
        <w:rPr>
          <w:sz w:val="20"/>
          <w:szCs w:val="20"/>
          <w:color w:val="auto"/>
        </w:rPr>
      </w:pPr>
      <w:r>
        <w:rPr>
          <w:rFonts w:ascii="Arial" w:cs="Arial" w:eastAsia="Arial" w:hAnsi="Arial"/>
          <w:sz w:val="16"/>
          <w:szCs w:val="16"/>
          <w:color w:val="auto"/>
        </w:rPr>
        <w:t>On March 10, 2020, VAL entered into a short-term loan arrangement with Jefferies Financial Group, Inc., as lender, for a $20 million demand loan (the "Demand Loan") repayable no later than ninety (90) days after the date of borrowing. The Demand Loan bore interest at a rate of 10% per annum, increased by 2.0% with respect to any principal amounts not paid when due and payable. The Demand Loan was repaid in full as of April 17, 2020.</w:t>
      </w:r>
    </w:p>
    <w:p>
      <w:pPr>
        <w:spacing w:after="0" w:line="181" w:lineRule="exact"/>
        <w:rPr>
          <w:sz w:val="20"/>
          <w:szCs w:val="20"/>
          <w:color w:val="auto"/>
        </w:rPr>
      </w:pPr>
    </w:p>
    <w:p>
      <w:pPr>
        <w:ind w:right="40" w:firstLine="629"/>
        <w:spacing w:after="0" w:line="261" w:lineRule="auto"/>
        <w:rPr>
          <w:sz w:val="20"/>
          <w:szCs w:val="20"/>
          <w:color w:val="auto"/>
        </w:rPr>
      </w:pPr>
      <w:r>
        <w:rPr>
          <w:rFonts w:ascii="Arial" w:cs="Arial" w:eastAsia="Arial" w:hAnsi="Arial"/>
          <w:sz w:val="17"/>
          <w:szCs w:val="17"/>
          <w:color w:val="auto"/>
        </w:rPr>
        <w:t>On March 20, 2020, VAL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(as defined in the Founder Member Loan Facility) commitments under the Founder Member Loan Facility, the Company delivered to the Founder Member a warrant to purchase shares of the Company’s Class A Common Stock. Terms of the warrant are set forth in further detail in Note 17 "Capital Structure".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summarizes the Company’s broker-dealer credit facilities' carrying values, net of unamortized debt issuance costs, where applicable.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These balances are included within Short-term borrowings on the Condensed Consolidated Statements of Financial Condition.</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At June 30, 2021</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Financing Available</w:t>
            </w: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Borrowing</w:t>
            </w: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1"/>
                <w:szCs w:val="11"/>
                <w:color w:val="auto"/>
              </w:rPr>
            </w:pPr>
          </w:p>
        </w:tc>
        <w:tc>
          <w:tcPr>
            <w:tcW w:w="1280" w:type="dxa"/>
            <w:vAlign w:val="bottom"/>
          </w:tcPr>
          <w:p>
            <w:pPr>
              <w:jc w:val="right"/>
              <w:ind w:right="290"/>
              <w:spacing w:after="0" w:line="12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3"/>
        </w:trPr>
        <w:tc>
          <w:tcPr>
            <w:tcW w:w="370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Issuance Cost</w:t>
            </w:r>
          </w:p>
        </w:tc>
        <w:tc>
          <w:tcPr>
            <w:tcW w:w="160" w:type="dxa"/>
            <w:vAlign w:val="bottom"/>
          </w:tcPr>
          <w:p>
            <w:pPr>
              <w:spacing w:after="0"/>
              <w:rPr>
                <w:sz w:val="15"/>
                <w:szCs w:val="15"/>
                <w:color w:val="auto"/>
              </w:rPr>
            </w:pPr>
          </w:p>
        </w:tc>
        <w:tc>
          <w:tcPr>
            <w:tcW w:w="1280" w:type="dxa"/>
            <w:vAlign w:val="bottom"/>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177"/>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ind w:left="140"/>
              <w:spacing w:after="0"/>
              <w:rPr>
                <w:sz w:val="20"/>
                <w:szCs w:val="20"/>
                <w:color w:val="auto"/>
              </w:rPr>
            </w:pPr>
            <w:r>
              <w:rPr>
                <w:rFonts w:ascii="Arial" w:cs="Arial" w:eastAsia="Arial" w:hAnsi="Arial"/>
                <w:sz w:val="14"/>
                <w:szCs w:val="14"/>
                <w:color w:val="auto"/>
              </w:rPr>
              <w:t>Uncommitted facility</w:t>
            </w: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1.25%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198,000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(2,216)</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195,784</w:t>
            </w:r>
          </w:p>
        </w:tc>
        <w:tc>
          <w:tcPr>
            <w:tcW w:w="0" w:type="dxa"/>
            <w:vAlign w:val="bottom"/>
          </w:tcPr>
          <w:p>
            <w:pPr>
              <w:spacing w:after="0"/>
              <w:rPr>
                <w:sz w:val="1"/>
                <w:szCs w:val="1"/>
                <w:color w:val="auto"/>
              </w:rPr>
            </w:pPr>
          </w:p>
        </w:tc>
      </w:tr>
      <w:tr>
        <w:trPr>
          <w:trHeight w:val="186"/>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198,000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195,784</w:t>
            </w:r>
          </w:p>
        </w:tc>
        <w:tc>
          <w:tcPr>
            <w:tcW w:w="0" w:type="dxa"/>
            <w:vAlign w:val="bottom"/>
          </w:tcPr>
          <w:p>
            <w:pPr>
              <w:spacing w:after="0"/>
              <w:rPr>
                <w:sz w:val="1"/>
                <w:szCs w:val="1"/>
                <w:color w:val="auto"/>
              </w:rPr>
            </w:pPr>
          </w:p>
        </w:tc>
      </w:tr>
      <w:tr>
        <w:trPr>
          <w:trHeight w:val="22"/>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At December 31, 2020</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Financing Available</w:t>
            </w: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Borrowing</w:t>
            </w: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1"/>
                <w:szCs w:val="11"/>
                <w:color w:val="auto"/>
              </w:rPr>
            </w:pPr>
          </w:p>
        </w:tc>
        <w:tc>
          <w:tcPr>
            <w:tcW w:w="1280" w:type="dxa"/>
            <w:vAlign w:val="bottom"/>
          </w:tcPr>
          <w:p>
            <w:pPr>
              <w:jc w:val="right"/>
              <w:ind w:right="290"/>
              <w:spacing w:after="0" w:line="12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3"/>
        </w:trPr>
        <w:tc>
          <w:tcPr>
            <w:tcW w:w="370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Issuance Cost</w:t>
            </w:r>
          </w:p>
        </w:tc>
        <w:tc>
          <w:tcPr>
            <w:tcW w:w="160" w:type="dxa"/>
            <w:vAlign w:val="bottom"/>
          </w:tcPr>
          <w:p>
            <w:pPr>
              <w:spacing w:after="0"/>
              <w:rPr>
                <w:sz w:val="15"/>
                <w:szCs w:val="15"/>
                <w:color w:val="auto"/>
              </w:rPr>
            </w:pPr>
          </w:p>
        </w:tc>
        <w:tc>
          <w:tcPr>
            <w:tcW w:w="1280" w:type="dxa"/>
            <w:vAlign w:val="bottom"/>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177"/>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ind w:left="140"/>
              <w:spacing w:after="0"/>
              <w:rPr>
                <w:sz w:val="20"/>
                <w:szCs w:val="20"/>
                <w:color w:val="auto"/>
              </w:rPr>
            </w:pPr>
            <w:r>
              <w:rPr>
                <w:rFonts w:ascii="Arial" w:cs="Arial" w:eastAsia="Arial" w:hAnsi="Arial"/>
                <w:sz w:val="14"/>
                <w:szCs w:val="14"/>
                <w:color w:val="auto"/>
              </w:rPr>
              <w:t>Uncommitted facility</w:t>
            </w: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1.25%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36,400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36,013</w:t>
            </w:r>
          </w:p>
        </w:tc>
        <w:tc>
          <w:tcPr>
            <w:tcW w:w="0" w:type="dxa"/>
            <w:vAlign w:val="bottom"/>
          </w:tcPr>
          <w:p>
            <w:pPr>
              <w:spacing w:after="0"/>
              <w:rPr>
                <w:sz w:val="1"/>
                <w:szCs w:val="1"/>
                <w:color w:val="auto"/>
              </w:rPr>
            </w:pPr>
          </w:p>
        </w:tc>
      </w:tr>
      <w:tr>
        <w:trPr>
          <w:trHeight w:val="183"/>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36,400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36,013</w:t>
            </w:r>
          </w:p>
        </w:tc>
        <w:tc>
          <w:tcPr>
            <w:tcW w:w="0" w:type="dxa"/>
            <w:vAlign w:val="bottom"/>
          </w:tcPr>
          <w:p>
            <w:pPr>
              <w:spacing w:after="0"/>
              <w:rPr>
                <w:sz w:val="1"/>
                <w:szCs w:val="1"/>
                <w:color w:val="auto"/>
              </w:rPr>
            </w:pPr>
          </w:p>
        </w:tc>
      </w:tr>
      <w:tr>
        <w:trPr>
          <w:trHeight w:val="22"/>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2020</w:t>
            </w:r>
          </w:p>
        </w:tc>
      </w:tr>
      <w:tr>
        <w:trPr>
          <w:trHeight w:val="177"/>
        </w:trPr>
        <w:tc>
          <w:tcPr>
            <w:tcW w:w="5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181"/>
        </w:trPr>
        <w:tc>
          <w:tcPr>
            <w:tcW w:w="5380" w:type="dxa"/>
            <w:vAlign w:val="bottom"/>
            <w:gridSpan w:val="2"/>
          </w:tcPr>
          <w:p>
            <w:pPr>
              <w:ind w:left="140"/>
              <w:spacing w:after="0"/>
              <w:rPr>
                <w:sz w:val="20"/>
                <w:szCs w:val="20"/>
                <w:color w:val="auto"/>
              </w:rPr>
            </w:pPr>
            <w:r>
              <w:rPr>
                <w:rFonts w:ascii="Arial" w:cs="Arial" w:eastAsia="Arial" w:hAnsi="Arial"/>
                <w:sz w:val="14"/>
                <w:szCs w:val="14"/>
                <w:color w:val="auto"/>
              </w:rPr>
              <w:t>Uncommitted facility</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763</w:t>
            </w:r>
          </w:p>
        </w:tc>
      </w:tr>
      <w:tr>
        <w:trPr>
          <w:trHeight w:val="186"/>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Committed facility</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r>
      <w:tr>
        <w:trPr>
          <w:trHeight w:val="181"/>
        </w:trPr>
        <w:tc>
          <w:tcPr>
            <w:tcW w:w="5380" w:type="dxa"/>
            <w:vAlign w:val="bottom"/>
            <w:gridSpan w:val="2"/>
          </w:tcPr>
          <w:p>
            <w:pPr>
              <w:ind w:left="140"/>
              <w:spacing w:after="0"/>
              <w:rPr>
                <w:sz w:val="20"/>
                <w:szCs w:val="20"/>
                <w:color w:val="auto"/>
              </w:rPr>
            </w:pPr>
            <w:r>
              <w:rPr>
                <w:rFonts w:ascii="Arial" w:cs="Arial" w:eastAsia="Arial" w:hAnsi="Arial"/>
                <w:sz w:val="14"/>
                <w:szCs w:val="14"/>
                <w:color w:val="auto"/>
              </w:rPr>
              <w:t>Demand Loan</w:t>
            </w: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201"/>
        </w:trPr>
        <w:tc>
          <w:tcPr>
            <w:tcW w:w="5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Short-Term Bank Loans</w:t>
      </w:r>
    </w:p>
    <w:p>
      <w:pPr>
        <w:spacing w:after="0" w:line="250"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Company’s international securities clearance and settlement activities are funded with operating cash or with short-term bank loans in the form of overdraft facilities. At June 30, 2021, there was $18.5 million associated with international settlement activities outstanding under these facilities at a weighted average interest rate of approximately 2.3%. At December 31, 2020, there was $28.7 million associated with international settlement activities outstanding under these facilities at a weighted average interest rate of approximately 2.4%. These short-term bank loan balances are included within Short-term borrowings on the Condensed Consolidated Statements of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Prime Brokerage Credit Facilities</w:t>
      </w:r>
    </w:p>
    <w:p>
      <w:pPr>
        <w:spacing w:after="0" w:line="26" w:lineRule="exact"/>
        <w:rPr>
          <w:sz w:val="20"/>
          <w:szCs w:val="20"/>
          <w:color w:val="auto"/>
        </w:rPr>
      </w:pPr>
    </w:p>
    <w:p>
      <w:pPr>
        <w:jc w:val="both"/>
        <w:ind w:right="340" w:firstLine="629"/>
        <w:spacing w:after="0" w:line="290" w:lineRule="auto"/>
        <w:rPr>
          <w:sz w:val="20"/>
          <w:szCs w:val="20"/>
          <w:color w:val="auto"/>
        </w:rPr>
      </w:pPr>
      <w:r>
        <w:rPr>
          <w:rFonts w:ascii="Arial" w:cs="Arial" w:eastAsia="Arial" w:hAnsi="Arial"/>
          <w:sz w:val="16"/>
          <w:szCs w:val="16"/>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At June 30, 2021</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340" w:type="dxa"/>
            <w:vAlign w:val="bottom"/>
          </w:tcPr>
          <w:p>
            <w:pPr>
              <w:spacing w:after="0"/>
              <w:rPr>
                <w:sz w:val="11"/>
                <w:szCs w:val="11"/>
                <w:color w:val="auto"/>
              </w:rPr>
            </w:pPr>
          </w:p>
        </w:tc>
        <w:tc>
          <w:tcPr>
            <w:tcW w:w="20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1"/>
                <w:szCs w:val="11"/>
                <w:color w:val="auto"/>
              </w:rPr>
            </w:pPr>
          </w:p>
        </w:tc>
        <w:tc>
          <w:tcPr>
            <w:tcW w:w="1820" w:type="dxa"/>
            <w:vAlign w:val="bottom"/>
          </w:tcPr>
          <w:p>
            <w:pPr>
              <w:jc w:val="right"/>
              <w:ind w:right="730"/>
              <w:spacing w:after="0" w:line="129" w:lineRule="exact"/>
              <w:rPr>
                <w:sz w:val="20"/>
                <w:szCs w:val="20"/>
                <w:color w:val="auto"/>
              </w:rPr>
            </w:pPr>
            <w:r>
              <w:rPr>
                <w:rFonts w:ascii="Arial" w:cs="Arial" w:eastAsia="Arial" w:hAnsi="Arial"/>
                <w:sz w:val="14"/>
                <w:szCs w:val="14"/>
                <w:b w:val="1"/>
                <w:bCs w:val="1"/>
                <w:color w:val="auto"/>
              </w:rPr>
              <w:t>Borrowing</w:t>
            </w:r>
          </w:p>
        </w:tc>
        <w:tc>
          <w:tcPr>
            <w:tcW w:w="0" w:type="dxa"/>
            <w:vAlign w:val="bottom"/>
          </w:tcPr>
          <w:p>
            <w:pPr>
              <w:spacing w:after="0"/>
              <w:rPr>
                <w:sz w:val="1"/>
                <w:szCs w:val="1"/>
                <w:color w:val="auto"/>
              </w:rPr>
            </w:pPr>
          </w:p>
        </w:tc>
      </w:tr>
      <w:tr>
        <w:trPr>
          <w:trHeight w:val="183"/>
        </w:trPr>
        <w:tc>
          <w:tcPr>
            <w:tcW w:w="4220" w:type="dxa"/>
            <w:vAlign w:val="bottom"/>
            <w:gridSpan w:val="2"/>
            <w:vMerge w:val="continue"/>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Interest Rate</w:t>
            </w:r>
          </w:p>
        </w:tc>
        <w:tc>
          <w:tcPr>
            <w:tcW w:w="3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5"/>
                <w:szCs w:val="15"/>
                <w:color w:val="auto"/>
              </w:rPr>
            </w:pPr>
          </w:p>
        </w:tc>
        <w:tc>
          <w:tcPr>
            <w:tcW w:w="1820" w:type="dxa"/>
            <w:vAlign w:val="bottom"/>
          </w:tcPr>
          <w:p>
            <w:pPr>
              <w:jc w:val="right"/>
              <w:ind w:right="67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77"/>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Prime Brokerage Credit Facilities:</w:t>
            </w:r>
          </w:p>
        </w:tc>
        <w:tc>
          <w:tcPr>
            <w:tcW w:w="10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2.78%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201,791</w:t>
            </w:r>
          </w:p>
        </w:tc>
        <w:tc>
          <w:tcPr>
            <w:tcW w:w="0" w:type="dxa"/>
            <w:vAlign w:val="bottom"/>
          </w:tcPr>
          <w:p>
            <w:pPr>
              <w:spacing w:after="0"/>
              <w:rPr>
                <w:sz w:val="1"/>
                <w:szCs w:val="1"/>
                <w:color w:val="auto"/>
              </w:rPr>
            </w:pPr>
          </w:p>
        </w:tc>
      </w:tr>
      <w:tr>
        <w:trPr>
          <w:trHeight w:val="201"/>
        </w:trPr>
        <w:tc>
          <w:tcPr>
            <w:tcW w:w="4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201,791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At December 31, 2020</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1"/>
                <w:szCs w:val="11"/>
                <w:color w:val="auto"/>
              </w:rPr>
            </w:pPr>
          </w:p>
        </w:tc>
        <w:tc>
          <w:tcPr>
            <w:tcW w:w="23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260" w:type="dxa"/>
            <w:vAlign w:val="bottom"/>
          </w:tcPr>
          <w:p>
            <w:pPr>
              <w:spacing w:after="0"/>
              <w:rPr>
                <w:sz w:val="11"/>
                <w:szCs w:val="11"/>
                <w:color w:val="auto"/>
              </w:rPr>
            </w:pPr>
          </w:p>
        </w:tc>
        <w:tc>
          <w:tcPr>
            <w:tcW w:w="20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1"/>
                <w:szCs w:val="11"/>
                <w:color w:val="auto"/>
              </w:rPr>
            </w:pPr>
          </w:p>
        </w:tc>
        <w:tc>
          <w:tcPr>
            <w:tcW w:w="1820" w:type="dxa"/>
            <w:vAlign w:val="bottom"/>
          </w:tcPr>
          <w:p>
            <w:pPr>
              <w:jc w:val="right"/>
              <w:ind w:right="730"/>
              <w:spacing w:after="0" w:line="129" w:lineRule="exact"/>
              <w:rPr>
                <w:sz w:val="20"/>
                <w:szCs w:val="20"/>
                <w:color w:val="auto"/>
              </w:rPr>
            </w:pPr>
            <w:r>
              <w:rPr>
                <w:rFonts w:ascii="Arial" w:cs="Arial" w:eastAsia="Arial" w:hAnsi="Arial"/>
                <w:sz w:val="14"/>
                <w:szCs w:val="14"/>
                <w:b w:val="1"/>
                <w:bCs w:val="1"/>
                <w:color w:val="auto"/>
              </w:rPr>
              <w:t>Borrowing</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190"/>
              <w:spacing w:after="0"/>
              <w:rPr>
                <w:sz w:val="20"/>
                <w:szCs w:val="20"/>
                <w:color w:val="auto"/>
              </w:rPr>
            </w:pPr>
            <w:r>
              <w:rPr>
                <w:rFonts w:ascii="Arial" w:cs="Arial" w:eastAsia="Arial" w:hAnsi="Arial"/>
                <w:sz w:val="14"/>
                <w:szCs w:val="14"/>
                <w:b w:val="1"/>
                <w:bCs w:val="1"/>
                <w:color w:val="auto"/>
                <w:w w:val="91"/>
              </w:rPr>
              <w:t>Available</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Prime Brokerage Credit Facilities:</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2.77%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134,664</w:t>
            </w:r>
          </w:p>
        </w:tc>
        <w:tc>
          <w:tcPr>
            <w:tcW w:w="0" w:type="dxa"/>
            <w:vAlign w:val="bottom"/>
          </w:tcPr>
          <w:p>
            <w:pPr>
              <w:spacing w:after="0"/>
              <w:rPr>
                <w:sz w:val="1"/>
                <w:szCs w:val="1"/>
                <w:color w:val="auto"/>
              </w:rPr>
            </w:pPr>
          </w:p>
        </w:tc>
      </w:tr>
      <w:tr>
        <w:trPr>
          <w:trHeight w:val="212"/>
        </w:trPr>
        <w:tc>
          <w:tcPr>
            <w:tcW w:w="4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134,664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(1)  Outstanding borrowings are included with Receivables from/Payables to broker-dealers and clearing organizations within the Condensed Consolidated Statements of Financial Condition.</w:t>
      </w:r>
    </w:p>
    <w:p>
      <w:pPr>
        <w:spacing w:after="0" w:line="250"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Interest expense in relation to the facilities was approximately $1.1 million and $1.3 million for the three months ended June 30, 2021 and 2020, and $2.1 million and $2.6 million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Borrowings</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summarizes the Company’s long-term borrowings, net of unamortized discount and debt issuance costs, where applicable:</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At June 30, 2021</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9"/>
              </w:rPr>
              <w:t>Maturity</w:t>
            </w:r>
          </w:p>
        </w:tc>
        <w:tc>
          <w:tcPr>
            <w:tcW w:w="90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Discount</w:t>
            </w:r>
          </w:p>
        </w:tc>
        <w:tc>
          <w:tcPr>
            <w:tcW w:w="140" w:type="dxa"/>
            <w:vAlign w:val="bottom"/>
          </w:tcPr>
          <w:p>
            <w:pPr>
              <w:spacing w:after="0"/>
              <w:rPr>
                <w:sz w:val="11"/>
                <w:szCs w:val="11"/>
                <w:color w:val="auto"/>
              </w:rPr>
            </w:pPr>
          </w:p>
        </w:tc>
        <w:tc>
          <w:tcPr>
            <w:tcW w:w="118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1"/>
                <w:szCs w:val="11"/>
                <w:color w:val="auto"/>
              </w:rPr>
            </w:pPr>
          </w:p>
        </w:tc>
        <w:tc>
          <w:tcPr>
            <w:tcW w:w="1240" w:type="dxa"/>
            <w:vAlign w:val="bottom"/>
          </w:tcPr>
          <w:p>
            <w:pPr>
              <w:jc w:val="right"/>
              <w:ind w:right="250"/>
              <w:spacing w:after="0" w:line="131"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3"/>
        </w:trPr>
        <w:tc>
          <w:tcPr>
            <w:tcW w:w="3860" w:type="dxa"/>
            <w:vAlign w:val="bottom"/>
            <w:gridSpan w:val="2"/>
            <w:vMerge w:val="continue"/>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Issuance Cost</w:t>
            </w:r>
          </w:p>
        </w:tc>
        <w:tc>
          <w:tcPr>
            <w:tcW w:w="160" w:type="dxa"/>
            <w:vAlign w:val="bottom"/>
          </w:tcPr>
          <w:p>
            <w:pPr>
              <w:spacing w:after="0"/>
              <w:rPr>
                <w:sz w:val="15"/>
                <w:szCs w:val="15"/>
                <w:color w:val="auto"/>
              </w:rPr>
            </w:pPr>
          </w:p>
        </w:tc>
        <w:tc>
          <w:tcPr>
            <w:tcW w:w="1240" w:type="dxa"/>
            <w:vAlign w:val="bottom"/>
          </w:tcPr>
          <w:p>
            <w:pPr>
              <w:jc w:val="right"/>
              <w:ind w:right="150"/>
              <w:spacing w:after="0"/>
              <w:rPr>
                <w:sz w:val="20"/>
                <w:szCs w:val="20"/>
                <w:color w:val="auto"/>
              </w:rPr>
            </w:pPr>
            <w:r>
              <w:rPr>
                <w:rFonts w:ascii="Arial" w:cs="Arial" w:eastAsia="Arial" w:hAnsi="Arial"/>
                <w:sz w:val="14"/>
                <w:szCs w:val="14"/>
                <w:b w:val="1"/>
                <w:bCs w:val="1"/>
                <w:color w:val="auto"/>
                <w:w w:val="93"/>
              </w:rPr>
              <w:t>Borrowings, net</w:t>
            </w:r>
          </w:p>
        </w:tc>
        <w:tc>
          <w:tcPr>
            <w:tcW w:w="0" w:type="dxa"/>
            <w:vAlign w:val="bottom"/>
          </w:tcPr>
          <w:p>
            <w:pPr>
              <w:spacing w:after="0"/>
              <w:rPr>
                <w:sz w:val="1"/>
                <w:szCs w:val="1"/>
                <w:color w:val="auto"/>
              </w:rPr>
            </w:pPr>
          </w:p>
        </w:tc>
      </w:tr>
      <w:tr>
        <w:trPr>
          <w:trHeight w:val="177"/>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Long-term borrowings:</w:t>
            </w: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60" w:type="dxa"/>
            <w:vAlign w:val="bottom"/>
            <w:gridSpan w:val="2"/>
          </w:tcPr>
          <w:p>
            <w:pPr>
              <w:ind w:left="80"/>
              <w:spacing w:after="0"/>
              <w:rPr>
                <w:sz w:val="20"/>
                <w:szCs w:val="20"/>
                <w:color w:val="auto"/>
              </w:rPr>
            </w:pPr>
            <w:r>
              <w:rPr>
                <w:rFonts w:ascii="Arial" w:cs="Arial" w:eastAsia="Arial" w:hAnsi="Arial"/>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March 2026</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3.09%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1,599,774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(4,174)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(24,255)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1,571,345</w:t>
            </w:r>
          </w:p>
        </w:tc>
        <w:tc>
          <w:tcPr>
            <w:tcW w:w="0" w:type="dxa"/>
            <w:vAlign w:val="bottom"/>
          </w:tcPr>
          <w:p>
            <w:pPr>
              <w:spacing w:after="0"/>
              <w:rPr>
                <w:sz w:val="1"/>
                <w:szCs w:val="1"/>
                <w:color w:val="auto"/>
              </w:rPr>
            </w:pPr>
          </w:p>
        </w:tc>
      </w:tr>
      <w:tr>
        <w:trPr>
          <w:trHeight w:val="183"/>
        </w:trPr>
        <w:tc>
          <w:tcPr>
            <w:tcW w:w="38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January 2023</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31,470</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1,631,274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(4,174)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(24,285)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1,602,815</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At December 31, 2020</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1"/>
                <w:szCs w:val="11"/>
                <w:color w:val="auto"/>
              </w:rPr>
            </w:pPr>
          </w:p>
        </w:tc>
        <w:tc>
          <w:tcPr>
            <w:tcW w:w="13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9"/>
              </w:rPr>
              <w:t>Maturity</w:t>
            </w:r>
          </w:p>
        </w:tc>
        <w:tc>
          <w:tcPr>
            <w:tcW w:w="90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86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Discount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1"/>
                <w:szCs w:val="11"/>
                <w:color w:val="auto"/>
              </w:rPr>
            </w:pPr>
          </w:p>
        </w:tc>
        <w:tc>
          <w:tcPr>
            <w:tcW w:w="1240" w:type="dxa"/>
            <w:vAlign w:val="bottom"/>
          </w:tcPr>
          <w:p>
            <w:pPr>
              <w:jc w:val="right"/>
              <w:ind w:right="250"/>
              <w:spacing w:after="0" w:line="131"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0"/>
              </w:rPr>
              <w:t>Issuance Cost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3"/>
              </w:rPr>
              <w:t>Borrowings, net</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Long-term borrowings: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860" w:type="dxa"/>
            <w:vAlign w:val="bottom"/>
            <w:gridSpan w:val="2"/>
          </w:tcPr>
          <w:p>
            <w:pPr>
              <w:ind w:left="80"/>
              <w:spacing w:after="0"/>
              <w:rPr>
                <w:sz w:val="20"/>
                <w:szCs w:val="20"/>
                <w:color w:val="auto"/>
              </w:rPr>
            </w:pPr>
            <w:r>
              <w:rPr>
                <w:rFonts w:ascii="Arial" w:cs="Arial" w:eastAsia="Arial" w:hAnsi="Arial"/>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March 2026</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3.15%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1,636,512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(4,723)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(26,367)</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1,605,422</w:t>
            </w:r>
          </w:p>
        </w:tc>
        <w:tc>
          <w:tcPr>
            <w:tcW w:w="0" w:type="dxa"/>
            <w:vAlign w:val="bottom"/>
          </w:tcPr>
          <w:p>
            <w:pPr>
              <w:spacing w:after="0"/>
              <w:rPr>
                <w:sz w:val="1"/>
                <w:szCs w:val="1"/>
                <w:color w:val="auto"/>
              </w:rPr>
            </w:pPr>
          </w:p>
        </w:tc>
      </w:tr>
      <w:tr>
        <w:trPr>
          <w:trHeight w:val="183"/>
        </w:trPr>
        <w:tc>
          <w:tcPr>
            <w:tcW w:w="38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January 2023</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33,858</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1,670,410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(26,407)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1,639,280</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250"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In connection with the ITG Acquisition, Virtu Financial, VFH Parent LLC, a Delaware limited liability company and a subsidiary of Virtu Financial ("VFH") and Impala Borrower LLC, a subsidiary of the Company (the "Acquisition Borrower") entered into a Credit Agreement (the "Credit Agreement"), with the lenders party thereto, Jefferies Finance LLC, as administrative agent and Jefferies Finance LLC and RBC Capital Markets, as joint lead arrangers and joint bookrunners.</w:t>
      </w:r>
    </w:p>
    <w:p>
      <w:pPr>
        <w:spacing w:after="0" w:line="204" w:lineRule="exact"/>
        <w:rPr>
          <w:sz w:val="20"/>
          <w:szCs w:val="20"/>
          <w:color w:val="auto"/>
        </w:rPr>
      </w:pPr>
    </w:p>
    <w:p>
      <w:pPr>
        <w:ind w:right="20" w:firstLine="629"/>
        <w:spacing w:after="0" w:line="283" w:lineRule="auto"/>
        <w:rPr>
          <w:sz w:val="20"/>
          <w:szCs w:val="20"/>
          <w:color w:val="auto"/>
        </w:rPr>
      </w:pPr>
      <w:r>
        <w:rPr>
          <w:rFonts w:ascii="Arial" w:cs="Arial" w:eastAsia="Arial" w:hAnsi="Arial"/>
          <w:sz w:val="16"/>
          <w:szCs w:val="16"/>
          <w:color w:val="auto"/>
        </w:rPr>
        <w:t>The Credit Agreement provided (i) a senior secured first lien term loan (together with the Incremental Term Loans, as defined below; the “First Lien Term Loan Facility”) in an aggregate principal amount of $1,500 million, drawn in its entirety on the ITG Closing Date, of which amount approximately $404.5 million was borrowed by VFH to repay all amounts outstanding under a previous term loan facility and the remaining approximately $1,095 million was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192"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On October 9, 2019, VFH entered into an amendment (“Amendment No. 1”), which amended the Credit Agreement dated as of March 1, 2019 to, among other things, provide for $525.0 million in aggregate principal amount of incremental term loans (the “Incremental Term Loans”), and amend the related collateral agreement.</w:t>
      </w:r>
    </w:p>
    <w:p>
      <w:pPr>
        <w:spacing w:after="0" w:line="197" w:lineRule="exact"/>
        <w:rPr>
          <w:sz w:val="20"/>
          <w:szCs w:val="20"/>
          <w:color w:val="auto"/>
        </w:rPr>
      </w:pPr>
    </w:p>
    <w:p>
      <w:pPr>
        <w:ind w:right="80" w:firstLine="629"/>
        <w:spacing w:after="0" w:line="261" w:lineRule="auto"/>
        <w:rPr>
          <w:sz w:val="20"/>
          <w:szCs w:val="20"/>
          <w:color w:val="auto"/>
        </w:rPr>
      </w:pPr>
      <w:r>
        <w:rPr>
          <w:rFonts w:ascii="Arial" w:cs="Arial" w:eastAsia="Arial" w:hAnsi="Arial"/>
          <w:sz w:val="17"/>
          <w:szCs w:val="17"/>
          <w:color w:val="auto"/>
        </w:rPr>
        <w:t>On March 2, 2020, VFH entered into a second amendment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 the prime rate in effect, (b) the greater of (1) the federal funds effective rate and (2) the overnight bank funding rate, in each case plus 0.50%, (c) an adjusted LIBOR rate for a Eurodollar borrowing with an interest period of one month plus 1.00% and (d) 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209"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The First Lien Revolving Facility under the Amended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Amended Credit Agreement are guaranteed by Virtu Financial and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VFH’s material non-regulated domestic restricted subsidiaries and secured by substantially all of the assets of VFH and the guarantors, in each case, subject to certain exceptions.</w:t>
      </w:r>
    </w:p>
    <w:p>
      <w:pPr>
        <w:spacing w:after="0" w:line="184"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color w:val="auto"/>
        </w:rPr>
        <w:t>Under the Amended Credit Agreement, the term loans will mature on March 1, 2026. The term loans amortize in annual installments equal to 1.0% of the original aggregate principal amount of the term loans. As of June 30, 2021, $1,600 million was outstanding under the First Lien Term Loan Facility. The revolving commitments will terminate on March 1, 2022. There were no outstanding borrowings under the First Lien Revolving Facility as of June 30, 2021 or December 31, 2020.</w:t>
      </w:r>
    </w:p>
    <w:p>
      <w:pPr>
        <w:spacing w:after="0" w:line="204"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204" w:lineRule="exact"/>
        <w:rPr>
          <w:sz w:val="20"/>
          <w:szCs w:val="20"/>
          <w:color w:val="auto"/>
        </w:rPr>
      </w:pPr>
    </w:p>
    <w:p>
      <w:pPr>
        <w:ind w:right="40" w:firstLine="629"/>
        <w:spacing w:after="0" w:line="302" w:lineRule="auto"/>
        <w:rPr>
          <w:sz w:val="20"/>
          <w:szCs w:val="20"/>
          <w:color w:val="auto"/>
        </w:rPr>
      </w:pPr>
      <w:r>
        <w:rPr>
          <w:rFonts w:ascii="Arial" w:cs="Arial" w:eastAsia="Arial" w:hAnsi="Arial"/>
          <w:sz w:val="15"/>
          <w:szCs w:val="15"/>
          <w:color w:val="auto"/>
        </w:rPr>
        <w:t>In October 2019, the Company entered into a five-year $525 million floating-to-fixed interest rate swap agreement. The Company also entered into a five-year $1,000 million floating-to-fixed interest rate swap agreement in January 2020. As these two interest rate swaps met the criteria to be considered qualifying cash flow hedges under ASC 815 in 2020, they effectively fix interest payment obligations on $525.0 million and $1,000 million of principal under the First Lien Term Loan Facility at rates of 4.3% and 4.4% through September 2024 and January 2025, respectively, based on the interest rates set forth in the Amended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SBI Bonds</w:t>
      </w:r>
    </w:p>
    <w:p>
      <w:pPr>
        <w:spacing w:after="0" w:line="250" w:lineRule="exact"/>
        <w:rPr>
          <w:sz w:val="20"/>
          <w:szCs w:val="20"/>
          <w:color w:val="auto"/>
        </w:rPr>
      </w:pPr>
    </w:p>
    <w:p>
      <w:pPr>
        <w:ind w:right="80" w:firstLine="629"/>
        <w:spacing w:after="0" w:line="261" w:lineRule="auto"/>
        <w:rPr>
          <w:sz w:val="20"/>
          <w:szCs w:val="20"/>
          <w:color w:val="auto"/>
        </w:rPr>
      </w:pPr>
      <w:r>
        <w:rPr>
          <w:rFonts w:ascii="Arial" w:cs="Arial" w:eastAsia="Arial" w:hAnsi="Arial"/>
          <w:sz w:val="17"/>
          <w:szCs w:val="17"/>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9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2019, the maturity date of the SBI Bonds was extended to January 2023. The principal balance was ¥3.5 billion ($31.5 million) as of June 30, 2021 and ¥3.5 billion ($33.9 million) as of December 31, 2020. The Company recorded a gain of $0.1 million during both the three months ended June 30, 2021 and 2020, and a gain of $2.4 million and a loss of $0.2 million during the six months ended June 30, 2021 and 2020, respectively, due to changes in foreign currency rates.</w:t>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As of June 30, 2021, aggregate future required minimum principal payments based on the terms of the long-term borrowings were as follows:</w:t>
      </w:r>
    </w:p>
    <w:p>
      <w:pPr>
        <w:spacing w:after="0" w:line="279" w:lineRule="exact"/>
        <w:rPr>
          <w:sz w:val="20"/>
          <w:szCs w:val="20"/>
          <w:color w:val="auto"/>
        </w:rPr>
      </w:pPr>
    </w:p>
    <w:tbl>
      <w:tblPr>
        <w:tblLayout w:type="fixed"/>
        <w:tblInd w:w="3440" w:type="dxa"/>
        <w:tblCellMar>
          <w:top w:w="0" w:type="dxa"/>
          <w:left w:w="0" w:type="dxa"/>
          <w:bottom w:w="0" w:type="dxa"/>
          <w:right w:w="0" w:type="dxa"/>
        </w:tblCellMar>
      </w:tblPr>
      <w:tr>
        <w:trPr>
          <w:trHeight w:val="188"/>
        </w:trPr>
        <w:tc>
          <w:tcPr>
            <w:tcW w:w="256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6"/>
                <w:szCs w:val="16"/>
                <w:color w:val="auto"/>
              </w:rPr>
            </w:pPr>
          </w:p>
        </w:tc>
        <w:tc>
          <w:tcPr>
            <w:tcW w:w="1520" w:type="dxa"/>
            <w:vAlign w:val="bottom"/>
          </w:tcPr>
          <w:p>
            <w:pPr>
              <w:jc w:val="right"/>
              <w:ind w:right="43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82"/>
        </w:trPr>
        <w:tc>
          <w:tcPr>
            <w:tcW w:w="24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Remainder of 2021</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440" w:type="dxa"/>
            <w:vAlign w:val="bottom"/>
          </w:tcPr>
          <w:p>
            <w:pPr>
              <w:ind w:left="64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31,500</w:t>
            </w:r>
          </w:p>
        </w:tc>
        <w:tc>
          <w:tcPr>
            <w:tcW w:w="0" w:type="dxa"/>
            <w:vAlign w:val="bottom"/>
          </w:tcPr>
          <w:p>
            <w:pPr>
              <w:spacing w:after="0"/>
              <w:rPr>
                <w:sz w:val="1"/>
                <w:szCs w:val="1"/>
                <w:color w:val="auto"/>
              </w:rPr>
            </w:pPr>
          </w:p>
        </w:tc>
      </w:tr>
      <w:tr>
        <w:trPr>
          <w:trHeight w:val="181"/>
        </w:trPr>
        <w:tc>
          <w:tcPr>
            <w:tcW w:w="2440" w:type="dxa"/>
            <w:vAlign w:val="bottom"/>
          </w:tcPr>
          <w:p>
            <w:pPr>
              <w:ind w:left="64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2025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560" w:type="dxa"/>
            <w:vAlign w:val="bottom"/>
            <w:tcBorders>
              <w:bottom w:val="single" w:sz="8" w:color="CCEEFF"/>
            </w:tcBorders>
            <w:gridSpan w:val="2"/>
          </w:tcPr>
          <w:p>
            <w:pPr>
              <w:ind w:left="640"/>
              <w:spacing w:after="0"/>
              <w:rPr>
                <w:sz w:val="20"/>
                <w:szCs w:val="20"/>
                <w:color w:val="auto"/>
              </w:rPr>
            </w:pPr>
            <w:r>
              <w:rPr>
                <w:rFonts w:ascii="Arial" w:cs="Arial" w:eastAsia="Arial" w:hAnsi="Arial"/>
                <w:sz w:val="14"/>
                <w:szCs w:val="14"/>
                <w:color w:val="auto"/>
              </w:rPr>
              <w:t>Thereafter</w:t>
            </w:r>
          </w:p>
        </w:tc>
        <w:tc>
          <w:tcPr>
            <w:tcW w:w="9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1,599,774</w:t>
            </w:r>
          </w:p>
        </w:tc>
        <w:tc>
          <w:tcPr>
            <w:tcW w:w="0" w:type="dxa"/>
            <w:vAlign w:val="bottom"/>
          </w:tcPr>
          <w:p>
            <w:pPr>
              <w:spacing w:after="0"/>
              <w:rPr>
                <w:sz w:val="1"/>
                <w:szCs w:val="1"/>
                <w:color w:val="auto"/>
              </w:rPr>
            </w:pPr>
          </w:p>
        </w:tc>
      </w:tr>
      <w:tr>
        <w:trPr>
          <w:trHeight w:val="113"/>
        </w:trPr>
        <w:tc>
          <w:tcPr>
            <w:tcW w:w="2560" w:type="dxa"/>
            <w:vAlign w:val="bottom"/>
            <w:gridSpan w:val="2"/>
            <w:shd w:val="clear" w:color="auto" w:fill="CCEEFF"/>
          </w:tcPr>
          <w:p>
            <w:pPr>
              <w:ind w:left="640"/>
              <w:spacing w:after="0" w:line="114" w:lineRule="exact"/>
              <w:rPr>
                <w:sz w:val="20"/>
                <w:szCs w:val="20"/>
                <w:color w:val="auto"/>
              </w:rPr>
            </w:pPr>
            <w:r>
              <w:rPr>
                <w:rFonts w:ascii="Arial" w:cs="Arial" w:eastAsia="Arial" w:hAnsi="Arial"/>
                <w:sz w:val="13"/>
                <w:szCs w:val="13"/>
                <w:color w:val="auto"/>
              </w:rPr>
              <w:t>Total principal of long-term</w:t>
            </w:r>
          </w:p>
        </w:tc>
        <w:tc>
          <w:tcPr>
            <w:tcW w:w="9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1,631,274</w:t>
            </w:r>
          </w:p>
        </w:tc>
        <w:tc>
          <w:tcPr>
            <w:tcW w:w="0" w:type="dxa"/>
            <w:vAlign w:val="bottom"/>
          </w:tcPr>
          <w:p>
            <w:pPr>
              <w:spacing w:after="0"/>
              <w:rPr>
                <w:sz w:val="1"/>
                <w:szCs w:val="1"/>
                <w:color w:val="auto"/>
              </w:rPr>
            </w:pPr>
          </w:p>
        </w:tc>
      </w:tr>
      <w:tr>
        <w:trPr>
          <w:trHeight w:val="177"/>
        </w:trPr>
        <w:tc>
          <w:tcPr>
            <w:tcW w:w="2560" w:type="dxa"/>
            <w:vAlign w:val="bottom"/>
            <w:tcBorders>
              <w:bottom w:val="single" w:sz="8" w:color="CCEEFF"/>
            </w:tcBorders>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borrowings</w:t>
            </w: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5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Measured at Fair Value</w:t>
      </w:r>
    </w:p>
    <w:p>
      <w:pPr>
        <w:spacing w:after="0" w:line="250"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95" w:lineRule="exact"/>
        <w:rPr>
          <w:sz w:val="20"/>
          <w:szCs w:val="20"/>
          <w:color w:val="auto"/>
        </w:rPr>
      </w:pPr>
    </w:p>
    <w:p>
      <w:pPr>
        <w:ind w:firstLine="629"/>
        <w:spacing w:after="0" w:line="308" w:lineRule="auto"/>
        <w:rPr>
          <w:sz w:val="20"/>
          <w:szCs w:val="20"/>
          <w:color w:val="auto"/>
        </w:rPr>
      </w:pPr>
      <w:r>
        <w:rPr>
          <w:rFonts w:ascii="Arial" w:cs="Arial" w:eastAsia="Arial" w:hAnsi="Arial"/>
          <w:sz w:val="15"/>
          <w:szCs w:val="15"/>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June 30, 2021:</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80" w:type="dxa"/>
            <w:vAlign w:val="bottom"/>
          </w:tcPr>
          <w:p>
            <w:pPr>
              <w:spacing w:after="0"/>
              <w:rPr>
                <w:sz w:val="11"/>
                <w:szCs w:val="11"/>
                <w:color w:val="auto"/>
              </w:rPr>
            </w:pP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Significant Other</w:t>
            </w:r>
          </w:p>
        </w:tc>
        <w:tc>
          <w:tcPr>
            <w:tcW w:w="1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and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8"/>
              </w:rPr>
              <w:t>Identical Assets</w:t>
            </w:r>
          </w:p>
        </w:tc>
        <w:tc>
          <w:tcPr>
            <w:tcW w:w="80" w:type="dxa"/>
            <w:vAlign w:val="bottom"/>
          </w:tcPr>
          <w:p>
            <w:pPr>
              <w:spacing w:after="0"/>
              <w:rPr>
                <w:sz w:val="11"/>
                <w:szCs w:val="11"/>
                <w:color w:val="auto"/>
              </w:rPr>
            </w:pPr>
          </w:p>
        </w:tc>
        <w:tc>
          <w:tcPr>
            <w:tcW w:w="132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0"/>
              </w:rPr>
              <w:t>Observable Inputs</w:t>
            </w:r>
          </w:p>
        </w:tc>
        <w:tc>
          <w:tcPr>
            <w:tcW w:w="142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8"/>
              </w:rPr>
              <w:t>Unobservable Inputs</w:t>
            </w:r>
          </w:p>
        </w:tc>
        <w:tc>
          <w:tcPr>
            <w:tcW w:w="100" w:type="dxa"/>
            <w:vAlign w:val="bottom"/>
          </w:tcPr>
          <w:p>
            <w:pPr>
              <w:spacing w:after="0"/>
              <w:rPr>
                <w:sz w:val="11"/>
                <w:szCs w:val="11"/>
                <w:color w:val="auto"/>
              </w:rPr>
            </w:pPr>
          </w:p>
        </w:tc>
        <w:tc>
          <w:tcPr>
            <w:tcW w:w="132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Fair Value</w:t>
            </w:r>
          </w:p>
        </w:tc>
        <w:tc>
          <w:tcPr>
            <w:tcW w:w="0" w:type="dxa"/>
            <w:vAlign w:val="bottom"/>
          </w:tcPr>
          <w:p>
            <w:pPr>
              <w:spacing w:after="0"/>
              <w:rPr>
                <w:sz w:val="1"/>
                <w:szCs w:val="1"/>
                <w:color w:val="auto"/>
              </w:rPr>
            </w:pPr>
          </w:p>
        </w:tc>
      </w:tr>
      <w:tr>
        <w:trPr>
          <w:trHeight w:val="183"/>
        </w:trPr>
        <w:tc>
          <w:tcPr>
            <w:tcW w:w="44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Netting</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Financial instruments owned, at fair value: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1,297,155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871,701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2,168,856</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U.S. and Non-U.S. government obligations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320,911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17,896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338,807</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Corporate Bonds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182,694</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8,369</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305,525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(294,309)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11,216</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5,246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5,246</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1,624,082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1,385,415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(294,309)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2,715,188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Financial instruments owned, pledged as collateral:</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Equity securities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669,552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249,888</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919,440</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Exchange traded notes</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7,718</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670,972</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256,186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927,158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78,313</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Exchange stock</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2,742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2,742</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81,055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Financial instruments sold, not yet purchased, at fair value: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1,648,578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874,853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2,523,431</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U.S. and Non-U.S. government obligations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291,003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297,945</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Corporate Bonds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288,200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288,200</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325,961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(318,500)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7,461</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4,431</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1,945,108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1,496,780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(318,500)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3,123,388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Payables to broker dealers and clearing organizations: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Interest rate swap</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47,248</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47,248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2020:</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80" w:type="dxa"/>
            <w:vAlign w:val="bottom"/>
          </w:tcPr>
          <w:p>
            <w:pPr>
              <w:spacing w:after="0"/>
              <w:rPr>
                <w:sz w:val="11"/>
                <w:szCs w:val="11"/>
                <w:color w:val="auto"/>
              </w:rPr>
            </w:pPr>
          </w:p>
        </w:tc>
        <w:tc>
          <w:tcPr>
            <w:tcW w:w="122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and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8"/>
              </w:rPr>
              <w:t>Identical Assets</w:t>
            </w:r>
          </w:p>
        </w:tc>
        <w:tc>
          <w:tcPr>
            <w:tcW w:w="80" w:type="dxa"/>
            <w:vAlign w:val="bottom"/>
          </w:tcPr>
          <w:p>
            <w:pPr>
              <w:spacing w:after="0"/>
              <w:rPr>
                <w:sz w:val="11"/>
                <w:szCs w:val="11"/>
                <w:color w:val="auto"/>
              </w:rPr>
            </w:pPr>
          </w:p>
        </w:tc>
        <w:tc>
          <w:tcPr>
            <w:tcW w:w="1220" w:type="dxa"/>
            <w:vAlign w:val="bottom"/>
          </w:tcPr>
          <w:p>
            <w:pPr>
              <w:jc w:val="right"/>
              <w:ind w:right="30"/>
              <w:spacing w:after="0" w:line="131" w:lineRule="exact"/>
              <w:rPr>
                <w:sz w:val="20"/>
                <w:szCs w:val="20"/>
                <w:color w:val="auto"/>
              </w:rPr>
            </w:pPr>
            <w:r>
              <w:rPr>
                <w:rFonts w:ascii="Arial" w:cs="Arial" w:eastAsia="Arial" w:hAnsi="Arial"/>
                <w:sz w:val="14"/>
                <w:szCs w:val="14"/>
                <w:b w:val="1"/>
                <w:bCs w:val="1"/>
                <w:color w:val="auto"/>
                <w:w w:val="90"/>
              </w:rPr>
              <w:t>Observable Inputs</w:t>
            </w:r>
          </w:p>
        </w:tc>
        <w:tc>
          <w:tcPr>
            <w:tcW w:w="100" w:type="dxa"/>
            <w:vAlign w:val="bottom"/>
          </w:tcPr>
          <w:p>
            <w:pPr>
              <w:spacing w:after="0"/>
              <w:rPr>
                <w:sz w:val="11"/>
                <w:szCs w:val="11"/>
                <w:color w:val="auto"/>
              </w:rPr>
            </w:pPr>
          </w:p>
        </w:tc>
        <w:tc>
          <w:tcPr>
            <w:tcW w:w="142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8"/>
              </w:rPr>
              <w:t>Unobservable Inputs</w:t>
            </w:r>
          </w:p>
        </w:tc>
        <w:tc>
          <w:tcPr>
            <w:tcW w:w="100" w:type="dxa"/>
            <w:vAlign w:val="bottom"/>
          </w:tcPr>
          <w:p>
            <w:pPr>
              <w:spacing w:after="0"/>
              <w:rPr>
                <w:sz w:val="11"/>
                <w:szCs w:val="11"/>
                <w:color w:val="auto"/>
              </w:rPr>
            </w:pPr>
          </w:p>
        </w:tc>
        <w:tc>
          <w:tcPr>
            <w:tcW w:w="132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Fair Value</w:t>
            </w:r>
          </w:p>
        </w:tc>
        <w:tc>
          <w:tcPr>
            <w:tcW w:w="0" w:type="dxa"/>
            <w:vAlign w:val="bottom"/>
          </w:tcPr>
          <w:p>
            <w:pPr>
              <w:spacing w:after="0"/>
              <w:rPr>
                <w:sz w:val="1"/>
                <w:szCs w:val="1"/>
                <w:color w:val="auto"/>
              </w:rPr>
            </w:pPr>
          </w:p>
        </w:tc>
      </w:tr>
      <w:tr>
        <w:trPr>
          <w:trHeight w:val="183"/>
        </w:trPr>
        <w:tc>
          <w:tcPr>
            <w:tcW w:w="44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1220" w:type="dxa"/>
            <w:vAlign w:val="bottom"/>
          </w:tcPr>
          <w:p>
            <w:pPr>
              <w:jc w:val="right"/>
              <w:ind w:right="33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Netting</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spacing w:after="0"/>
              <w:rPr>
                <w:sz w:val="20"/>
                <w:szCs w:val="20"/>
                <w:color w:val="auto"/>
              </w:rPr>
            </w:pPr>
            <w:r>
              <w:rPr>
                <w:rFonts w:ascii="Arial" w:cs="Arial" w:eastAsia="Arial" w:hAnsi="Arial"/>
                <w:sz w:val="14"/>
                <w:szCs w:val="14"/>
                <w:color w:val="auto"/>
              </w:rPr>
              <w:t>Financial instruments owned, at fair value: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761,484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1,194,105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1,955,589</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U.S. and Non-U.S. government obligations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151,723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48,059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199,782</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Corporate Bonds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135,518</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19,721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19,827</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Currency forwards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(291,964)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49,396</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9,080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9,080</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922,393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1,738,763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(291,964)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2,369,192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Financial instruments owned, pledged as collateral:</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496,943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237,081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734,024</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12,515</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496,945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249,594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746,539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66,030</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Exchange stock</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2,286</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68,316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spacing w:after="0"/>
              <w:rPr>
                <w:sz w:val="20"/>
                <w:szCs w:val="20"/>
                <w:color w:val="auto"/>
              </w:rPr>
            </w:pPr>
            <w:r>
              <w:rPr>
                <w:rFonts w:ascii="Arial" w:cs="Arial" w:eastAsia="Arial" w:hAnsi="Arial"/>
                <w:sz w:val="14"/>
                <w:szCs w:val="14"/>
                <w:color w:val="auto"/>
              </w:rPr>
              <w:t>Financial instruments sold, not yet purchased, at fair value: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1,307,082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1,137,968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2,445,050</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U.S. and Non-U.S. government obligations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83,173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19,984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103,157</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Corporate Bonds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358,734</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7,431</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Currency forwards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(292,870)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9,241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9,241</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1,399,496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1,817,082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(292,870)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2,923,708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Payables to broker dealers and clearing organizations: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Interest rate swap</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63,513</w:t>
            </w:r>
          </w:p>
        </w:tc>
        <w:tc>
          <w:tcPr>
            <w:tcW w:w="3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63,513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JNX Investment</w:t>
      </w:r>
    </w:p>
    <w:p>
      <w:pPr>
        <w:spacing w:after="0" w:line="250" w:lineRule="exact"/>
        <w:rPr>
          <w:sz w:val="20"/>
          <w:szCs w:val="20"/>
          <w:color w:val="auto"/>
        </w:rPr>
      </w:pPr>
    </w:p>
    <w:p>
      <w:pPr>
        <w:ind w:right="140" w:firstLine="629"/>
        <w:spacing w:after="0" w:line="261" w:lineRule="auto"/>
        <w:rPr>
          <w:sz w:val="20"/>
          <w:szCs w:val="20"/>
          <w:color w:val="auto"/>
        </w:rPr>
      </w:pPr>
      <w:r>
        <w:rPr>
          <w:rFonts w:ascii="Arial" w:cs="Arial" w:eastAsia="Arial" w:hAnsi="Arial"/>
          <w:sz w:val="17"/>
          <w:szCs w:val="17"/>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8 "Borrowings") and used the proceeds to partially finance the transaction. The JNX Investment is included within Level 3 of the fair value hierarchy. As of June 30, 2020 and 2021,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presents information on the valuation techniques, significant unobservable inputs and their ranges for the JNX Investment:</w:t>
      </w:r>
    </w:p>
    <w:p>
      <w:pPr>
        <w:spacing w:after="0" w:line="279" w:lineRule="exact"/>
        <w:rPr>
          <w:sz w:val="20"/>
          <w:szCs w:val="20"/>
          <w:color w:val="auto"/>
        </w:rPr>
      </w:pPr>
    </w:p>
    <w:tbl>
      <w:tblPr>
        <w:tblLayout w:type="fixed"/>
        <w:tblInd w:w="680" w:type="dxa"/>
        <w:tblCellMar>
          <w:top w:w="0" w:type="dxa"/>
          <w:left w:w="0" w:type="dxa"/>
          <w:bottom w:w="0" w:type="dxa"/>
          <w:right w:w="0" w:type="dxa"/>
        </w:tblCellMar>
      </w:tblPr>
      <w:tr>
        <w:trPr>
          <w:trHeight w:val="188"/>
        </w:trPr>
        <w:tc>
          <w:tcPr>
            <w:tcW w:w="2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June 30, 2021</w:t>
            </w:r>
          </w:p>
        </w:tc>
        <w:tc>
          <w:tcPr>
            <w:tcW w:w="6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9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Fair Value</w:t>
            </w:r>
          </w:p>
        </w:tc>
        <w:tc>
          <w:tcPr>
            <w:tcW w:w="16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Valuation Technique</w:t>
            </w:r>
          </w:p>
        </w:tc>
        <w:tc>
          <w:tcPr>
            <w:tcW w:w="19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Significant Unobservable</w:t>
            </w:r>
          </w:p>
        </w:tc>
        <w:tc>
          <w:tcPr>
            <w:tcW w:w="13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Range</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3"/>
        </w:trPr>
        <w:tc>
          <w:tcPr>
            <w:tcW w:w="25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9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Input</w:t>
            </w:r>
          </w:p>
        </w:tc>
        <w:tc>
          <w:tcPr>
            <w:tcW w:w="1320" w:type="dxa"/>
            <w:vAlign w:val="bottom"/>
            <w:tcBorders>
              <w:bottom w:val="single" w:sz="8" w:color="auto"/>
            </w:tcBorders>
            <w:gridSpan w:val="2"/>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78,313</w:t>
            </w:r>
          </w:p>
        </w:tc>
        <w:tc>
          <w:tcPr>
            <w:tcW w:w="166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Discounted cash flow</w:t>
            </w: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revenue growth</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- 5.0%</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81"/>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Discount rate</w:t>
            </w:r>
          </w:p>
        </w:tc>
        <w:tc>
          <w:tcPr>
            <w:tcW w:w="620" w:type="dxa"/>
            <w:vAlign w:val="bottom"/>
          </w:tcPr>
          <w:p>
            <w:pPr>
              <w:jc w:val="right"/>
              <w:spacing w:after="0"/>
              <w:rPr>
                <w:sz w:val="20"/>
                <w:szCs w:val="20"/>
                <w:color w:val="auto"/>
              </w:rPr>
            </w:pPr>
            <w:r>
              <w:rPr>
                <w:rFonts w:ascii="Arial" w:cs="Arial" w:eastAsia="Arial" w:hAnsi="Arial"/>
                <w:sz w:val="14"/>
                <w:szCs w:val="14"/>
                <w:color w:val="auto"/>
              </w:rPr>
              <w:t>14.4%</w:t>
            </w:r>
          </w:p>
        </w:tc>
        <w:tc>
          <w:tcPr>
            <w:tcW w:w="700" w:type="dxa"/>
            <w:vAlign w:val="bottom"/>
          </w:tcPr>
          <w:p>
            <w:pPr>
              <w:ind w:left="20"/>
              <w:spacing w:after="0"/>
              <w:rPr>
                <w:sz w:val="20"/>
                <w:szCs w:val="20"/>
                <w:color w:val="auto"/>
              </w:rPr>
            </w:pPr>
            <w:r>
              <w:rPr>
                <w:rFonts w:ascii="Arial" w:cs="Arial" w:eastAsia="Arial" w:hAnsi="Arial"/>
                <w:sz w:val="14"/>
                <w:szCs w:val="14"/>
                <w:color w:val="auto"/>
              </w:rPr>
              <w:t>- 14.4%</w:t>
            </w:r>
          </w:p>
        </w:tc>
        <w:tc>
          <w:tcPr>
            <w:tcW w:w="1380" w:type="dxa"/>
            <w:vAlign w:val="bottom"/>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33"/>
        </w:trPr>
        <w:tc>
          <w:tcPr>
            <w:tcW w:w="2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Market</w:t>
            </w:r>
          </w:p>
        </w:tc>
        <w:tc>
          <w:tcPr>
            <w:tcW w:w="1940" w:type="dxa"/>
            <w:vAlign w:val="bottom"/>
            <w:shd w:val="clear" w:color="auto" w:fill="CCEEFF"/>
          </w:tcPr>
          <w:p>
            <w:pPr>
              <w:ind w:left="160"/>
              <w:spacing w:after="0" w:line="133" w:lineRule="exact"/>
              <w:rPr>
                <w:sz w:val="20"/>
                <w:szCs w:val="20"/>
                <w:color w:val="auto"/>
              </w:rPr>
            </w:pPr>
            <w:r>
              <w:rPr>
                <w:rFonts w:ascii="Arial" w:cs="Arial" w:eastAsia="Arial" w:hAnsi="Arial"/>
                <w:sz w:val="14"/>
                <w:szCs w:val="14"/>
                <w:color w:val="auto"/>
              </w:rPr>
              <w:t>Future enterprise value/</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12.3x</w:t>
            </w:r>
          </w:p>
        </w:tc>
        <w:tc>
          <w:tcPr>
            <w:tcW w:w="7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- 22.8x</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16.3x</w:t>
            </w: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EBIDTA ratio</w:t>
            </w:r>
          </w:p>
        </w:tc>
        <w:tc>
          <w:tcPr>
            <w:tcW w:w="62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December 31, 2020</w:t>
            </w:r>
          </w:p>
        </w:tc>
        <w:tc>
          <w:tcPr>
            <w:tcW w:w="6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9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Fair Value</w:t>
            </w:r>
          </w:p>
        </w:tc>
        <w:tc>
          <w:tcPr>
            <w:tcW w:w="164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9"/>
              </w:rPr>
              <w:t>Valuation Technique</w:t>
            </w:r>
          </w:p>
        </w:tc>
        <w:tc>
          <w:tcPr>
            <w:tcW w:w="192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Significant Unobservable</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9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Input</w:t>
            </w:r>
          </w:p>
        </w:tc>
        <w:tc>
          <w:tcPr>
            <w:tcW w:w="1320" w:type="dxa"/>
            <w:vAlign w:val="bottom"/>
            <w:tcBorders>
              <w:bottom w:val="single" w:sz="8" w:color="auto"/>
            </w:tcBorders>
            <w:gridSpan w:val="2"/>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66,030</w:t>
            </w:r>
          </w:p>
        </w:tc>
        <w:tc>
          <w:tcPr>
            <w:tcW w:w="1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Discounted cash flow</w:t>
            </w:r>
          </w:p>
        </w:tc>
        <w:tc>
          <w:tcPr>
            <w:tcW w:w="1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revenue growth</w:t>
            </w:r>
          </w:p>
        </w:tc>
        <w:tc>
          <w:tcPr>
            <w:tcW w:w="132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(9.0)% - 39.0%</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0" w:type="dxa"/>
            <w:vAlign w:val="bottom"/>
          </w:tcPr>
          <w:p>
            <w:pPr>
              <w:spacing w:after="0"/>
              <w:rPr>
                <w:sz w:val="1"/>
                <w:szCs w:val="1"/>
                <w:color w:val="auto"/>
              </w:rPr>
            </w:pPr>
          </w:p>
        </w:tc>
      </w:tr>
      <w:tr>
        <w:trPr>
          <w:trHeight w:val="181"/>
        </w:trPr>
        <w:tc>
          <w:tcPr>
            <w:tcW w:w="2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20" w:type="dxa"/>
            <w:vAlign w:val="bottom"/>
          </w:tcPr>
          <w:p>
            <w:pPr>
              <w:ind w:left="160"/>
              <w:spacing w:after="0"/>
              <w:rPr>
                <w:sz w:val="20"/>
                <w:szCs w:val="20"/>
                <w:color w:val="auto"/>
              </w:rPr>
            </w:pPr>
            <w:r>
              <w:rPr>
                <w:rFonts w:ascii="Arial" w:cs="Arial" w:eastAsia="Arial" w:hAnsi="Arial"/>
                <w:sz w:val="14"/>
                <w:szCs w:val="14"/>
                <w:color w:val="auto"/>
              </w:rPr>
              <w:t>Discount rate</w:t>
            </w:r>
          </w:p>
        </w:tc>
        <w:tc>
          <w:tcPr>
            <w:tcW w:w="620" w:type="dxa"/>
            <w:vAlign w:val="bottom"/>
          </w:tcPr>
          <w:p>
            <w:pPr>
              <w:jc w:val="right"/>
              <w:spacing w:after="0"/>
              <w:rPr>
                <w:sz w:val="20"/>
                <w:szCs w:val="20"/>
                <w:color w:val="auto"/>
              </w:rPr>
            </w:pPr>
            <w:r>
              <w:rPr>
                <w:rFonts w:ascii="Arial" w:cs="Arial" w:eastAsia="Arial" w:hAnsi="Arial"/>
                <w:sz w:val="14"/>
                <w:szCs w:val="14"/>
                <w:color w:val="auto"/>
              </w:rPr>
              <w:t>14.4%</w:t>
            </w:r>
          </w:p>
        </w:tc>
        <w:tc>
          <w:tcPr>
            <w:tcW w:w="700" w:type="dxa"/>
            <w:vAlign w:val="bottom"/>
          </w:tcPr>
          <w:p>
            <w:pPr>
              <w:ind w:left="20"/>
              <w:spacing w:after="0"/>
              <w:rPr>
                <w:sz w:val="20"/>
                <w:szCs w:val="20"/>
                <w:color w:val="auto"/>
              </w:rPr>
            </w:pPr>
            <w:r>
              <w:rPr>
                <w:rFonts w:ascii="Arial" w:cs="Arial" w:eastAsia="Arial" w:hAnsi="Arial"/>
                <w:sz w:val="14"/>
                <w:szCs w:val="14"/>
                <w:color w:val="auto"/>
              </w:rPr>
              <w:t>- 14.4%</w:t>
            </w:r>
          </w:p>
        </w:tc>
        <w:tc>
          <w:tcPr>
            <w:tcW w:w="1360" w:type="dxa"/>
            <w:vAlign w:val="bottom"/>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33"/>
        </w:trPr>
        <w:tc>
          <w:tcPr>
            <w:tcW w:w="2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Market</w:t>
            </w:r>
          </w:p>
        </w:tc>
        <w:tc>
          <w:tcPr>
            <w:tcW w:w="1920" w:type="dxa"/>
            <w:vAlign w:val="bottom"/>
            <w:shd w:val="clear" w:color="auto" w:fill="CCEEFF"/>
          </w:tcPr>
          <w:p>
            <w:pPr>
              <w:ind w:left="160"/>
              <w:spacing w:after="0" w:line="133" w:lineRule="exact"/>
              <w:rPr>
                <w:sz w:val="20"/>
                <w:szCs w:val="20"/>
                <w:color w:val="auto"/>
              </w:rPr>
            </w:pPr>
            <w:r>
              <w:rPr>
                <w:rFonts w:ascii="Arial" w:cs="Arial" w:eastAsia="Arial" w:hAnsi="Arial"/>
                <w:sz w:val="14"/>
                <w:szCs w:val="14"/>
                <w:color w:val="auto"/>
              </w:rPr>
              <w:t>Future enterprise value/</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12.2x</w:t>
            </w:r>
          </w:p>
        </w:tc>
        <w:tc>
          <w:tcPr>
            <w:tcW w:w="7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- 21.9x</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13.8x</w:t>
            </w:r>
          </w:p>
        </w:tc>
        <w:tc>
          <w:tcPr>
            <w:tcW w:w="0" w:type="dxa"/>
            <w:vAlign w:val="bottom"/>
          </w:tcPr>
          <w:p>
            <w:pPr>
              <w:spacing w:after="0"/>
              <w:rPr>
                <w:sz w:val="1"/>
                <w:szCs w:val="1"/>
                <w:color w:val="auto"/>
              </w:rPr>
            </w:pPr>
          </w:p>
        </w:tc>
      </w:tr>
      <w:tr>
        <w:trPr>
          <w:trHeight w:val="183"/>
        </w:trPr>
        <w:tc>
          <w:tcPr>
            <w:tcW w:w="2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40" w:type="dxa"/>
            <w:vAlign w:val="bottom"/>
            <w:vMerge w:val="continue"/>
            <w:shd w:val="clear" w:color="auto" w:fill="CCEEFF"/>
          </w:tcPr>
          <w:p>
            <w:pPr>
              <w:spacing w:after="0"/>
              <w:rPr>
                <w:sz w:val="15"/>
                <w:szCs w:val="15"/>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EBIDTA ratio</w:t>
            </w:r>
          </w:p>
        </w:tc>
        <w:tc>
          <w:tcPr>
            <w:tcW w:w="62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Changes in the fair value of the JNX Investment are included within Other, net in the Condensed Consolidated Statements of Comprehensive Income.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presents the changes in the Company's Level 3 financial instruments measured at fair value on a recurring basis: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4"/>
                <w:szCs w:val="14"/>
                <w:b w:val="1"/>
                <w:bCs w:val="1"/>
                <w:color w:val="auto"/>
                <w:w w:val="89"/>
              </w:rPr>
              <w:t>Three Months Ended June 30, 2021</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29" w:lineRule="exact"/>
              <w:rPr>
                <w:sz w:val="20"/>
                <w:szCs w:val="20"/>
                <w:color w:val="auto"/>
              </w:rPr>
            </w:pPr>
            <w:r>
              <w:rPr>
                <w:rFonts w:ascii="Arial" w:cs="Arial" w:eastAsia="Arial" w:hAnsi="Arial"/>
                <w:sz w:val="14"/>
                <w:szCs w:val="14"/>
                <w:b w:val="1"/>
                <w:bCs w:val="1"/>
                <w:color w:val="auto"/>
                <w:w w:val="91"/>
              </w:rPr>
              <w:t>Change in Net</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Unrealized Gains /</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Balance at March</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3"/>
              </w:rPr>
              <w:t>Net Transfers into</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at June</w:t>
            </w: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31"/>
        </w:trPr>
        <w:tc>
          <w:tcPr>
            <w:tcW w:w="2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28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0"/>
              </w:rPr>
              <w:t>Unrealized Gains /</w:t>
            </w:r>
          </w:p>
        </w:tc>
        <w:tc>
          <w:tcPr>
            <w:tcW w:w="1280" w:type="dxa"/>
            <w:vAlign w:val="bottom"/>
            <w:gridSpan w:val="3"/>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Settlement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held at June 30,</w:t>
            </w:r>
          </w:p>
        </w:tc>
        <w:tc>
          <w:tcPr>
            <w:tcW w:w="0" w:type="dxa"/>
            <w:vAlign w:val="bottom"/>
          </w:tcPr>
          <w:p>
            <w:pPr>
              <w:spacing w:after="0"/>
              <w:rPr>
                <w:sz w:val="1"/>
                <w:szCs w:val="1"/>
                <w:color w:val="auto"/>
              </w:rPr>
            </w:pPr>
          </w:p>
        </w:tc>
      </w:tr>
      <w:tr>
        <w:trPr>
          <w:trHeight w:val="183"/>
        </w:trPr>
        <w:tc>
          <w:tcPr>
            <w:tcW w:w="2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90"/>
              <w:spacing w:after="0"/>
              <w:rPr>
                <w:sz w:val="20"/>
                <w:szCs w:val="20"/>
                <w:color w:val="auto"/>
              </w:rPr>
            </w:pPr>
            <w:r>
              <w:rPr>
                <w:rFonts w:ascii="Arial" w:cs="Arial" w:eastAsia="Arial" w:hAnsi="Arial"/>
                <w:sz w:val="14"/>
                <w:szCs w:val="14"/>
                <w:b w:val="1"/>
                <w:bCs w:val="1"/>
                <w:color w:val="auto"/>
              </w:rPr>
              <w:t>31, 2021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 (1)</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(out of) Level 3</w:t>
            </w: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70"/>
              <w:spacing w:after="0"/>
              <w:rPr>
                <w:sz w:val="20"/>
                <w:szCs w:val="20"/>
                <w:color w:val="auto"/>
              </w:rPr>
            </w:pPr>
            <w:r>
              <w:rPr>
                <w:rFonts w:ascii="Arial" w:cs="Arial" w:eastAsia="Arial" w:hAnsi="Arial"/>
                <w:sz w:val="14"/>
                <w:szCs w:val="14"/>
                <w:b w:val="1"/>
                <w:bCs w:val="1"/>
                <w:color w:val="auto"/>
              </w:rPr>
              <w:t>30, 2021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6"/>
        </w:trPr>
        <w:tc>
          <w:tcPr>
            <w:tcW w:w="2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Equity investment</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66,192</w:t>
            </w:r>
          </w:p>
        </w:tc>
        <w:tc>
          <w:tcPr>
            <w:tcW w:w="8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12,121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9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78,313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12,121</w:t>
            </w:r>
          </w:p>
        </w:tc>
        <w:tc>
          <w:tcPr>
            <w:tcW w:w="0" w:type="dxa"/>
            <w:vAlign w:val="bottom"/>
          </w:tcPr>
          <w:p>
            <w:pPr>
              <w:spacing w:after="0"/>
              <w:rPr>
                <w:sz w:val="1"/>
                <w:szCs w:val="1"/>
                <w:color w:val="auto"/>
              </w:rPr>
            </w:pPr>
          </w:p>
        </w:tc>
      </w:tr>
      <w:tr>
        <w:trPr>
          <w:trHeight w:val="185"/>
        </w:trPr>
        <w:tc>
          <w:tcPr>
            <w:tcW w:w="2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12,121</w:t>
            </w:r>
          </w:p>
        </w:tc>
        <w:tc>
          <w:tcPr>
            <w:tcW w:w="0" w:type="dxa"/>
            <w:vAlign w:val="bottom"/>
          </w:tcPr>
          <w:p>
            <w:pPr>
              <w:spacing w:after="0"/>
              <w:rPr>
                <w:sz w:val="1"/>
                <w:szCs w:val="1"/>
                <w:color w:val="auto"/>
              </w:rPr>
            </w:pPr>
          </w:p>
        </w:tc>
      </w:tr>
    </w:tbl>
    <w:p>
      <w:pPr>
        <w:ind w:left="20" w:right="60" w:firstLine="2"/>
        <w:spacing w:after="0" w:line="226" w:lineRule="auto"/>
        <w:tabs>
          <w:tab w:leader="none" w:pos="218"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realized and unrealized gains/(losses) includes gains and losses realized on the SBI Bonds (see Note 8 "Borrowings" for more details) due to fluctuations in currency rates as well as gains and losses recognized on changes in the fair value of the SBI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-183515</wp:posOffset>
            </wp:positionV>
            <wp:extent cx="56311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3118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4"/>
                <w:szCs w:val="14"/>
                <w:b w:val="1"/>
                <w:bCs w:val="1"/>
                <w:color w:val="auto"/>
                <w:w w:val="89"/>
              </w:rPr>
              <w:t>Three Months Ended June 30, 2020</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29" w:lineRule="exact"/>
              <w:rPr>
                <w:sz w:val="20"/>
                <w:szCs w:val="20"/>
                <w:color w:val="auto"/>
              </w:rPr>
            </w:pPr>
            <w:r>
              <w:rPr>
                <w:rFonts w:ascii="Arial" w:cs="Arial" w:eastAsia="Arial" w:hAnsi="Arial"/>
                <w:sz w:val="14"/>
                <w:szCs w:val="14"/>
                <w:b w:val="1"/>
                <w:bCs w:val="1"/>
                <w:color w:val="auto"/>
                <w:w w:val="91"/>
              </w:rPr>
              <w:t>Change in Net</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Unrealized Gains /</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Balance at March</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3"/>
              </w:rPr>
              <w:t>Net Transfers into</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at June</w:t>
            </w: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31"/>
        </w:trPr>
        <w:tc>
          <w:tcPr>
            <w:tcW w:w="2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28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0"/>
              </w:rPr>
              <w:t>Unrealized Gains /</w:t>
            </w:r>
          </w:p>
        </w:tc>
        <w:tc>
          <w:tcPr>
            <w:tcW w:w="1280" w:type="dxa"/>
            <w:vAlign w:val="bottom"/>
            <w:gridSpan w:val="3"/>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Settlement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held at June 30,</w:t>
            </w:r>
          </w:p>
        </w:tc>
        <w:tc>
          <w:tcPr>
            <w:tcW w:w="0" w:type="dxa"/>
            <w:vAlign w:val="bottom"/>
          </w:tcPr>
          <w:p>
            <w:pPr>
              <w:spacing w:after="0"/>
              <w:rPr>
                <w:sz w:val="1"/>
                <w:szCs w:val="1"/>
                <w:color w:val="auto"/>
              </w:rPr>
            </w:pPr>
          </w:p>
        </w:tc>
      </w:tr>
      <w:tr>
        <w:trPr>
          <w:trHeight w:val="183"/>
        </w:trPr>
        <w:tc>
          <w:tcPr>
            <w:tcW w:w="2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90"/>
              <w:spacing w:after="0"/>
              <w:rPr>
                <w:sz w:val="20"/>
                <w:szCs w:val="20"/>
                <w:color w:val="auto"/>
              </w:rPr>
            </w:pPr>
            <w:r>
              <w:rPr>
                <w:rFonts w:ascii="Arial" w:cs="Arial" w:eastAsia="Arial" w:hAnsi="Arial"/>
                <w:sz w:val="14"/>
                <w:szCs w:val="14"/>
                <w:b w:val="1"/>
                <w:bCs w:val="1"/>
                <w:color w:val="auto"/>
              </w:rPr>
              <w:t>30, 2020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 (1)</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(out of) Level 3</w:t>
            </w: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70"/>
              <w:spacing w:after="0"/>
              <w:rPr>
                <w:sz w:val="20"/>
                <w:szCs w:val="20"/>
                <w:color w:val="auto"/>
              </w:rPr>
            </w:pPr>
            <w:r>
              <w:rPr>
                <w:rFonts w:ascii="Arial" w:cs="Arial" w:eastAsia="Arial" w:hAnsi="Arial"/>
                <w:sz w:val="14"/>
                <w:szCs w:val="14"/>
                <w:b w:val="1"/>
                <w:bCs w:val="1"/>
                <w:color w:val="auto"/>
              </w:rPr>
              <w:t>30, 2020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6"/>
        </w:trPr>
        <w:tc>
          <w:tcPr>
            <w:tcW w:w="2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Equity investment</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46,668</w:t>
            </w:r>
          </w:p>
        </w:tc>
        <w:tc>
          <w:tcPr>
            <w:tcW w:w="8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4,931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9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51,599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4,931</w:t>
            </w:r>
          </w:p>
        </w:tc>
        <w:tc>
          <w:tcPr>
            <w:tcW w:w="0" w:type="dxa"/>
            <w:vAlign w:val="bottom"/>
          </w:tcPr>
          <w:p>
            <w:pPr>
              <w:spacing w:after="0"/>
              <w:rPr>
                <w:sz w:val="1"/>
                <w:szCs w:val="1"/>
                <w:color w:val="auto"/>
              </w:rPr>
            </w:pPr>
          </w:p>
        </w:tc>
      </w:tr>
      <w:tr>
        <w:trPr>
          <w:trHeight w:val="185"/>
        </w:trPr>
        <w:tc>
          <w:tcPr>
            <w:tcW w:w="2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51,599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4,931</w:t>
            </w:r>
          </w:p>
        </w:tc>
        <w:tc>
          <w:tcPr>
            <w:tcW w:w="0" w:type="dxa"/>
            <w:vAlign w:val="bottom"/>
          </w:tcPr>
          <w:p>
            <w:pPr>
              <w:spacing w:after="0"/>
              <w:rPr>
                <w:sz w:val="1"/>
                <w:szCs w:val="1"/>
                <w:color w:val="auto"/>
              </w:rPr>
            </w:pPr>
          </w:p>
        </w:tc>
      </w:tr>
    </w:tbl>
    <w:p>
      <w:pPr>
        <w:ind w:left="20" w:right="60" w:firstLine="2"/>
        <w:spacing w:after="0" w:line="226" w:lineRule="auto"/>
        <w:tabs>
          <w:tab w:leader="none" w:pos="218" w:val="left"/>
        </w:tabs>
        <w:numPr>
          <w:ilvl w:val="0"/>
          <w:numId w:val="5"/>
        </w:numPr>
        <w:rPr>
          <w:rFonts w:ascii="Arial" w:cs="Arial" w:eastAsia="Arial" w:hAnsi="Arial"/>
          <w:sz w:val="14"/>
          <w:szCs w:val="14"/>
          <w:color w:val="auto"/>
        </w:rPr>
      </w:pPr>
      <w:r>
        <w:rPr>
          <w:rFonts w:ascii="Arial" w:cs="Arial" w:eastAsia="Arial" w:hAnsi="Arial"/>
          <w:sz w:val="14"/>
          <w:szCs w:val="14"/>
          <w:color w:val="auto"/>
        </w:rPr>
        <w:t>Total realized and unrealized gains/(losses) includes gains and losses realized on the SBI Bonds (see Note 8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-183515</wp:posOffset>
            </wp:positionV>
            <wp:extent cx="5631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31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4"/>
                <w:szCs w:val="14"/>
                <w:b w:val="1"/>
                <w:bCs w:val="1"/>
                <w:color w:val="auto"/>
                <w:w w:val="89"/>
              </w:rPr>
              <w:t>Six Months Ended June 30, 2021</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29" w:lineRule="exact"/>
              <w:rPr>
                <w:sz w:val="20"/>
                <w:szCs w:val="20"/>
                <w:color w:val="auto"/>
              </w:rPr>
            </w:pPr>
            <w:r>
              <w:rPr>
                <w:rFonts w:ascii="Arial" w:cs="Arial" w:eastAsia="Arial" w:hAnsi="Arial"/>
                <w:sz w:val="14"/>
                <w:szCs w:val="14"/>
                <w:b w:val="1"/>
                <w:bCs w:val="1"/>
                <w:color w:val="auto"/>
                <w:w w:val="91"/>
              </w:rPr>
              <w:t>Change in Net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Unrealized Gains /</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Net Transfers into</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Balance at June 30,</w:t>
            </w: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31"/>
        </w:trPr>
        <w:tc>
          <w:tcPr>
            <w:tcW w:w="2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30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Unrealized Gains /</w:t>
            </w:r>
          </w:p>
        </w:tc>
        <w:tc>
          <w:tcPr>
            <w:tcW w:w="1300" w:type="dxa"/>
            <w:vAlign w:val="bottom"/>
            <w:gridSpan w:val="3"/>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Settlement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held at June 30,</w:t>
            </w:r>
          </w:p>
        </w:tc>
        <w:tc>
          <w:tcPr>
            <w:tcW w:w="0" w:type="dxa"/>
            <w:vAlign w:val="bottom"/>
          </w:tcPr>
          <w:p>
            <w:pPr>
              <w:spacing w:after="0"/>
              <w:rPr>
                <w:sz w:val="1"/>
                <w:szCs w:val="1"/>
                <w:color w:val="auto"/>
              </w:rPr>
            </w:pPr>
          </w:p>
        </w:tc>
      </w:tr>
      <w:tr>
        <w:trPr>
          <w:trHeight w:val="183"/>
        </w:trPr>
        <w:tc>
          <w:tcPr>
            <w:tcW w:w="2300" w:type="dxa"/>
            <w:vAlign w:val="bottom"/>
            <w:gridSpan w:val="2"/>
            <w:vMerge w:val="continue"/>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(Losses) (1)</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(out of) Level 3</w:t>
            </w: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6"/>
        </w:trPr>
        <w:tc>
          <w:tcPr>
            <w:tcW w:w="22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Equity investment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66,030</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12,283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10"/>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78,313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12,283</w:t>
            </w:r>
          </w:p>
        </w:tc>
        <w:tc>
          <w:tcPr>
            <w:tcW w:w="0" w:type="dxa"/>
            <w:vAlign w:val="bottom"/>
          </w:tcPr>
          <w:p>
            <w:pPr>
              <w:spacing w:after="0"/>
              <w:rPr>
                <w:sz w:val="1"/>
                <w:szCs w:val="1"/>
                <w:color w:val="auto"/>
              </w:rPr>
            </w:pPr>
          </w:p>
        </w:tc>
      </w:tr>
      <w:tr>
        <w:trPr>
          <w:trHeight w:val="185"/>
        </w:trPr>
        <w:tc>
          <w:tcPr>
            <w:tcW w:w="2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12,283</w:t>
            </w:r>
          </w:p>
        </w:tc>
        <w:tc>
          <w:tcPr>
            <w:tcW w:w="0" w:type="dxa"/>
            <w:vAlign w:val="bottom"/>
          </w:tcPr>
          <w:p>
            <w:pPr>
              <w:spacing w:after="0"/>
              <w:rPr>
                <w:sz w:val="1"/>
                <w:szCs w:val="1"/>
                <w:color w:val="auto"/>
              </w:rPr>
            </w:pPr>
          </w:p>
        </w:tc>
      </w:tr>
    </w:tbl>
    <w:p>
      <w:pPr>
        <w:ind w:left="20" w:right="60" w:firstLine="2"/>
        <w:spacing w:after="0" w:line="226" w:lineRule="auto"/>
        <w:tabs>
          <w:tab w:leader="none" w:pos="218"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realized and unrealized gains/(losses) includes gains and losses realized on the SBI Bonds (see Note 8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-183515</wp:posOffset>
            </wp:positionV>
            <wp:extent cx="56807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4"/>
                <w:szCs w:val="14"/>
                <w:b w:val="1"/>
                <w:bCs w:val="1"/>
                <w:color w:val="auto"/>
                <w:w w:val="89"/>
              </w:rPr>
              <w:t>Six Months Ended June 30, 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29" w:lineRule="exact"/>
              <w:rPr>
                <w:sz w:val="20"/>
                <w:szCs w:val="20"/>
                <w:color w:val="auto"/>
              </w:rPr>
            </w:pPr>
            <w:r>
              <w:rPr>
                <w:rFonts w:ascii="Arial" w:cs="Arial" w:eastAsia="Arial" w:hAnsi="Arial"/>
                <w:sz w:val="14"/>
                <w:szCs w:val="14"/>
                <w:b w:val="1"/>
                <w:bCs w:val="1"/>
                <w:color w:val="auto"/>
                <w:w w:val="91"/>
              </w:rPr>
              <w:t>Change in Net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Unrealized Gains /</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Net Transfers into</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Balance at June 30,</w:t>
            </w: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31"/>
        </w:trPr>
        <w:tc>
          <w:tcPr>
            <w:tcW w:w="2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30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Unrealized Gains /</w:t>
            </w:r>
          </w:p>
        </w:tc>
        <w:tc>
          <w:tcPr>
            <w:tcW w:w="1300" w:type="dxa"/>
            <w:vAlign w:val="bottom"/>
            <w:gridSpan w:val="3"/>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Settlement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held at June 30,</w:t>
            </w:r>
          </w:p>
        </w:tc>
        <w:tc>
          <w:tcPr>
            <w:tcW w:w="0" w:type="dxa"/>
            <w:vAlign w:val="bottom"/>
          </w:tcPr>
          <w:p>
            <w:pPr>
              <w:spacing w:after="0"/>
              <w:rPr>
                <w:sz w:val="1"/>
                <w:szCs w:val="1"/>
                <w:color w:val="auto"/>
              </w:rPr>
            </w:pPr>
          </w:p>
        </w:tc>
      </w:tr>
      <w:tr>
        <w:trPr>
          <w:trHeight w:val="183"/>
        </w:trPr>
        <w:tc>
          <w:tcPr>
            <w:tcW w:w="2300" w:type="dxa"/>
            <w:vAlign w:val="bottom"/>
            <w:gridSpan w:val="2"/>
            <w:vMerge w:val="continue"/>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2019</w:t>
            </w: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(Losses) (1)</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(out of) Level 3</w:t>
            </w: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7"/>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51,599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5,354</w:t>
            </w:r>
          </w:p>
        </w:tc>
        <w:tc>
          <w:tcPr>
            <w:tcW w:w="0" w:type="dxa"/>
            <w:vAlign w:val="bottom"/>
          </w:tcPr>
          <w:p>
            <w:pPr>
              <w:spacing w:after="0"/>
              <w:rPr>
                <w:sz w:val="1"/>
                <w:szCs w:val="1"/>
                <w:color w:val="auto"/>
              </w:rPr>
            </w:pPr>
          </w:p>
        </w:tc>
      </w:tr>
      <w:tr>
        <w:trPr>
          <w:trHeight w:val="17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46,245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5,354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51,599</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5,354</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right="60" w:firstLine="2"/>
        <w:spacing w:after="0" w:line="230" w:lineRule="auto"/>
        <w:tabs>
          <w:tab w:leader="none" w:pos="218" w:val="left"/>
        </w:tabs>
        <w:numPr>
          <w:ilvl w:val="0"/>
          <w:numId w:val="7"/>
        </w:numPr>
        <w:rPr>
          <w:rFonts w:ascii="Arial" w:cs="Arial" w:eastAsia="Arial" w:hAnsi="Arial"/>
          <w:sz w:val="14"/>
          <w:szCs w:val="14"/>
          <w:color w:val="auto"/>
        </w:rPr>
      </w:pPr>
      <w:r>
        <w:rPr>
          <w:rFonts w:ascii="Arial" w:cs="Arial" w:eastAsia="Arial" w:hAnsi="Arial"/>
          <w:sz w:val="14"/>
          <w:szCs w:val="14"/>
          <w:color w:val="auto"/>
        </w:rPr>
        <w:t>Total realized and unrealized gains/(losses) includes gains and losses realized on the SBI Bonds (see Note 8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-183515</wp:posOffset>
            </wp:positionV>
            <wp:extent cx="56807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Measured at Fair Value</w:t>
      </w:r>
    </w:p>
    <w:p>
      <w:pPr>
        <w:spacing w:after="0" w:line="250"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June 30, 2021:</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7"/>
              </w:rPr>
              <w:t>June 30, 2021</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Quoted Prices in</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Significant Other</w:t>
            </w:r>
          </w:p>
        </w:tc>
        <w:tc>
          <w:tcPr>
            <w:tcW w:w="14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70"/>
              <w:spacing w:after="0" w:line="131"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2"/>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Identical Assets</w:t>
            </w: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Observable Inputs</w:t>
            </w:r>
          </w:p>
        </w:tc>
        <w:tc>
          <w:tcPr>
            <w:tcW w:w="140" w:type="dxa"/>
            <w:vAlign w:val="bottom"/>
          </w:tcPr>
          <w:p>
            <w:pPr>
              <w:spacing w:after="0"/>
              <w:rPr>
                <w:sz w:val="15"/>
                <w:szCs w:val="15"/>
                <w:color w:val="auto"/>
              </w:rPr>
            </w:pPr>
          </w:p>
        </w:tc>
        <w:tc>
          <w:tcPr>
            <w:tcW w:w="1080" w:type="dxa"/>
            <w:vAlign w:val="bottom"/>
          </w:tcPr>
          <w:p>
            <w:pPr>
              <w:jc w:val="center"/>
              <w:ind w:right="9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05"/>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7"/>
                <w:szCs w:val="17"/>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7"/>
                <w:szCs w:val="17"/>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1"/>
        </w:trPr>
        <w:tc>
          <w:tcPr>
            <w:tcW w:w="4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848,111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848,111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848,111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Cash restricted or segregated under regulations and other</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67,144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67,144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67,144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borrowed</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1,535,297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1,535,297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1,535,297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54,555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54,555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54,555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Receivables from broker-dealers and clearing organizations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1,609,065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1,609,065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1,611,537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Receivables from customers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208,247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208,247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208,247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assets (1)</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16,549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4,338,968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4,338,968</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912,783</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3,426,185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Short-term borrowings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216,468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Long-term borrowings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1,602,815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1,627,275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1,627,275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loaned</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1,142,741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1,142,741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1,142,741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Securities sold under agreements to repurchase</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490,879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490,879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490,879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Payables to broker-dealers and clearing organizations (2)</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776,586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776,586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1,194,439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(417,853)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00"/>
              <w:spacing w:after="0"/>
              <w:rPr>
                <w:sz w:val="20"/>
                <w:szCs w:val="20"/>
                <w:color w:val="auto"/>
              </w:rPr>
            </w:pPr>
            <w:r>
              <w:rPr>
                <w:rFonts w:ascii="Arial" w:cs="Arial" w:eastAsia="Arial" w:hAnsi="Arial"/>
                <w:sz w:val="14"/>
                <w:szCs w:val="14"/>
                <w:color w:val="auto"/>
              </w:rPr>
              <w:t>Payables to customers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127,859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127,859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127,859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liabilities (3)</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7,241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4,362,373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4,389,049</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1,194,439</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3,194,610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80" w:hanging="199"/>
        <w:spacing w:after="0"/>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cash collateral and deposits, and interest and dividends receivables.</w:t>
      </w:r>
    </w:p>
    <w:p>
      <w:pPr>
        <w:spacing w:after="0" w:line="22" w:lineRule="exact"/>
        <w:rPr>
          <w:rFonts w:ascii="Arial" w:cs="Arial" w:eastAsia="Arial" w:hAnsi="Arial"/>
          <w:sz w:val="14"/>
          <w:szCs w:val="14"/>
          <w:color w:val="auto"/>
        </w:rPr>
      </w:pPr>
    </w:p>
    <w:p>
      <w:pPr>
        <w:ind w:left="280" w:hanging="199"/>
        <w:spacing w:after="0"/>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Payables to broker-dealers and clearing organizations include interest rate swaps carried at fair value.</w:t>
      </w:r>
    </w:p>
    <w:p>
      <w:pPr>
        <w:spacing w:after="0" w:line="22" w:lineRule="exact"/>
        <w:rPr>
          <w:rFonts w:ascii="Arial" w:cs="Arial" w:eastAsia="Arial" w:hAnsi="Arial"/>
          <w:sz w:val="14"/>
          <w:szCs w:val="14"/>
          <w:color w:val="auto"/>
        </w:rPr>
      </w:pPr>
    </w:p>
    <w:p>
      <w:pPr>
        <w:ind w:left="280" w:hanging="199"/>
        <w:spacing w:after="0"/>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-98425</wp:posOffset>
            </wp:positionV>
            <wp:extent cx="7061835" cy="116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1835" cy="11620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-330835</wp:posOffset>
            </wp:positionV>
            <wp:extent cx="7061835" cy="116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61835" cy="11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December 31,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December 31, 2020</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Quoted Prices in</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Significant Other</w:t>
            </w:r>
          </w:p>
        </w:tc>
        <w:tc>
          <w:tcPr>
            <w:tcW w:w="140" w:type="dxa"/>
            <w:vAlign w:val="bottom"/>
          </w:tcPr>
          <w:p>
            <w:pPr>
              <w:spacing w:after="0"/>
              <w:rPr>
                <w:sz w:val="24"/>
                <w:szCs w:val="24"/>
                <w:color w:val="auto"/>
              </w:rPr>
            </w:pPr>
          </w:p>
        </w:tc>
        <w:tc>
          <w:tcPr>
            <w:tcW w:w="106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13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70"/>
              <w:spacing w:after="0" w:line="131"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Identical Assets</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Observable Inputs</w:t>
            </w:r>
          </w:p>
        </w:tc>
        <w:tc>
          <w:tcPr>
            <w:tcW w:w="140" w:type="dxa"/>
            <w:vAlign w:val="bottom"/>
          </w:tcPr>
          <w:p>
            <w:pPr>
              <w:spacing w:after="0"/>
              <w:rPr>
                <w:sz w:val="15"/>
                <w:szCs w:val="15"/>
                <w:color w:val="auto"/>
              </w:rPr>
            </w:pPr>
          </w:p>
        </w:tc>
        <w:tc>
          <w:tcPr>
            <w:tcW w:w="1060" w:type="dxa"/>
            <w:vAlign w:val="bottom"/>
          </w:tcPr>
          <w:p>
            <w:pPr>
              <w:jc w:val="center"/>
              <w:ind w:right="7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05"/>
        </w:trPr>
        <w:tc>
          <w:tcPr>
            <w:tcW w:w="47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7"/>
                <w:szCs w:val="17"/>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7"/>
                <w:szCs w:val="17"/>
                <w:color w:val="auto"/>
              </w:rPr>
            </w:pP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2"/>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889,559</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889,559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889,559</w:t>
            </w:r>
          </w:p>
        </w:tc>
        <w:tc>
          <w:tcPr>
            <w:tcW w:w="10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Cash restricted or segregated under regulations and other</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117,446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117,446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1,425,016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1,425,016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1,425,016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Securities purchased under agreements to resell</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Receivables from broker-dealers and clearing organizations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1,684,006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1,684,006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173,578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1,510,428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Receivables from customers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214,478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Other assets (1)</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21,735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21,735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4,375,106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4,375,106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1,180,583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3,194,523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Short-term borrowings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64,686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65,073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65,073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Long-term borrowings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1,639,280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1,672,456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1,672,456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Securities loaned</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948,256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948,256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948,256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Securities sold under agreements to repurchase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Payables to broker dealer and clearing organizations (2)</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876,446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876,446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872,929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Payables to customers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20"/>
              <w:spacing w:after="0"/>
              <w:rPr>
                <w:sz w:val="20"/>
                <w:szCs w:val="20"/>
                <w:color w:val="auto"/>
              </w:rPr>
            </w:pPr>
            <w:r>
              <w:rPr>
                <w:rFonts w:ascii="Arial" w:cs="Arial" w:eastAsia="Arial" w:hAnsi="Arial"/>
                <w:sz w:val="14"/>
                <w:szCs w:val="14"/>
                <w:color w:val="auto"/>
              </w:rPr>
              <w:t>Other liabilities (3)</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9,208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4,117,937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4,151,500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4,147,983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ind w:left="220" w:hanging="198"/>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cash collateral and deposits, and interest and dividends receivables.</w:t>
      </w:r>
    </w:p>
    <w:p>
      <w:pPr>
        <w:spacing w:after="0" w:line="16" w:lineRule="exact"/>
        <w:rPr>
          <w:rFonts w:ascii="Arial" w:cs="Arial" w:eastAsia="Arial" w:hAnsi="Arial"/>
          <w:sz w:val="14"/>
          <w:szCs w:val="14"/>
          <w:color w:val="auto"/>
        </w:rPr>
      </w:pPr>
    </w:p>
    <w:p>
      <w:pPr>
        <w:ind w:left="220" w:hanging="198"/>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Payables to broker-dealers and clearing organizations include interest rate swaps carried at fair value.</w:t>
      </w:r>
    </w:p>
    <w:p>
      <w:pPr>
        <w:spacing w:after="0" w:line="22" w:lineRule="exact"/>
        <w:rPr>
          <w:rFonts w:ascii="Arial" w:cs="Arial" w:eastAsia="Arial" w:hAnsi="Arial"/>
          <w:sz w:val="14"/>
          <w:szCs w:val="14"/>
          <w:color w:val="auto"/>
        </w:rPr>
      </w:pPr>
    </w:p>
    <w:p>
      <w:pPr>
        <w:ind w:left="220" w:hanging="198"/>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36130" cy="116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11620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-322580</wp:posOffset>
            </wp:positionV>
            <wp:extent cx="41503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5036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Offsetting of Financial Assets and Liabilities</w:t>
      </w:r>
    </w:p>
    <w:p>
      <w:pPr>
        <w:spacing w:after="0" w:line="250" w:lineRule="exact"/>
        <w:rPr>
          <w:sz w:val="20"/>
          <w:szCs w:val="20"/>
          <w:color w:val="auto"/>
        </w:rPr>
      </w:pPr>
    </w:p>
    <w:p>
      <w:pPr>
        <w:ind w:right="180" w:firstLine="629"/>
        <w:spacing w:after="0" w:line="308" w:lineRule="auto"/>
        <w:rPr>
          <w:sz w:val="20"/>
          <w:szCs w:val="20"/>
          <w:color w:val="auto"/>
        </w:rPr>
      </w:pPr>
      <w:r>
        <w:rPr>
          <w:rFonts w:ascii="Arial" w:cs="Arial" w:eastAsia="Arial" w:hAnsi="Arial"/>
          <w:sz w:val="15"/>
          <w:szCs w:val="15"/>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set forth the gross and net presentation of certain financial assets and financial liabilities as of June 30, 2021 and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87"/>
              </w:rPr>
              <w:t>June 30, 2021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Net Amounts of Assets</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gridSpan w:val="5"/>
          </w:tcPr>
          <w:p>
            <w:pPr>
              <w:jc w:val="center"/>
              <w:ind w:right="260"/>
              <w:spacing w:after="0" w:line="131" w:lineRule="exact"/>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200"/>
              <w:spacing w:after="0" w:line="118" w:lineRule="exact"/>
              <w:rPr>
                <w:sz w:val="20"/>
                <w:szCs w:val="20"/>
                <w:color w:val="auto"/>
              </w:rPr>
            </w:pPr>
            <w:r>
              <w:rPr>
                <w:rFonts w:ascii="Arial" w:cs="Arial" w:eastAsia="Arial" w:hAnsi="Arial"/>
                <w:sz w:val="13"/>
                <w:szCs w:val="13"/>
                <w:b w:val="1"/>
                <w:bCs w:val="1"/>
                <w:color w:val="auto"/>
                <w:w w:val="95"/>
              </w:rPr>
              <w:t>Amounts Offset in the</w:t>
            </w:r>
          </w:p>
        </w:tc>
        <w:tc>
          <w:tcPr>
            <w:tcW w:w="80" w:type="dxa"/>
            <w:vAlign w:val="bottom"/>
          </w:tcPr>
          <w:p>
            <w:pPr>
              <w:spacing w:after="0"/>
              <w:rPr>
                <w:sz w:val="4"/>
                <w:szCs w:val="4"/>
                <w:color w:val="auto"/>
              </w:rPr>
            </w:pPr>
          </w:p>
        </w:tc>
        <w:tc>
          <w:tcPr>
            <w:tcW w:w="1540" w:type="dxa"/>
            <w:vAlign w:val="bottom"/>
            <w:gridSpan w:val="2"/>
            <w:vMerge w:val="restart"/>
          </w:tcPr>
          <w:p>
            <w:pPr>
              <w:jc w:val="center"/>
              <w:ind w:right="180"/>
              <w:spacing w:after="0" w:line="118" w:lineRule="exact"/>
              <w:rPr>
                <w:sz w:val="20"/>
                <w:szCs w:val="20"/>
                <w:color w:val="auto"/>
              </w:rPr>
            </w:pPr>
            <w:r>
              <w:rPr>
                <w:rFonts w:ascii="Arial" w:cs="Arial" w:eastAsia="Arial" w:hAnsi="Arial"/>
                <w:sz w:val="13"/>
                <w:szCs w:val="13"/>
                <w:b w:val="1"/>
                <w:bCs w:val="1"/>
                <w:color w:val="auto"/>
                <w:w w:val="94"/>
              </w:rPr>
              <w:t>Presented in the</w:t>
            </w: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3"/>
                <w:szCs w:val="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Counterparty</w:t>
            </w: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Gross Amounts of</w:t>
            </w:r>
          </w:p>
        </w:tc>
        <w:tc>
          <w:tcPr>
            <w:tcW w:w="164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3"/>
              </w:rPr>
              <w:t>Condensed Consolidated</w:t>
            </w:r>
          </w:p>
        </w:tc>
        <w:tc>
          <w:tcPr>
            <w:tcW w:w="1620" w:type="dxa"/>
            <w:vAlign w:val="bottom"/>
            <w:gridSpan w:val="3"/>
          </w:tcPr>
          <w:p>
            <w:pPr>
              <w:ind w:left="20"/>
              <w:spacing w:after="0" w:line="131" w:lineRule="exact"/>
              <w:rPr>
                <w:sz w:val="20"/>
                <w:szCs w:val="20"/>
                <w:color w:val="auto"/>
              </w:rPr>
            </w:pPr>
            <w:r>
              <w:rPr>
                <w:rFonts w:ascii="Arial" w:cs="Arial" w:eastAsia="Arial" w:hAnsi="Arial"/>
                <w:sz w:val="14"/>
                <w:szCs w:val="14"/>
                <w:b w:val="1"/>
                <w:bCs w:val="1"/>
                <w:color w:val="auto"/>
                <w:w w:val="93"/>
              </w:rPr>
              <w:t>Condensed Consolidated</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Statement of Financial</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Statements of Financial</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1"/>
              </w:rPr>
              <w:t>Instrument</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Netting/ Cash</w:t>
            </w:r>
          </w:p>
        </w:tc>
        <w:tc>
          <w:tcPr>
            <w:tcW w:w="120" w:type="dxa"/>
            <w:vAlign w:val="bottom"/>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3"/>
        </w:trPr>
        <w:tc>
          <w:tcPr>
            <w:tcW w:w="2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Recognized Assets</w:t>
            </w: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Condition</w:t>
            </w:r>
          </w:p>
        </w:tc>
        <w:tc>
          <w:tcPr>
            <w:tcW w:w="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Collateral</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Collateral</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Offsetting of Financial Assets: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borrowed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1,535,297</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1,535,297</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(1,480,370)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(8,016)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46,911</w:t>
            </w:r>
          </w:p>
        </w:tc>
        <w:tc>
          <w:tcPr>
            <w:tcW w:w="0" w:type="dxa"/>
            <w:vAlign w:val="bottom"/>
          </w:tcPr>
          <w:p>
            <w:pPr>
              <w:spacing w:after="0"/>
              <w:rPr>
                <w:sz w:val="1"/>
                <w:szCs w:val="1"/>
                <w:color w:val="auto"/>
              </w:rPr>
            </w:pPr>
          </w:p>
        </w:tc>
      </w:tr>
      <w:tr>
        <w:trPr>
          <w:trHeight w:val="133"/>
        </w:trPr>
        <w:tc>
          <w:tcPr>
            <w:tcW w:w="27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w w:val="97"/>
              </w:rPr>
              <w:t>Securities purchased under agreements to</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54,555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54,555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(54,555)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resell</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Trading assets,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305,525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ind w:left="860"/>
              <w:spacing w:after="0"/>
              <w:rPr>
                <w:sz w:val="20"/>
                <w:szCs w:val="20"/>
                <w:color w:val="auto"/>
              </w:rPr>
            </w:pPr>
            <w:r>
              <w:rPr>
                <w:rFonts w:ascii="Arial" w:cs="Arial" w:eastAsia="Arial" w:hAnsi="Arial"/>
                <w:sz w:val="14"/>
                <w:szCs w:val="14"/>
                <w:color w:val="auto"/>
                <w:w w:val="93"/>
              </w:rPr>
              <w:t>(294,309)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11,216</w:t>
            </w:r>
          </w:p>
        </w:tc>
        <w:tc>
          <w:tcPr>
            <w:tcW w:w="0" w:type="dxa"/>
            <w:vAlign w:val="bottom"/>
          </w:tcPr>
          <w:p>
            <w:pPr>
              <w:spacing w:after="0"/>
              <w:rPr>
                <w:sz w:val="1"/>
                <w:szCs w:val="1"/>
                <w:color w:val="auto"/>
              </w:rPr>
            </w:pPr>
          </w:p>
        </w:tc>
      </w:tr>
      <w:tr>
        <w:trPr>
          <w:trHeight w:val="181"/>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204"/>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1,900,623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w w:val="93"/>
              </w:rPr>
              <w:t>(294,309)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1,606,314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(1,534,925)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58,942</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Net Amounts of</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gridSpan w:val="5"/>
          </w:tcPr>
          <w:p>
            <w:pPr>
              <w:jc w:val="center"/>
              <w:ind w:right="260"/>
              <w:spacing w:after="0" w:line="131" w:lineRule="exact"/>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200"/>
              <w:spacing w:after="0" w:line="118" w:lineRule="exact"/>
              <w:rPr>
                <w:sz w:val="20"/>
                <w:szCs w:val="20"/>
                <w:color w:val="auto"/>
              </w:rPr>
            </w:pPr>
            <w:r>
              <w:rPr>
                <w:rFonts w:ascii="Arial" w:cs="Arial" w:eastAsia="Arial" w:hAnsi="Arial"/>
                <w:sz w:val="13"/>
                <w:szCs w:val="13"/>
                <w:b w:val="1"/>
                <w:bCs w:val="1"/>
                <w:color w:val="auto"/>
                <w:w w:val="95"/>
              </w:rPr>
              <w:t>Amounts Offset in the</w:t>
            </w:r>
          </w:p>
        </w:tc>
        <w:tc>
          <w:tcPr>
            <w:tcW w:w="1620" w:type="dxa"/>
            <w:vAlign w:val="bottom"/>
            <w:gridSpan w:val="3"/>
            <w:vMerge w:val="restart"/>
          </w:tcPr>
          <w:p>
            <w:pPr>
              <w:jc w:val="center"/>
              <w:ind w:right="100"/>
              <w:spacing w:after="0" w:line="118" w:lineRule="exact"/>
              <w:rPr>
                <w:sz w:val="20"/>
                <w:szCs w:val="20"/>
                <w:color w:val="auto"/>
              </w:rPr>
            </w:pPr>
            <w:r>
              <w:rPr>
                <w:rFonts w:ascii="Arial" w:cs="Arial" w:eastAsia="Arial" w:hAnsi="Arial"/>
                <w:sz w:val="13"/>
                <w:szCs w:val="13"/>
                <w:b w:val="1"/>
                <w:bCs w:val="1"/>
                <w:color w:val="auto"/>
                <w:w w:val="96"/>
              </w:rPr>
              <w:t>Liabilities Presented in</w:t>
            </w: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Gross Amounts of</w:t>
            </w: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62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Counterparty</w:t>
            </w: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4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3"/>
              </w:rPr>
              <w:t>Condensed Consolidated</w:t>
            </w:r>
          </w:p>
        </w:tc>
        <w:tc>
          <w:tcPr>
            <w:tcW w:w="80" w:type="dxa"/>
            <w:vAlign w:val="bottom"/>
          </w:tcPr>
          <w:p>
            <w:pPr>
              <w:spacing w:after="0"/>
              <w:rPr>
                <w:sz w:val="11"/>
                <w:szCs w:val="11"/>
                <w:color w:val="auto"/>
              </w:rPr>
            </w:pPr>
          </w:p>
        </w:tc>
        <w:tc>
          <w:tcPr>
            <w:tcW w:w="154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8"/>
              </w:rPr>
              <w:t>the Consolidated</w:t>
            </w:r>
          </w:p>
        </w:tc>
        <w:tc>
          <w:tcPr>
            <w:tcW w:w="18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Statement of Financial</w:t>
            </w:r>
          </w:p>
        </w:tc>
        <w:tc>
          <w:tcPr>
            <w:tcW w:w="80" w:type="dxa"/>
            <w:vAlign w:val="bottom"/>
          </w:tcPr>
          <w:p>
            <w:pPr>
              <w:spacing w:after="0"/>
              <w:rPr>
                <w:sz w:val="11"/>
                <w:szCs w:val="11"/>
                <w:color w:val="auto"/>
              </w:rPr>
            </w:pPr>
          </w:p>
        </w:tc>
        <w:tc>
          <w:tcPr>
            <w:tcW w:w="154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1"/>
              </w:rPr>
              <w:t>Statement of Financial</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Netting/ Cash</w:t>
            </w:r>
          </w:p>
        </w:tc>
        <w:tc>
          <w:tcPr>
            <w:tcW w:w="120" w:type="dxa"/>
            <w:vAlign w:val="bottom"/>
          </w:tcPr>
          <w:p>
            <w:pPr>
              <w:spacing w:after="0"/>
              <w:rPr>
                <w:sz w:val="11"/>
                <w:szCs w:val="11"/>
                <w:color w:val="auto"/>
              </w:rPr>
            </w:pPr>
          </w:p>
        </w:tc>
        <w:tc>
          <w:tcPr>
            <w:tcW w:w="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3"/>
        </w:trPr>
        <w:tc>
          <w:tcPr>
            <w:tcW w:w="2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Liabilities</w:t>
            </w: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Condition</w:t>
            </w:r>
          </w:p>
        </w:tc>
        <w:tc>
          <w:tcPr>
            <w:tcW w:w="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Collateral</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loaned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1,142,741</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1,142,741</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(1,122,133)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(13,827)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6,781</w:t>
            </w:r>
          </w:p>
        </w:tc>
        <w:tc>
          <w:tcPr>
            <w:tcW w:w="0" w:type="dxa"/>
            <w:vAlign w:val="bottom"/>
          </w:tcPr>
          <w:p>
            <w:pPr>
              <w:spacing w:after="0"/>
              <w:rPr>
                <w:sz w:val="1"/>
                <w:szCs w:val="1"/>
                <w:color w:val="auto"/>
              </w:rPr>
            </w:pPr>
          </w:p>
        </w:tc>
      </w:tr>
      <w:tr>
        <w:trPr>
          <w:trHeight w:val="133"/>
        </w:trPr>
        <w:tc>
          <w:tcPr>
            <w:tcW w:w="27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rPr>
              <w:t>Securities sold under agreements to</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490,879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490,879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(490,879)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repurchase</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00" w:type="dxa"/>
            <w:vAlign w:val="bottom"/>
            <w:gridSpan w:val="2"/>
          </w:tcPr>
          <w:p>
            <w:pPr>
              <w:ind w:left="120"/>
              <w:spacing w:after="0" w:line="131" w:lineRule="exact"/>
              <w:rPr>
                <w:sz w:val="20"/>
                <w:szCs w:val="20"/>
                <w:color w:val="auto"/>
              </w:rPr>
            </w:pPr>
            <w:r>
              <w:rPr>
                <w:rFonts w:ascii="Arial" w:cs="Arial" w:eastAsia="Arial" w:hAnsi="Arial"/>
                <w:sz w:val="14"/>
                <w:szCs w:val="14"/>
                <w:color w:val="auto"/>
              </w:rPr>
              <w:t>Payable to broker-dealers and clearing</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organizations</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47,248</w:t>
            </w: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Trading liabilities,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325,961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ind w:left="860"/>
              <w:spacing w:after="0"/>
              <w:rPr>
                <w:sz w:val="20"/>
                <w:szCs w:val="20"/>
                <w:color w:val="auto"/>
              </w:rPr>
            </w:pPr>
            <w:r>
              <w:rPr>
                <w:rFonts w:ascii="Arial" w:cs="Arial" w:eastAsia="Arial" w:hAnsi="Arial"/>
                <w:sz w:val="14"/>
                <w:szCs w:val="14"/>
                <w:color w:val="auto"/>
                <w:w w:val="93"/>
              </w:rPr>
              <w:t>(318,500)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7,461</w:t>
            </w:r>
          </w:p>
        </w:tc>
        <w:tc>
          <w:tcPr>
            <w:tcW w:w="0" w:type="dxa"/>
            <w:vAlign w:val="bottom"/>
          </w:tcPr>
          <w:p>
            <w:pPr>
              <w:spacing w:after="0"/>
              <w:rPr>
                <w:sz w:val="1"/>
                <w:szCs w:val="1"/>
                <w:color w:val="auto"/>
              </w:rPr>
            </w:pPr>
          </w:p>
        </w:tc>
      </w:tr>
      <w:tr>
        <w:trPr>
          <w:trHeight w:val="181"/>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2,011,260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w w:val="93"/>
              </w:rPr>
              <w:t>(318,500)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1,692,760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(1,613,012)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61,490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Net Amounts of Assets</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gridSpan w:val="5"/>
          </w:tcPr>
          <w:p>
            <w:pPr>
              <w:jc w:val="center"/>
              <w:ind w:right="260"/>
              <w:spacing w:after="0" w:line="131" w:lineRule="exact"/>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200"/>
              <w:spacing w:after="0" w:line="118" w:lineRule="exact"/>
              <w:rPr>
                <w:sz w:val="20"/>
                <w:szCs w:val="20"/>
                <w:color w:val="auto"/>
              </w:rPr>
            </w:pPr>
            <w:r>
              <w:rPr>
                <w:rFonts w:ascii="Arial" w:cs="Arial" w:eastAsia="Arial" w:hAnsi="Arial"/>
                <w:sz w:val="13"/>
                <w:szCs w:val="13"/>
                <w:b w:val="1"/>
                <w:bCs w:val="1"/>
                <w:color w:val="auto"/>
                <w:w w:val="95"/>
              </w:rPr>
              <w:t>Amounts Offset in the</w:t>
            </w:r>
          </w:p>
        </w:tc>
        <w:tc>
          <w:tcPr>
            <w:tcW w:w="80" w:type="dxa"/>
            <w:vAlign w:val="bottom"/>
          </w:tcPr>
          <w:p>
            <w:pPr>
              <w:spacing w:after="0"/>
              <w:rPr>
                <w:sz w:val="4"/>
                <w:szCs w:val="4"/>
                <w:color w:val="auto"/>
              </w:rPr>
            </w:pPr>
          </w:p>
        </w:tc>
        <w:tc>
          <w:tcPr>
            <w:tcW w:w="1540" w:type="dxa"/>
            <w:vAlign w:val="bottom"/>
            <w:gridSpan w:val="2"/>
            <w:vMerge w:val="restart"/>
          </w:tcPr>
          <w:p>
            <w:pPr>
              <w:jc w:val="center"/>
              <w:ind w:right="180"/>
              <w:spacing w:after="0" w:line="118" w:lineRule="exact"/>
              <w:rPr>
                <w:sz w:val="20"/>
                <w:szCs w:val="20"/>
                <w:color w:val="auto"/>
              </w:rPr>
            </w:pPr>
            <w:r>
              <w:rPr>
                <w:rFonts w:ascii="Arial" w:cs="Arial" w:eastAsia="Arial" w:hAnsi="Arial"/>
                <w:sz w:val="13"/>
                <w:szCs w:val="13"/>
                <w:b w:val="1"/>
                <w:bCs w:val="1"/>
                <w:color w:val="auto"/>
                <w:w w:val="94"/>
              </w:rPr>
              <w:t>Presented in the</w:t>
            </w: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3"/>
                <w:szCs w:val="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Counterparty</w:t>
            </w: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Gross Amounts of</w:t>
            </w:r>
          </w:p>
        </w:tc>
        <w:tc>
          <w:tcPr>
            <w:tcW w:w="164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3"/>
              </w:rPr>
              <w:t>Condensed Consolidated</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7"/>
              </w:rPr>
              <w:t>Condensed Consolidated</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Statement of Financial</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Statements of Financial</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1"/>
              </w:rPr>
              <w:t>Instrument</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Netting/ Cash</w:t>
            </w:r>
          </w:p>
        </w:tc>
        <w:tc>
          <w:tcPr>
            <w:tcW w:w="120" w:type="dxa"/>
            <w:vAlign w:val="bottom"/>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3"/>
        </w:trPr>
        <w:tc>
          <w:tcPr>
            <w:tcW w:w="2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Recognized Assets</w:t>
            </w: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Condition</w:t>
            </w:r>
          </w:p>
        </w:tc>
        <w:tc>
          <w:tcPr>
            <w:tcW w:w="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Collateral</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Collateral</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Offsetting of Financial Assets: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borrowed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1,425,016</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1,425,016</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(1,374,266)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(9,686)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41,064</w:t>
            </w:r>
          </w:p>
        </w:tc>
        <w:tc>
          <w:tcPr>
            <w:tcW w:w="0" w:type="dxa"/>
            <w:vAlign w:val="bottom"/>
          </w:tcPr>
          <w:p>
            <w:pPr>
              <w:spacing w:after="0"/>
              <w:rPr>
                <w:sz w:val="1"/>
                <w:szCs w:val="1"/>
                <w:color w:val="auto"/>
              </w:rPr>
            </w:pPr>
          </w:p>
        </w:tc>
      </w:tr>
      <w:tr>
        <w:trPr>
          <w:trHeight w:val="133"/>
        </w:trPr>
        <w:tc>
          <w:tcPr>
            <w:tcW w:w="27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w w:val="97"/>
              </w:rPr>
              <w:t>Securities purchased under agreements to</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resell</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Trading assets,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ind w:left="860"/>
              <w:spacing w:after="0"/>
              <w:rPr>
                <w:sz w:val="20"/>
                <w:szCs w:val="20"/>
                <w:color w:val="auto"/>
              </w:rPr>
            </w:pPr>
            <w:r>
              <w:rPr>
                <w:rFonts w:ascii="Arial" w:cs="Arial" w:eastAsia="Arial" w:hAnsi="Arial"/>
                <w:sz w:val="14"/>
                <w:szCs w:val="14"/>
                <w:color w:val="auto"/>
                <w:w w:val="93"/>
              </w:rPr>
              <w:t>(291,964)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49,396</w:t>
            </w:r>
          </w:p>
        </w:tc>
        <w:tc>
          <w:tcPr>
            <w:tcW w:w="0" w:type="dxa"/>
            <w:vAlign w:val="bottom"/>
          </w:tcPr>
          <w:p>
            <w:pPr>
              <w:spacing w:after="0"/>
              <w:rPr>
                <w:sz w:val="1"/>
                <w:szCs w:val="1"/>
                <w:color w:val="auto"/>
              </w:rPr>
            </w:pPr>
          </w:p>
        </w:tc>
      </w:tr>
      <w:tr>
        <w:trPr>
          <w:trHeight w:val="181"/>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1,798,322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w w:val="93"/>
              </w:rPr>
              <w:t>(291,964)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1,506,358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(1,397,132)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90,460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Amounts Not Offset in the Condensed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Net Amounts of Assets</w:t>
            </w:r>
          </w:p>
        </w:tc>
        <w:tc>
          <w:tcPr>
            <w:tcW w:w="140" w:type="dxa"/>
            <w:vAlign w:val="bottom"/>
          </w:tcPr>
          <w:p>
            <w:pPr>
              <w:spacing w:after="0"/>
              <w:rPr>
                <w:sz w:val="11"/>
                <w:szCs w:val="11"/>
                <w:color w:val="auto"/>
              </w:rPr>
            </w:pPr>
          </w:p>
        </w:tc>
        <w:tc>
          <w:tcPr>
            <w:tcW w:w="2620" w:type="dxa"/>
            <w:vAlign w:val="bottom"/>
            <w:gridSpan w:val="5"/>
          </w:tcPr>
          <w:p>
            <w:pPr>
              <w:jc w:val="center"/>
              <w:ind w:right="240"/>
              <w:spacing w:after="0" w:line="131" w:lineRule="exact"/>
              <w:rPr>
                <w:sz w:val="20"/>
                <w:szCs w:val="20"/>
                <w:color w:val="auto"/>
              </w:rPr>
            </w:pPr>
            <w:r>
              <w:rPr>
                <w:rFonts w:ascii="Arial" w:cs="Arial" w:eastAsia="Arial" w:hAnsi="Arial"/>
                <w:sz w:val="14"/>
                <w:szCs w:val="14"/>
                <w:b w:val="1"/>
                <w:bCs w:val="1"/>
                <w:color w:val="auto"/>
                <w:w w:val="88"/>
              </w:rPr>
              <w:t>Consolidated Statements of Financial</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5"/>
          </w:tcPr>
          <w:p>
            <w:pPr>
              <w:jc w:val="center"/>
              <w:ind w:right="220"/>
              <w:spacing w:after="0" w:line="131" w:lineRule="exact"/>
              <w:rPr>
                <w:sz w:val="20"/>
                <w:szCs w:val="20"/>
                <w:color w:val="auto"/>
              </w:rPr>
            </w:pPr>
            <w:r>
              <w:rPr>
                <w:rFonts w:ascii="Arial" w:cs="Arial" w:eastAsia="Arial" w:hAnsi="Arial"/>
                <w:sz w:val="14"/>
                <w:szCs w:val="14"/>
                <w:b w:val="1"/>
                <w:bCs w:val="1"/>
                <w:color w:val="auto"/>
                <w:w w:val="91"/>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200"/>
              <w:spacing w:after="0" w:line="118" w:lineRule="exact"/>
              <w:rPr>
                <w:sz w:val="20"/>
                <w:szCs w:val="20"/>
                <w:color w:val="auto"/>
              </w:rPr>
            </w:pPr>
            <w:r>
              <w:rPr>
                <w:rFonts w:ascii="Arial" w:cs="Arial" w:eastAsia="Arial" w:hAnsi="Arial"/>
                <w:sz w:val="13"/>
                <w:szCs w:val="13"/>
                <w:b w:val="1"/>
                <w:bCs w:val="1"/>
                <w:color w:val="auto"/>
                <w:w w:val="95"/>
              </w:rPr>
              <w:t>Amounts Offset in the</w:t>
            </w:r>
          </w:p>
        </w:tc>
        <w:tc>
          <w:tcPr>
            <w:tcW w:w="80" w:type="dxa"/>
            <w:vAlign w:val="bottom"/>
          </w:tcPr>
          <w:p>
            <w:pPr>
              <w:spacing w:after="0"/>
              <w:rPr>
                <w:sz w:val="4"/>
                <w:szCs w:val="4"/>
                <w:color w:val="auto"/>
              </w:rPr>
            </w:pPr>
          </w:p>
        </w:tc>
        <w:tc>
          <w:tcPr>
            <w:tcW w:w="1540" w:type="dxa"/>
            <w:vAlign w:val="bottom"/>
            <w:gridSpan w:val="2"/>
            <w:vMerge w:val="restart"/>
          </w:tcPr>
          <w:p>
            <w:pPr>
              <w:jc w:val="center"/>
              <w:ind w:right="180"/>
              <w:spacing w:after="0" w:line="118" w:lineRule="exact"/>
              <w:rPr>
                <w:sz w:val="20"/>
                <w:szCs w:val="20"/>
                <w:color w:val="auto"/>
              </w:rPr>
            </w:pPr>
            <w:r>
              <w:rPr>
                <w:rFonts w:ascii="Arial" w:cs="Arial" w:eastAsia="Arial" w:hAnsi="Arial"/>
                <w:sz w:val="13"/>
                <w:szCs w:val="13"/>
                <w:b w:val="1"/>
                <w:bCs w:val="1"/>
                <w:color w:val="auto"/>
                <w:w w:val="94"/>
              </w:rPr>
              <w:t>Presented in the</w:t>
            </w: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3"/>
                <w:szCs w:val="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Counterparty</w:t>
            </w: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Amounts of</w:t>
            </w:r>
          </w:p>
        </w:tc>
        <w:tc>
          <w:tcPr>
            <w:tcW w:w="164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6"/>
              </w:rPr>
              <w:t>Condensed Consolidated</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7"/>
              </w:rPr>
              <w:t>Condensed Consolidated</w:t>
            </w: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Statement of Financial</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Statements of Financial</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1"/>
              </w:rPr>
              <w:t>Instrument</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Netting/ Cash</w:t>
            </w:r>
          </w:p>
        </w:tc>
        <w:tc>
          <w:tcPr>
            <w:tcW w:w="140" w:type="dxa"/>
            <w:vAlign w:val="bottom"/>
          </w:tcPr>
          <w:p>
            <w:pPr>
              <w:spacing w:after="0"/>
              <w:rPr>
                <w:sz w:val="11"/>
                <w:szCs w:val="11"/>
                <w:color w:val="auto"/>
              </w:rPr>
            </w:pPr>
          </w:p>
        </w:tc>
        <w:tc>
          <w:tcPr>
            <w:tcW w:w="92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83"/>
        </w:trPr>
        <w:tc>
          <w:tcPr>
            <w:tcW w:w="2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9"/>
              </w:rPr>
              <w:t>Recognized Assets</w:t>
            </w: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Condition</w:t>
            </w:r>
          </w:p>
        </w:tc>
        <w:tc>
          <w:tcPr>
            <w:tcW w:w="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Condition</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Collateral</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Collateral</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loaned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948,256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948,256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(921,593)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(17,800)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8,863</w:t>
            </w:r>
          </w:p>
        </w:tc>
        <w:tc>
          <w:tcPr>
            <w:tcW w:w="0" w:type="dxa"/>
            <w:vAlign w:val="bottom"/>
          </w:tcPr>
          <w:p>
            <w:pPr>
              <w:spacing w:after="0"/>
              <w:rPr>
                <w:sz w:val="1"/>
                <w:szCs w:val="1"/>
                <w:color w:val="auto"/>
              </w:rPr>
            </w:pPr>
          </w:p>
        </w:tc>
      </w:tr>
      <w:tr>
        <w:trPr>
          <w:trHeight w:val="133"/>
        </w:trPr>
        <w:tc>
          <w:tcPr>
            <w:tcW w:w="27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rPr>
              <w:t>Securities sold under agreements to</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repurchase</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Interest rate swaps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63,513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63,513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(63,162)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Trading liabilities, at fair value:</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ind w:left="860"/>
              <w:spacing w:after="0"/>
              <w:rPr>
                <w:sz w:val="20"/>
                <w:szCs w:val="20"/>
                <w:color w:val="auto"/>
              </w:rPr>
            </w:pPr>
            <w:r>
              <w:rPr>
                <w:rFonts w:ascii="Arial" w:cs="Arial" w:eastAsia="Arial" w:hAnsi="Arial"/>
                <w:sz w:val="14"/>
                <w:szCs w:val="14"/>
                <w:color w:val="auto"/>
                <w:w w:val="93"/>
              </w:rPr>
              <w:t>(292,870)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79"/>
        </w:trPr>
        <w:tc>
          <w:tcPr>
            <w:tcW w:w="2700" w:type="dxa"/>
            <w:vAlign w:val="bottom"/>
            <w:gridSpan w:val="2"/>
          </w:tcPr>
          <w:p>
            <w:pPr>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1,775,210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color w:val="auto"/>
                <w:w w:val="93"/>
              </w:rPr>
              <w:t>(292,870)</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1,482,340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(1,382,828)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(90,042)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9,470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The following table presents gross obligations for securities sold under agreements to repurchase and for securities lending transactions by remaining contractual maturity and the class of collateral pledged:</w:t>
      </w:r>
    </w:p>
    <w:p>
      <w:pPr>
        <w:spacing w:after="0" w:line="213"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4"/>
                <w:szCs w:val="14"/>
                <w:b w:val="1"/>
                <w:bCs w:val="1"/>
                <w:color w:val="auto"/>
                <w:w w:val="90"/>
              </w:rPr>
              <w:t>June 30, 2021</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3"/>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0"/>
                <w:szCs w:val="10"/>
                <w:color w:val="auto"/>
              </w:rPr>
            </w:pPr>
          </w:p>
        </w:tc>
        <w:tc>
          <w:tcPr>
            <w:tcW w:w="1340" w:type="dxa"/>
            <w:vAlign w:val="bottom"/>
            <w:gridSpan w:val="3"/>
          </w:tcPr>
          <w:p>
            <w:pPr>
              <w:jc w:val="center"/>
              <w:ind w:right="300"/>
              <w:spacing w:after="0" w:line="125" w:lineRule="exact"/>
              <w:rPr>
                <w:sz w:val="20"/>
                <w:szCs w:val="20"/>
                <w:color w:val="auto"/>
              </w:rPr>
            </w:pPr>
            <w:r>
              <w:rPr>
                <w:rFonts w:ascii="Arial" w:cs="Arial" w:eastAsia="Arial" w:hAnsi="Arial"/>
                <w:sz w:val="14"/>
                <w:szCs w:val="14"/>
                <w:b w:val="1"/>
                <w:bCs w:val="1"/>
                <w:color w:val="auto"/>
                <w:w w:val="92"/>
              </w:rPr>
              <w:t>Overnight and</w:t>
            </w:r>
          </w:p>
        </w:tc>
        <w:tc>
          <w:tcPr>
            <w:tcW w:w="12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6"/>
              </w:rPr>
              <w:t>Less than 30 days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70"/>
              <w:spacing w:after="0" w:line="125" w:lineRule="exact"/>
              <w:rPr>
                <w:sz w:val="20"/>
                <w:szCs w:val="20"/>
                <w:color w:val="auto"/>
              </w:rPr>
            </w:pPr>
            <w:r>
              <w:rPr>
                <w:rFonts w:ascii="Arial" w:cs="Arial" w:eastAsia="Arial" w:hAnsi="Arial"/>
                <w:sz w:val="14"/>
                <w:szCs w:val="14"/>
                <w:b w:val="1"/>
                <w:bCs w:val="1"/>
                <w:color w:val="auto"/>
                <w:w w:val="87"/>
              </w:rPr>
              <w:t>30 - 60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jc w:val="center"/>
              <w:ind w:right="290"/>
              <w:spacing w:after="0" w:line="125" w:lineRule="exact"/>
              <w:rPr>
                <w:sz w:val="20"/>
                <w:szCs w:val="20"/>
                <w:color w:val="auto"/>
              </w:rPr>
            </w:pPr>
            <w:r>
              <w:rPr>
                <w:rFonts w:ascii="Arial" w:cs="Arial" w:eastAsia="Arial" w:hAnsi="Arial"/>
                <w:sz w:val="14"/>
                <w:szCs w:val="14"/>
                <w:b w:val="1"/>
                <w:bCs w:val="1"/>
                <w:color w:val="auto"/>
                <w:w w:val="91"/>
              </w:rPr>
              <w:t>61 - 90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4"/>
          </w:tcPr>
          <w:p>
            <w:pPr>
              <w:jc w:val="center"/>
              <w:ind w:right="100"/>
              <w:spacing w:after="0" w:line="125" w:lineRule="exact"/>
              <w:rPr>
                <w:sz w:val="20"/>
                <w:szCs w:val="20"/>
                <w:color w:val="auto"/>
              </w:rPr>
            </w:pPr>
            <w:r>
              <w:rPr>
                <w:rFonts w:ascii="Arial" w:cs="Arial" w:eastAsia="Arial" w:hAnsi="Arial"/>
                <w:sz w:val="14"/>
                <w:szCs w:val="14"/>
                <w:b w:val="1"/>
                <w:bCs w:val="1"/>
                <w:color w:val="auto"/>
                <w:w w:val="93"/>
              </w:rPr>
              <w:t>Greater than 90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Continuous</w:t>
            </w:r>
          </w:p>
        </w:tc>
        <w:tc>
          <w:tcPr>
            <w:tcW w:w="12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1"/>
              </w:rPr>
              <w:t>days</w:t>
            </w:r>
          </w:p>
        </w:tc>
        <w:tc>
          <w:tcPr>
            <w:tcW w:w="360" w:type="dxa"/>
            <w:vAlign w:val="bottom"/>
          </w:tcPr>
          <w:p>
            <w:pPr>
              <w:spacing w:after="0"/>
              <w:rPr>
                <w:sz w:val="15"/>
                <w:szCs w:val="15"/>
                <w:color w:val="auto"/>
              </w:rPr>
            </w:pPr>
          </w:p>
        </w:tc>
        <w:tc>
          <w:tcPr>
            <w:tcW w:w="8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Days</w:t>
            </w:r>
          </w:p>
        </w:tc>
        <w:tc>
          <w:tcPr>
            <w:tcW w:w="80" w:type="dxa"/>
            <w:vAlign w:val="bottom"/>
          </w:tcPr>
          <w:p>
            <w:pPr>
              <w:spacing w:after="0"/>
              <w:rPr>
                <w:sz w:val="15"/>
                <w:szCs w:val="15"/>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days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00" w:type="dxa"/>
            <w:vAlign w:val="bottom"/>
            <w:gridSpan w:val="3"/>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375,000</w:t>
            </w:r>
          </w:p>
        </w:tc>
        <w:tc>
          <w:tcPr>
            <w:tcW w:w="0" w:type="dxa"/>
            <w:vAlign w:val="bottom"/>
          </w:tcPr>
          <w:p>
            <w:pPr>
              <w:spacing w:after="0"/>
              <w:rPr>
                <w:sz w:val="1"/>
                <w:szCs w:val="1"/>
                <w:color w:val="auto"/>
              </w:rPr>
            </w:pPr>
          </w:p>
        </w:tc>
      </w:tr>
      <w:tr>
        <w:trPr>
          <w:trHeight w:val="181"/>
        </w:trPr>
        <w:tc>
          <w:tcPr>
            <w:tcW w:w="350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U.S. and Non-U.S. government obligations</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115,879</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115,879</w:t>
            </w:r>
          </w:p>
        </w:tc>
        <w:tc>
          <w:tcPr>
            <w:tcW w:w="0" w:type="dxa"/>
            <w:vAlign w:val="bottom"/>
          </w:tcPr>
          <w:p>
            <w:pPr>
              <w:spacing w:after="0"/>
              <w:rPr>
                <w:sz w:val="1"/>
                <w:szCs w:val="1"/>
                <w:color w:val="auto"/>
              </w:rPr>
            </w:pPr>
          </w:p>
        </w:tc>
      </w:tr>
      <w:tr>
        <w:trPr>
          <w:trHeight w:val="204"/>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115,879</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50,000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490,879</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00" w:type="dxa"/>
            <w:vAlign w:val="bottom"/>
            <w:gridSpan w:val="3"/>
          </w:tcPr>
          <w:p>
            <w:pPr>
              <w:ind w:left="140"/>
              <w:spacing w:after="0"/>
              <w:rPr>
                <w:sz w:val="20"/>
                <w:szCs w:val="20"/>
                <w:color w:val="auto"/>
              </w:rPr>
            </w:pPr>
            <w:r>
              <w:rPr>
                <w:rFonts w:ascii="Arial" w:cs="Arial" w:eastAsia="Arial" w:hAnsi="Arial"/>
                <w:sz w:val="14"/>
                <w:szCs w:val="14"/>
                <w:color w:val="auto"/>
              </w:rPr>
              <w:t>Equity securities</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1,142,741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1,142,741</w:t>
            </w:r>
          </w:p>
        </w:tc>
        <w:tc>
          <w:tcPr>
            <w:tcW w:w="0" w:type="dxa"/>
            <w:vAlign w:val="bottom"/>
          </w:tcPr>
          <w:p>
            <w:pPr>
              <w:spacing w:after="0"/>
              <w:rPr>
                <w:sz w:val="1"/>
                <w:szCs w:val="1"/>
                <w:color w:val="auto"/>
              </w:rPr>
            </w:pPr>
          </w:p>
        </w:tc>
      </w:tr>
      <w:tr>
        <w:trPr>
          <w:trHeight w:val="204"/>
        </w:trPr>
        <w:tc>
          <w:tcPr>
            <w:tcW w:w="35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1,142,741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1,142,741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left="170"/>
              <w:spacing w:after="0"/>
              <w:rPr>
                <w:sz w:val="20"/>
                <w:szCs w:val="20"/>
                <w:color w:val="auto"/>
              </w:rPr>
            </w:pPr>
            <w:r>
              <w:rPr>
                <w:rFonts w:ascii="Arial" w:cs="Arial" w:eastAsia="Arial" w:hAnsi="Arial"/>
                <w:sz w:val="14"/>
                <w:szCs w:val="14"/>
                <w:b w:val="1"/>
                <w:bCs w:val="1"/>
                <w:color w:val="auto"/>
                <w:w w:val="88"/>
              </w:rPr>
              <w:t>December 31, 2020</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4"/>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0"/>
                <w:szCs w:val="10"/>
                <w:color w:val="auto"/>
              </w:rPr>
            </w:pPr>
          </w:p>
        </w:tc>
        <w:tc>
          <w:tcPr>
            <w:tcW w:w="1340" w:type="dxa"/>
            <w:vAlign w:val="bottom"/>
            <w:gridSpan w:val="3"/>
          </w:tcPr>
          <w:p>
            <w:pPr>
              <w:jc w:val="center"/>
              <w:ind w:right="280"/>
              <w:spacing w:after="0" w:line="125" w:lineRule="exact"/>
              <w:rPr>
                <w:sz w:val="20"/>
                <w:szCs w:val="20"/>
                <w:color w:val="auto"/>
              </w:rPr>
            </w:pPr>
            <w:r>
              <w:rPr>
                <w:rFonts w:ascii="Arial" w:cs="Arial" w:eastAsia="Arial" w:hAnsi="Arial"/>
                <w:sz w:val="14"/>
                <w:szCs w:val="14"/>
                <w:b w:val="1"/>
                <w:bCs w:val="1"/>
                <w:color w:val="auto"/>
                <w:w w:val="90"/>
              </w:rPr>
              <w:t>Overnight and</w:t>
            </w:r>
          </w:p>
        </w:tc>
        <w:tc>
          <w:tcPr>
            <w:tcW w:w="12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6"/>
              </w:rPr>
              <w:t>Less than 30 days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50"/>
              <w:spacing w:after="0" w:line="125" w:lineRule="exact"/>
              <w:rPr>
                <w:sz w:val="20"/>
                <w:szCs w:val="20"/>
                <w:color w:val="auto"/>
              </w:rPr>
            </w:pPr>
            <w:r>
              <w:rPr>
                <w:rFonts w:ascii="Arial" w:cs="Arial" w:eastAsia="Arial" w:hAnsi="Arial"/>
                <w:sz w:val="14"/>
                <w:szCs w:val="14"/>
                <w:b w:val="1"/>
                <w:bCs w:val="1"/>
                <w:color w:val="auto"/>
                <w:w w:val="91"/>
              </w:rPr>
              <w:t>30 - 60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jc w:val="center"/>
              <w:ind w:right="290"/>
              <w:spacing w:after="0" w:line="125" w:lineRule="exact"/>
              <w:rPr>
                <w:sz w:val="20"/>
                <w:szCs w:val="20"/>
                <w:color w:val="auto"/>
              </w:rPr>
            </w:pPr>
            <w:r>
              <w:rPr>
                <w:rFonts w:ascii="Arial" w:cs="Arial" w:eastAsia="Arial" w:hAnsi="Arial"/>
                <w:sz w:val="14"/>
                <w:szCs w:val="14"/>
                <w:b w:val="1"/>
                <w:bCs w:val="1"/>
                <w:color w:val="auto"/>
                <w:w w:val="91"/>
              </w:rPr>
              <w:t>61 - 90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3"/>
          </w:tcPr>
          <w:p>
            <w:pPr>
              <w:jc w:val="center"/>
              <w:ind w:right="180"/>
              <w:spacing w:after="0" w:line="125" w:lineRule="exact"/>
              <w:rPr>
                <w:sz w:val="20"/>
                <w:szCs w:val="20"/>
                <w:color w:val="auto"/>
              </w:rPr>
            </w:pPr>
            <w:r>
              <w:rPr>
                <w:rFonts w:ascii="Arial" w:cs="Arial" w:eastAsia="Arial" w:hAnsi="Arial"/>
                <w:sz w:val="14"/>
                <w:szCs w:val="14"/>
                <w:b w:val="1"/>
                <w:bCs w:val="1"/>
                <w:color w:val="auto"/>
                <w:w w:val="93"/>
              </w:rPr>
              <w:t>Greater than 90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Continuous</w:t>
            </w:r>
          </w:p>
        </w:tc>
        <w:tc>
          <w:tcPr>
            <w:tcW w:w="12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days</w:t>
            </w:r>
          </w:p>
        </w:tc>
        <w:tc>
          <w:tcPr>
            <w:tcW w:w="360" w:type="dxa"/>
            <w:vAlign w:val="bottom"/>
          </w:tcPr>
          <w:p>
            <w:pPr>
              <w:spacing w:after="0"/>
              <w:rPr>
                <w:sz w:val="15"/>
                <w:szCs w:val="15"/>
                <w:color w:val="auto"/>
              </w:rPr>
            </w:pPr>
          </w:p>
        </w:tc>
        <w:tc>
          <w:tcPr>
            <w:tcW w:w="8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Days</w:t>
            </w:r>
          </w:p>
        </w:tc>
        <w:tc>
          <w:tcPr>
            <w:tcW w:w="80" w:type="dxa"/>
            <w:vAlign w:val="bottom"/>
          </w:tcPr>
          <w:p>
            <w:pPr>
              <w:spacing w:after="0"/>
              <w:rPr>
                <w:sz w:val="15"/>
                <w:szCs w:val="15"/>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days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00" w:type="dxa"/>
            <w:vAlign w:val="bottom"/>
            <w:gridSpan w:val="3"/>
          </w:tcPr>
          <w:p>
            <w:pPr>
              <w:spacing w:after="0"/>
              <w:rPr>
                <w:sz w:val="20"/>
                <w:szCs w:val="20"/>
                <w:color w:val="auto"/>
              </w:rPr>
            </w:pPr>
            <w:r>
              <w:rPr>
                <w:rFonts w:ascii="Arial" w:cs="Arial" w:eastAsia="Arial" w:hAnsi="Arial"/>
                <w:sz w:val="14"/>
                <w:szCs w:val="14"/>
                <w:color w:val="auto"/>
              </w:rPr>
              <w:t>Securities sold under agreements to repurchase: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375,000</w:t>
            </w:r>
          </w:p>
        </w:tc>
        <w:tc>
          <w:tcPr>
            <w:tcW w:w="0" w:type="dxa"/>
            <w:vAlign w:val="bottom"/>
          </w:tcPr>
          <w:p>
            <w:pPr>
              <w:spacing w:after="0"/>
              <w:rPr>
                <w:sz w:val="1"/>
                <w:szCs w:val="1"/>
                <w:color w:val="auto"/>
              </w:rPr>
            </w:pPr>
          </w:p>
        </w:tc>
      </w:tr>
      <w:tr>
        <w:trPr>
          <w:trHeight w:val="181"/>
        </w:trPr>
        <w:tc>
          <w:tcPr>
            <w:tcW w:w="3500" w:type="dxa"/>
            <w:vAlign w:val="bottom"/>
            <w:gridSpan w:val="3"/>
          </w:tcPr>
          <w:p>
            <w:pPr>
              <w:ind w:left="120"/>
              <w:spacing w:after="0"/>
              <w:rPr>
                <w:sz w:val="20"/>
                <w:szCs w:val="20"/>
                <w:color w:val="auto"/>
              </w:rPr>
            </w:pPr>
            <w:r>
              <w:rPr>
                <w:rFonts w:ascii="Arial" w:cs="Arial" w:eastAsia="Arial" w:hAnsi="Arial"/>
                <w:sz w:val="14"/>
                <w:szCs w:val="14"/>
                <w:color w:val="auto"/>
              </w:rPr>
              <w:t>U.S. and Non-U.S. government obligations</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86,235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86,235</w:t>
            </w:r>
          </w:p>
        </w:tc>
        <w:tc>
          <w:tcPr>
            <w:tcW w:w="0" w:type="dxa"/>
            <w:vAlign w:val="bottom"/>
          </w:tcPr>
          <w:p>
            <w:pPr>
              <w:spacing w:after="0"/>
              <w:rPr>
                <w:sz w:val="1"/>
                <w:szCs w:val="1"/>
                <w:color w:val="auto"/>
              </w:rPr>
            </w:pPr>
          </w:p>
        </w:tc>
      </w:tr>
      <w:tr>
        <w:trPr>
          <w:trHeight w:val="206"/>
        </w:trPr>
        <w:tc>
          <w:tcPr>
            <w:tcW w:w="3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86,235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Securities loaned:</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00" w:type="dxa"/>
            <w:vAlign w:val="bottom"/>
            <w:gridSpan w:val="3"/>
          </w:tcPr>
          <w:p>
            <w:pPr>
              <w:ind w:left="120"/>
              <w:spacing w:after="0"/>
              <w:rPr>
                <w:sz w:val="20"/>
                <w:szCs w:val="20"/>
                <w:color w:val="auto"/>
              </w:rPr>
            </w:pPr>
            <w:r>
              <w:rPr>
                <w:rFonts w:ascii="Arial" w:cs="Arial" w:eastAsia="Arial" w:hAnsi="Arial"/>
                <w:sz w:val="14"/>
                <w:szCs w:val="14"/>
                <w:color w:val="auto"/>
              </w:rPr>
              <w:t>Equity securities</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948,256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948,256</w:t>
            </w:r>
          </w:p>
        </w:tc>
        <w:tc>
          <w:tcPr>
            <w:tcW w:w="0" w:type="dxa"/>
            <w:vAlign w:val="bottom"/>
          </w:tcPr>
          <w:p>
            <w:pPr>
              <w:spacing w:after="0"/>
              <w:rPr>
                <w:sz w:val="1"/>
                <w:szCs w:val="1"/>
                <w:color w:val="auto"/>
              </w:rPr>
            </w:pPr>
          </w:p>
        </w:tc>
      </w:tr>
      <w:tr>
        <w:trPr>
          <w:trHeight w:val="206"/>
        </w:trPr>
        <w:tc>
          <w:tcPr>
            <w:tcW w:w="3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948,256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948,256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Derivative Instruments</w:t>
      </w:r>
    </w:p>
    <w:p>
      <w:pPr>
        <w:spacing w:after="0" w:line="3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fair value of the Company’s derivative instruments on a gross basis consisted of the following at June 30, 2021 and December 31, 2020:</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66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232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2"/>
        </w:trPr>
        <w:tc>
          <w:tcPr>
            <w:tcW w:w="2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Assets</w:t>
            </w:r>
          </w:p>
        </w:tc>
        <w:tc>
          <w:tcPr>
            <w:tcW w:w="3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Financial Statements Location</w:t>
            </w: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24"/>
        </w:trPr>
        <w:tc>
          <w:tcPr>
            <w:tcW w:w="284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4"/>
                <w:szCs w:val="14"/>
                <w:b w:val="1"/>
                <w:bCs w:val="1"/>
                <w:color w:val="auto"/>
              </w:rPr>
              <w:t>Derivative instruments not designated as</w:t>
            </w: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4"/>
                <w:szCs w:val="14"/>
                <w:color w:val="auto"/>
              </w:rPr>
              <w:t>Equities futures</w:t>
            </w:r>
          </w:p>
        </w:tc>
        <w:tc>
          <w:tcPr>
            <w:tcW w:w="31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1,657,964</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4,669</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2,208,899</w:t>
            </w:r>
          </w:p>
        </w:tc>
        <w:tc>
          <w:tcPr>
            <w:tcW w:w="0" w:type="dxa"/>
            <w:vAlign w:val="bottom"/>
          </w:tcPr>
          <w:p>
            <w:pPr>
              <w:spacing w:after="0"/>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organizations</w:t>
            </w:r>
          </w:p>
        </w:tc>
        <w:tc>
          <w:tcPr>
            <w:tcW w:w="18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Commodity futures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(3,895)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5,121,215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173,889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6,237,389</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Currency futures</w:t>
            </w:r>
          </w:p>
        </w:tc>
        <w:tc>
          <w:tcPr>
            <w:tcW w:w="310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8,301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2,122,144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2,823,277</w:t>
            </w:r>
          </w:p>
        </w:tc>
        <w:tc>
          <w:tcPr>
            <w:tcW w:w="0" w:type="dxa"/>
            <w:vAlign w:val="bottom"/>
          </w:tcPr>
          <w:p>
            <w:pPr>
              <w:spacing w:after="0"/>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Fixed income futures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53,490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102,476</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instruments owned</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837,330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746,723</w:t>
            </w:r>
          </w:p>
        </w:tc>
        <w:tc>
          <w:tcPr>
            <w:tcW w:w="0" w:type="dxa"/>
            <w:vAlign w:val="bottom"/>
          </w:tcPr>
          <w:p>
            <w:pPr>
              <w:spacing w:after="0"/>
              <w:rPr>
                <w:sz w:val="1"/>
                <w:szCs w:val="1"/>
                <w:color w:val="auto"/>
              </w:rPr>
            </w:pPr>
          </w:p>
        </w:tc>
      </w:tr>
      <w:tr>
        <w:trPr>
          <w:trHeight w:val="181"/>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Currency forwards</w:t>
            </w:r>
          </w:p>
        </w:tc>
        <w:tc>
          <w:tcPr>
            <w:tcW w:w="3100" w:type="dxa"/>
            <w:vAlign w:val="bottom"/>
            <w:gridSpan w:val="2"/>
          </w:tcPr>
          <w:p>
            <w:pPr>
              <w:spacing w:after="0"/>
              <w:rPr>
                <w:sz w:val="20"/>
                <w:szCs w:val="20"/>
                <w:color w:val="auto"/>
              </w:rPr>
            </w:pPr>
            <w:r>
              <w:rPr>
                <w:rFonts w:ascii="Arial" w:cs="Arial" w:eastAsia="Arial" w:hAnsi="Arial"/>
                <w:sz w:val="14"/>
                <w:szCs w:val="14"/>
                <w:color w:val="auto"/>
              </w:rPr>
              <w:t>Financial instruments owned</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305,525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25,289,763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341,360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30,596,681</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Liabilities</w:t>
            </w:r>
          </w:p>
        </w:tc>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Financial Statements Location</w:t>
            </w:r>
          </w:p>
        </w:tc>
        <w:tc>
          <w:tcPr>
            <w:tcW w:w="1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5"/>
                <w:szCs w:val="15"/>
                <w:color w:val="auto"/>
              </w:rPr>
            </w:pPr>
          </w:p>
        </w:tc>
        <w:tc>
          <w:tcPr>
            <w:tcW w:w="980" w:type="dxa"/>
            <w:vAlign w:val="bottom"/>
          </w:tcPr>
          <w:p>
            <w:pPr>
              <w:jc w:val="right"/>
              <w:ind w:right="27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25"/>
        </w:trPr>
        <w:tc>
          <w:tcPr>
            <w:tcW w:w="2840" w:type="dxa"/>
            <w:vAlign w:val="bottom"/>
            <w:tcBorders>
              <w:top w:val="single" w:sz="8" w:color="auto"/>
            </w:tcBorders>
            <w:shd w:val="clear" w:color="auto" w:fill="CCEEFF"/>
          </w:tcPr>
          <w:p>
            <w:pPr>
              <w:ind w:left="20"/>
              <w:spacing w:after="0" w:line="125" w:lineRule="exact"/>
              <w:rPr>
                <w:sz w:val="20"/>
                <w:szCs w:val="20"/>
                <w:color w:val="auto"/>
              </w:rPr>
            </w:pPr>
            <w:r>
              <w:rPr>
                <w:rFonts w:ascii="Arial" w:cs="Arial" w:eastAsia="Arial" w:hAnsi="Arial"/>
                <w:sz w:val="14"/>
                <w:szCs w:val="14"/>
                <w:b w:val="1"/>
                <w:bCs w:val="1"/>
                <w:color w:val="auto"/>
              </w:rPr>
              <w:t>Derivative instruments not designated as</w:t>
            </w:r>
          </w:p>
        </w:tc>
        <w:tc>
          <w:tcPr>
            <w:tcW w:w="120" w:type="dxa"/>
            <w:vAlign w:val="bottom"/>
            <w:tcBorders>
              <w:top w:val="single" w:sz="8" w:color="CCEEFF"/>
            </w:tcBorders>
            <w:shd w:val="clear" w:color="auto" w:fill="CCEEFF"/>
          </w:tcPr>
          <w:p>
            <w:pPr>
              <w:spacing w:after="0"/>
              <w:rPr>
                <w:sz w:val="10"/>
                <w:szCs w:val="10"/>
                <w:color w:val="auto"/>
              </w:rPr>
            </w:pPr>
          </w:p>
        </w:tc>
        <w:tc>
          <w:tcPr>
            <w:tcW w:w="3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Equities futures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vMerge w:val="restart"/>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11"/>
                <w:szCs w:val="11"/>
                <w:color w:val="auto"/>
              </w:rPr>
            </w:pPr>
          </w:p>
        </w:tc>
        <w:tc>
          <w:tcPr>
            <w:tcW w:w="200" w:type="dxa"/>
            <w:vAlign w:val="bottom"/>
            <w:vMerge w:val="restart"/>
          </w:tcPr>
          <w:p>
            <w:pPr>
              <w:jc w:val="right"/>
              <w:ind w:right="50"/>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103,608</w:t>
            </w:r>
          </w:p>
        </w:tc>
        <w:tc>
          <w:tcPr>
            <w:tcW w:w="100" w:type="dxa"/>
            <w:vAlign w:val="bottom"/>
          </w:tcPr>
          <w:p>
            <w:pPr>
              <w:spacing w:after="0"/>
              <w:rPr>
                <w:sz w:val="11"/>
                <w:szCs w:val="11"/>
                <w:color w:val="auto"/>
              </w:rPr>
            </w:pPr>
          </w:p>
        </w:tc>
        <w:tc>
          <w:tcPr>
            <w:tcW w:w="2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1"/>
                <w:szCs w:val="11"/>
                <w:color w:val="auto"/>
              </w:rPr>
            </w:pPr>
          </w:p>
        </w:tc>
        <w:tc>
          <w:tcPr>
            <w:tcW w:w="220" w:type="dxa"/>
            <w:vAlign w:val="bottom"/>
            <w:vMerge w:val="restart"/>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90,219</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Commodity futures</w:t>
            </w:r>
          </w:p>
        </w:tc>
        <w:tc>
          <w:tcPr>
            <w:tcW w:w="310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(1,193,850)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1,797,457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(5,397)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27,287</w:t>
            </w:r>
          </w:p>
        </w:tc>
        <w:tc>
          <w:tcPr>
            <w:tcW w:w="0" w:type="dxa"/>
            <w:vAlign w:val="bottom"/>
          </w:tcPr>
          <w:p>
            <w:pPr>
              <w:spacing w:after="0"/>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Currency futures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1,851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2,819,392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3,598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2,269,898</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Fixed income futures</w:t>
            </w:r>
          </w:p>
        </w:tc>
        <w:tc>
          <w:tcPr>
            <w:tcW w:w="310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3100" w:type="dxa"/>
            <w:vAlign w:val="bottom"/>
            <w:gridSpan w:val="2"/>
          </w:tcPr>
          <w:p>
            <w:pPr>
              <w:spacing w:after="0"/>
              <w:rPr>
                <w:sz w:val="20"/>
                <w:szCs w:val="20"/>
                <w:color w:val="auto"/>
              </w:rPr>
            </w:pPr>
            <w:r>
              <w:rPr>
                <w:rFonts w:ascii="Arial" w:cs="Arial" w:eastAsia="Arial" w:hAnsi="Arial"/>
                <w:sz w:val="14"/>
                <w:szCs w:val="14"/>
                <w:color w:val="auto"/>
              </w:rPr>
              <w:t>Financial instruments sold, not yet purchased</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831,189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736,997</w:t>
            </w:r>
          </w:p>
        </w:tc>
        <w:tc>
          <w:tcPr>
            <w:tcW w:w="0" w:type="dxa"/>
            <w:vAlign w:val="bottom"/>
          </w:tcPr>
          <w:p>
            <w:pPr>
              <w:spacing w:after="0"/>
              <w:rPr>
                <w:sz w:val="1"/>
                <w:szCs w:val="1"/>
                <w:color w:val="auto"/>
              </w:rPr>
            </w:pPr>
          </w:p>
        </w:tc>
      </w:tr>
      <w:tr>
        <w:trPr>
          <w:trHeight w:val="18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Currency forwards</w:t>
            </w: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instruments sold, not yet purchased</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325,961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25,299,981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30,572,490</w:t>
            </w: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96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4"/>
                <w:szCs w:val="14"/>
                <w:b w:val="1"/>
                <w:bCs w:val="1"/>
                <w:color w:val="auto"/>
                <w:w w:val="95"/>
              </w:rPr>
              <w:t>Derivative instruments designated as hedging</w:t>
            </w:r>
          </w:p>
        </w:tc>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instruments:</w:t>
            </w: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Interest rate swaps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47,248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1,525,000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63,513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1,525,000</w:t>
            </w:r>
          </w:p>
        </w:tc>
        <w:tc>
          <w:tcPr>
            <w:tcW w:w="0" w:type="dxa"/>
            <w:vAlign w:val="bottom"/>
          </w:tcPr>
          <w:p>
            <w:pPr>
              <w:spacing w:after="0"/>
              <w:rPr>
                <w:sz w:val="1"/>
                <w:szCs w:val="1"/>
                <w:color w:val="auto"/>
              </w:rPr>
            </w:pPr>
          </w:p>
        </w:tc>
      </w:tr>
      <w:tr>
        <w:trPr>
          <w:trHeight w:val="178"/>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84" w:lineRule="exact"/>
        <w:rPr>
          <w:sz w:val="20"/>
          <w:szCs w:val="20"/>
          <w:color w:val="auto"/>
        </w:rPr>
      </w:pPr>
    </w:p>
    <w:p>
      <w:pPr>
        <w:ind w:right="420" w:firstLine="629"/>
        <w:spacing w:after="0" w:line="297" w:lineRule="auto"/>
        <w:rPr>
          <w:sz w:val="20"/>
          <w:szCs w:val="20"/>
          <w:color w:val="auto"/>
        </w:rPr>
      </w:pPr>
      <w:r>
        <w:rPr>
          <w:rFonts w:ascii="Arial" w:cs="Arial" w:eastAsia="Arial" w:hAnsi="Arial"/>
          <w:sz w:val="16"/>
          <w:szCs w:val="16"/>
          <w:color w:val="auto"/>
        </w:rPr>
        <w:t>The following table summarizes the net gain (loss) from derivative instruments not designated as hedging instruments under ASC 815, which are recorded in total revenues, and from those designated as hedging instruments under ASC 815, which are recorded in other comprehensive income in the accompanying Condensed Consolidated Statements of Comprehensive Income for the three and six months ended June 30, 2021 and 2020.</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83"/>
        </w:trPr>
        <w:tc>
          <w:tcPr>
            <w:tcW w:w="2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Statements Location</w:t>
            </w: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2020</w:t>
            </w:r>
          </w:p>
        </w:tc>
      </w:tr>
      <w:tr>
        <w:trPr>
          <w:trHeight w:val="125"/>
        </w:trPr>
        <w:tc>
          <w:tcPr>
            <w:tcW w:w="2780" w:type="dxa"/>
            <w:vAlign w:val="bottom"/>
            <w:tcBorders>
              <w:top w:val="single" w:sz="8" w:color="auto"/>
            </w:tcBorders>
            <w:shd w:val="clear" w:color="auto" w:fill="CCEEFF"/>
          </w:tcPr>
          <w:p>
            <w:pPr>
              <w:ind w:left="20"/>
              <w:spacing w:after="0" w:line="125" w:lineRule="exact"/>
              <w:rPr>
                <w:sz w:val="20"/>
                <w:szCs w:val="20"/>
                <w:color w:val="auto"/>
              </w:rPr>
            </w:pPr>
            <w:r>
              <w:rPr>
                <w:rFonts w:ascii="Arial" w:cs="Arial" w:eastAsia="Arial" w:hAnsi="Arial"/>
                <w:sz w:val="14"/>
                <w:szCs w:val="14"/>
                <w:b w:val="1"/>
                <w:bCs w:val="1"/>
                <w:color w:val="auto"/>
              </w:rPr>
              <w:t>Derivative instruments not designated as</w:t>
            </w:r>
          </w:p>
        </w:tc>
        <w:tc>
          <w:tcPr>
            <w:tcW w:w="100" w:type="dxa"/>
            <w:vAlign w:val="bottom"/>
            <w:tcBorders>
              <w:top w:val="single" w:sz="8" w:color="CCEEFF"/>
            </w:tcBorders>
            <w:shd w:val="clear" w:color="auto" w:fill="CCEEFF"/>
          </w:tcPr>
          <w:p>
            <w:pPr>
              <w:spacing w:after="0"/>
              <w:rPr>
                <w:sz w:val="10"/>
                <w:szCs w:val="10"/>
                <w:color w:val="auto"/>
              </w:rPr>
            </w:pPr>
          </w:p>
        </w:tc>
        <w:tc>
          <w:tcPr>
            <w:tcW w:w="31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r>
      <w:tr>
        <w:trPr>
          <w:trHeight w:val="183"/>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1"/>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Futures</w:t>
            </w: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81,471</w:t>
            </w:r>
          </w:p>
        </w:tc>
        <w:tc>
          <w:tcPr>
            <w:tcW w:w="12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35,603</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128,694</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23,702</w:t>
            </w:r>
          </w:p>
        </w:tc>
      </w:tr>
      <w:tr>
        <w:trPr>
          <w:trHeight w:val="18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Currency forwards</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(47,034)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62,355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192,579</w:t>
            </w:r>
          </w:p>
        </w:tc>
      </w:tr>
      <w:tr>
        <w:trPr>
          <w:trHeight w:val="181"/>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53,561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26,300</w:t>
            </w:r>
          </w:p>
        </w:tc>
      </w:tr>
      <w:tr>
        <w:trPr>
          <w:trHeight w:val="183"/>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 on term loan</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38,339</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51,413</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243,214</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242,581</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8"/>
        </w:trPr>
        <w:tc>
          <w:tcPr>
            <w:tcW w:w="2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31"/>
        </w:trPr>
        <w:tc>
          <w:tcPr>
            <w:tcW w:w="288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w w:val="92"/>
              </w:rPr>
              <w:t>Derivative instruments designated as hedging</w:t>
            </w:r>
          </w:p>
        </w:tc>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3"/>
        </w:trPr>
        <w:tc>
          <w:tcPr>
            <w:tcW w:w="2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swaps (1)</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(64,739)</w:t>
            </w:r>
          </w:p>
        </w:tc>
      </w:tr>
      <w:tr>
        <w:trPr>
          <w:trHeight w:val="174"/>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(8,485)</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(9,137)</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17,341</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(64,739)</w:t>
            </w:r>
          </w:p>
        </w:tc>
      </w:tr>
      <w:tr>
        <w:trPr>
          <w:trHeight w:val="22"/>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firstLine="5"/>
        <w:spacing w:after="0" w:line="242" w:lineRule="auto"/>
        <w:tabs>
          <w:tab w:leader="none" w:pos="198"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the first quarter of 2020, and as such, the mark-to-market gains (losses) on the instruments were recorded within Other comprehensive income on the Condensed Consolidated Statements of Comprehensive Income beginning in the first quarter of 2020.</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Variable Interest Entities</w:t>
      </w:r>
    </w:p>
    <w:p>
      <w:pPr>
        <w:spacing w:after="0" w:line="32" w:lineRule="exact"/>
        <w:rPr>
          <w:sz w:val="20"/>
          <w:szCs w:val="20"/>
          <w:color w:val="auto"/>
        </w:rPr>
      </w:pPr>
    </w:p>
    <w:p>
      <w:pPr>
        <w:jc w:val="both"/>
        <w:ind w:right="160" w:firstLine="629"/>
        <w:spacing w:after="0" w:line="290" w:lineRule="auto"/>
        <w:rPr>
          <w:sz w:val="20"/>
          <w:szCs w:val="20"/>
          <w:color w:val="auto"/>
        </w:rPr>
      </w:pPr>
      <w:r>
        <w:rPr>
          <w:rFonts w:ascii="Arial" w:cs="Arial" w:eastAsia="Arial" w:hAnsi="Arial"/>
          <w:sz w:val="16"/>
          <w:szCs w:val="16"/>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86"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97" w:lineRule="exact"/>
        <w:rPr>
          <w:sz w:val="20"/>
          <w:szCs w:val="20"/>
          <w:color w:val="auto"/>
        </w:rPr>
      </w:pPr>
    </w:p>
    <w:p>
      <w:pPr>
        <w:ind w:right="120" w:firstLine="629"/>
        <w:spacing w:after="0" w:line="267" w:lineRule="auto"/>
        <w:rPr>
          <w:sz w:val="20"/>
          <w:szCs w:val="20"/>
          <w:color w:val="auto"/>
        </w:rPr>
      </w:pPr>
      <w:r>
        <w:rPr>
          <w:rFonts w:ascii="Arial" w:cs="Arial" w:eastAsia="Arial" w:hAnsi="Arial"/>
          <w:sz w:val="17"/>
          <w:szCs w:val="17"/>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June 30, 2021, the Company held noncontrolling interests of 10% and 50%, respectively, in these JVs.</w:t>
      </w:r>
    </w:p>
    <w:p>
      <w:pPr>
        <w:spacing w:after="0" w:line="204"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The Company has an interest in a JV that offers derivatives trading technology and execution services to broker-dealers, professional traders and select hedge funds. As of June 30, 2021, the Company held approximately a 10% noncontrolling interest in this JV.</w:t>
      </w:r>
    </w:p>
    <w:p>
      <w:pPr>
        <w:spacing w:after="0" w:line="184"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The Company has an interest in a JV that is developing a member-owned equities exchange with the goal of increasing competition and transparency, while reducing fixed costs and simplifying execution of equity trading in the U.S. As of June 30, 2021, the Company held approximately a 14.1% noncontrolling interest in this JV.</w:t>
      </w:r>
    </w:p>
    <w:p>
      <w:pPr>
        <w:spacing w:after="0" w:line="197"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The Company's four JVs meet the criteria to be considered VIEs, which it does not consolidate. The Company records its interest in each JV under the equity method of accounting and records its investment in the JVs within Other assets and its amounts payable for communication services provided by the applicable JVs within Accounts payable, accrued expenses and other liabilities on the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204"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The Company’s exposure to the obligations of these VIEs is generally limited to its interests in each respective JV, which is the carrying value of the equity investment in each JV.</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Company’s nonconsolidated VIEs at June 30, 2021: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w w:val="94"/>
              </w:rPr>
              <w:t>Carrying Amount</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3"/>
        </w:trPr>
        <w:tc>
          <w:tcPr>
            <w:tcW w:w="4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4"/>
              </w:rPr>
              <w:t>to Loss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24,964</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24,964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155,246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Company’s nonconsolidated VIEs at December 31, 2020:</w:t>
      </w:r>
    </w:p>
    <w:p>
      <w:pPr>
        <w:spacing w:after="0" w:line="358"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w w:val="94"/>
              </w:rPr>
              <w:t>Carrying Amount</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3"/>
        </w:trPr>
        <w:tc>
          <w:tcPr>
            <w:tcW w:w="4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4"/>
              </w:rPr>
              <w:t>to Loss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28,969</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175,547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Revenues from Contracts with Customers</w:t>
      </w:r>
    </w:p>
    <w:p>
      <w:pPr>
        <w:spacing w:after="0" w:line="256" w:lineRule="exact"/>
        <w:rPr>
          <w:sz w:val="20"/>
          <w:szCs w:val="20"/>
          <w:color w:val="auto"/>
        </w:rPr>
      </w:pPr>
    </w:p>
    <w:p>
      <w:pPr>
        <w:jc w:val="both"/>
        <w:ind w:firstLine="629"/>
        <w:spacing w:after="0" w:line="322" w:lineRule="auto"/>
        <w:rPr>
          <w:sz w:val="20"/>
          <w:szCs w:val="20"/>
          <w:color w:val="auto"/>
        </w:rPr>
      </w:pPr>
      <w:r>
        <w:rPr>
          <w:rFonts w:ascii="Arial" w:cs="Arial" w:eastAsia="Arial" w:hAnsi="Arial"/>
          <w:sz w:val="16"/>
          <w:szCs w:val="16"/>
          <w:color w:val="auto"/>
        </w:rPr>
        <w:t>For more information on revenue recognition and the nature of services provided, see Note 2 "Summary of Significant Accounting Policies" and Note 14 "Revenues from Contracts with Customers" to the Consolidated Financial Statements of the Company's 2020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Revenues</w:t>
      </w:r>
    </w:p>
    <w:p>
      <w:pPr>
        <w:spacing w:after="0" w:line="250"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The following tables present the Company’s revenue from contracts with customers disaggregated by service, by timing of revenue recognition, reconciled to the Company’s segments, for the three and six months ended June 30, 2021 and 2020:</w:t>
      </w:r>
    </w:p>
    <w:p>
      <w:pPr>
        <w:spacing w:after="0" w:line="30"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June 30, 2021</w:t>
            </w:r>
          </w:p>
        </w:tc>
        <w:tc>
          <w:tcPr>
            <w:tcW w:w="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0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2000" w:type="dxa"/>
            <w:vAlign w:val="bottom"/>
            <w:gridSpan w:val="3"/>
          </w:tcPr>
          <w:p>
            <w:pPr>
              <w:ind w:left="700"/>
              <w:spacing w:after="0"/>
              <w:rPr>
                <w:sz w:val="20"/>
                <w:szCs w:val="20"/>
                <w:color w:val="auto"/>
              </w:rPr>
            </w:pPr>
            <w:r>
              <w:rPr>
                <w:rFonts w:ascii="Arial" w:cs="Arial" w:eastAsia="Arial" w:hAnsi="Arial"/>
                <w:sz w:val="14"/>
                <w:szCs w:val="14"/>
                <w:b w:val="1"/>
                <w:bCs w:val="1"/>
                <w:color w:val="auto"/>
                <w:w w:val="99"/>
              </w:rPr>
              <w:t>Execution Services</w:t>
            </w:r>
          </w:p>
        </w:tc>
        <w:tc>
          <w:tcPr>
            <w:tcW w:w="8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900" w:type="dxa"/>
            <w:vAlign w:val="bottom"/>
          </w:tcPr>
          <w:p>
            <w:pPr>
              <w:spacing w:after="0"/>
              <w:rPr>
                <w:sz w:val="15"/>
                <w:szCs w:val="15"/>
                <w:color w:val="auto"/>
              </w:rPr>
            </w:pPr>
          </w:p>
        </w:tc>
        <w:tc>
          <w:tcPr>
            <w:tcW w:w="1000" w:type="dxa"/>
            <w:vAlign w:val="bottom"/>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5"/>
        </w:trPr>
        <w:tc>
          <w:tcPr>
            <w:tcW w:w="2020" w:type="dxa"/>
            <w:vAlign w:val="bottom"/>
            <w:tcBorders>
              <w:top w:val="single" w:sz="8" w:color="auto"/>
            </w:tcBorders>
          </w:tcPr>
          <w:p>
            <w:pPr>
              <w:ind w:left="640"/>
              <w:spacing w:after="0" w:line="125" w:lineRule="exact"/>
              <w:rPr>
                <w:sz w:val="20"/>
                <w:szCs w:val="20"/>
                <w:color w:val="auto"/>
              </w:rPr>
            </w:pPr>
            <w:r>
              <w:rPr>
                <w:rFonts w:ascii="Arial" w:cs="Arial" w:eastAsia="Arial" w:hAnsi="Arial"/>
                <w:sz w:val="14"/>
                <w:szCs w:val="14"/>
                <w:b w:val="1"/>
                <w:bCs w:val="1"/>
                <w:color w:val="auto"/>
              </w:rPr>
              <w:t>Revenues from</w:t>
            </w: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contracts with customers:</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Commissions, net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98,076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107,163</w:t>
            </w:r>
          </w:p>
        </w:tc>
        <w:tc>
          <w:tcPr>
            <w:tcW w:w="0" w:type="dxa"/>
            <w:vAlign w:val="bottom"/>
          </w:tcPr>
          <w:p>
            <w:pPr>
              <w:spacing w:after="0"/>
              <w:rPr>
                <w:sz w:val="1"/>
                <w:szCs w:val="1"/>
                <w:color w:val="auto"/>
              </w:rPr>
            </w:pPr>
          </w:p>
        </w:tc>
      </w:tr>
      <w:tr>
        <w:trPr>
          <w:trHeight w:val="181"/>
        </w:trPr>
        <w:tc>
          <w:tcPr>
            <w:tcW w:w="2100" w:type="dxa"/>
            <w:vAlign w:val="bottom"/>
            <w:gridSpan w:val="2"/>
          </w:tcPr>
          <w:p>
            <w:pPr>
              <w:ind w:left="760"/>
              <w:spacing w:after="0"/>
              <w:rPr>
                <w:sz w:val="20"/>
                <w:szCs w:val="20"/>
                <w:color w:val="auto"/>
              </w:rPr>
            </w:pPr>
            <w:r>
              <w:rPr>
                <w:rFonts w:ascii="Arial" w:cs="Arial" w:eastAsia="Arial" w:hAnsi="Arial"/>
                <w:sz w:val="14"/>
                <w:szCs w:val="14"/>
                <w:color w:val="auto"/>
              </w:rPr>
              <w:t>Workflow technology</w:t>
            </w:r>
          </w:p>
        </w:tc>
        <w:tc>
          <w:tcPr>
            <w:tcW w:w="7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25,850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25,850</w:t>
            </w: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Analytics</w:t>
            </w:r>
          </w:p>
        </w:tc>
        <w:tc>
          <w:tcPr>
            <w:tcW w:w="7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10,102</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10,102</w:t>
            </w:r>
          </w:p>
        </w:tc>
        <w:tc>
          <w:tcPr>
            <w:tcW w:w="0" w:type="dxa"/>
            <w:vAlign w:val="bottom"/>
          </w:tcPr>
          <w:p>
            <w:pPr>
              <w:spacing w:after="0"/>
              <w:rPr>
                <w:sz w:val="1"/>
                <w:szCs w:val="1"/>
                <w:color w:val="auto"/>
              </w:rPr>
            </w:pPr>
          </w:p>
        </w:tc>
      </w:tr>
      <w:tr>
        <w:trPr>
          <w:trHeight w:val="111"/>
        </w:trPr>
        <w:tc>
          <w:tcPr>
            <w:tcW w:w="2100" w:type="dxa"/>
            <w:vAlign w:val="bottom"/>
            <w:gridSpan w:val="2"/>
          </w:tcPr>
          <w:p>
            <w:pPr>
              <w:ind w:left="840"/>
              <w:spacing w:after="0" w:line="111" w:lineRule="exact"/>
              <w:rPr>
                <w:sz w:val="20"/>
                <w:szCs w:val="20"/>
                <w:color w:val="auto"/>
              </w:rPr>
            </w:pPr>
            <w:r>
              <w:rPr>
                <w:rFonts w:ascii="Arial" w:cs="Arial" w:eastAsia="Arial" w:hAnsi="Arial"/>
                <w:sz w:val="12"/>
                <w:szCs w:val="12"/>
                <w:color w:val="auto"/>
              </w:rPr>
              <w:t>Total revenue from</w:t>
            </w:r>
          </w:p>
        </w:tc>
        <w:tc>
          <w:tcPr>
            <w:tcW w:w="76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9,087</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134,028</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143,115</w:t>
            </w:r>
          </w:p>
        </w:tc>
        <w:tc>
          <w:tcPr>
            <w:tcW w:w="0" w:type="dxa"/>
            <w:vAlign w:val="bottom"/>
          </w:tcPr>
          <w:p>
            <w:pPr>
              <w:spacing w:after="0"/>
              <w:rPr>
                <w:sz w:val="1"/>
                <w:szCs w:val="1"/>
                <w:color w:val="auto"/>
              </w:rPr>
            </w:pPr>
          </w:p>
        </w:tc>
      </w:tr>
      <w:tr>
        <w:trPr>
          <w:trHeight w:val="181"/>
        </w:trPr>
        <w:tc>
          <w:tcPr>
            <w:tcW w:w="2100" w:type="dxa"/>
            <w:vAlign w:val="bottom"/>
            <w:gridSpan w:val="2"/>
          </w:tcPr>
          <w:p>
            <w:pPr>
              <w:ind w:left="200"/>
              <w:spacing w:after="0"/>
              <w:rPr>
                <w:sz w:val="20"/>
                <w:szCs w:val="20"/>
                <w:color w:val="auto"/>
              </w:rPr>
            </w:pPr>
            <w:r>
              <w:rPr>
                <w:rFonts w:ascii="Arial" w:cs="Arial" w:eastAsia="Arial" w:hAnsi="Arial"/>
                <w:sz w:val="14"/>
                <w:szCs w:val="14"/>
                <w:color w:val="auto"/>
              </w:rPr>
              <w:t>contracts with customers</w:t>
            </w:r>
          </w:p>
        </w:tc>
        <w:tc>
          <w:tcPr>
            <w:tcW w:w="7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100" w:type="dxa"/>
            <w:vAlign w:val="bottom"/>
            <w:gridSpan w:val="2"/>
          </w:tcPr>
          <w:p>
            <w:pPr>
              <w:ind w:left="840"/>
              <w:spacing w:after="0" w:line="131" w:lineRule="exact"/>
              <w:rPr>
                <w:sz w:val="20"/>
                <w:szCs w:val="20"/>
                <w:color w:val="auto"/>
              </w:rPr>
            </w:pPr>
            <w:r>
              <w:rPr>
                <w:rFonts w:ascii="Arial" w:cs="Arial" w:eastAsia="Arial" w:hAnsi="Arial"/>
                <w:sz w:val="14"/>
                <w:szCs w:val="14"/>
                <w:color w:val="auto"/>
              </w:rPr>
              <w:t>Other sources of</w:t>
            </w:r>
          </w:p>
        </w:tc>
        <w:tc>
          <w:tcPr>
            <w:tcW w:w="76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393,454</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4,102</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8,294</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405,850</w:t>
            </w:r>
          </w:p>
        </w:tc>
        <w:tc>
          <w:tcPr>
            <w:tcW w:w="0" w:type="dxa"/>
            <w:vAlign w:val="bottom"/>
          </w:tcPr>
          <w:p>
            <w:pPr>
              <w:spacing w:after="0"/>
              <w:rPr>
                <w:sz w:val="1"/>
                <w:szCs w:val="1"/>
                <w:color w:val="auto"/>
              </w:rPr>
            </w:pPr>
          </w:p>
        </w:tc>
      </w:tr>
      <w:tr>
        <w:trPr>
          <w:trHeight w:val="181"/>
        </w:trPr>
        <w:tc>
          <w:tcPr>
            <w:tcW w:w="2100" w:type="dxa"/>
            <w:vAlign w:val="bottom"/>
            <w:gridSpan w:val="2"/>
          </w:tcPr>
          <w:p>
            <w:pPr>
              <w:ind w:left="200"/>
              <w:spacing w:after="0"/>
              <w:rPr>
                <w:sz w:val="20"/>
                <w:szCs w:val="20"/>
                <w:color w:val="auto"/>
              </w:rPr>
            </w:pPr>
            <w:r>
              <w:rPr>
                <w:rFonts w:ascii="Arial" w:cs="Arial" w:eastAsia="Arial" w:hAnsi="Arial"/>
                <w:sz w:val="14"/>
                <w:szCs w:val="14"/>
                <w:color w:val="auto"/>
              </w:rPr>
              <w:t>revenue</w:t>
            </w:r>
          </w:p>
        </w:tc>
        <w:tc>
          <w:tcPr>
            <w:tcW w:w="7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100" w:type="dxa"/>
            <w:vAlign w:val="bottom"/>
            <w:gridSpan w:val="2"/>
          </w:tcPr>
          <w:p>
            <w:pPr>
              <w:ind w:left="840"/>
              <w:spacing w:after="0"/>
              <w:rPr>
                <w:sz w:val="20"/>
                <w:szCs w:val="20"/>
                <w:color w:val="auto"/>
              </w:rPr>
            </w:pPr>
            <w:r>
              <w:rPr>
                <w:rFonts w:ascii="Arial" w:cs="Arial" w:eastAsia="Arial" w:hAnsi="Arial"/>
                <w:sz w:val="14"/>
                <w:szCs w:val="14"/>
                <w:color w:val="auto"/>
              </w:rPr>
              <w:t>Total revenues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402,541</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138,130</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8,294</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548,965</w:t>
            </w:r>
          </w:p>
        </w:tc>
        <w:tc>
          <w:tcPr>
            <w:tcW w:w="0" w:type="dxa"/>
            <w:vAlign w:val="bottom"/>
          </w:tcPr>
          <w:p>
            <w:pPr>
              <w:spacing w:after="0"/>
              <w:rPr>
                <w:sz w:val="1"/>
                <w:szCs w:val="1"/>
                <w:color w:val="auto"/>
              </w:rPr>
            </w:pPr>
          </w:p>
        </w:tc>
      </w:tr>
      <w:tr>
        <w:trPr>
          <w:trHeight w:val="20"/>
        </w:trPr>
        <w:tc>
          <w:tcPr>
            <w:tcW w:w="2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100" w:type="dxa"/>
            <w:vAlign w:val="bottom"/>
            <w:gridSpan w:val="2"/>
          </w:tcPr>
          <w:p>
            <w:pPr>
              <w:ind w:left="640"/>
              <w:spacing w:after="0" w:line="131" w:lineRule="exact"/>
              <w:rPr>
                <w:sz w:val="20"/>
                <w:szCs w:val="20"/>
                <w:color w:val="auto"/>
              </w:rPr>
            </w:pPr>
            <w:r>
              <w:rPr>
                <w:rFonts w:ascii="Arial" w:cs="Arial" w:eastAsia="Arial" w:hAnsi="Arial"/>
                <w:sz w:val="14"/>
                <w:szCs w:val="14"/>
                <w:b w:val="1"/>
                <w:bCs w:val="1"/>
                <w:color w:val="auto"/>
              </w:rPr>
              <w:t>Timing of revenue</w:t>
            </w: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recognition:</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100" w:type="dxa"/>
            <w:vAlign w:val="bottom"/>
            <w:gridSpan w:val="2"/>
            <w:shd w:val="clear" w:color="auto" w:fill="CCEEFF"/>
          </w:tcPr>
          <w:p>
            <w:pPr>
              <w:ind w:left="760"/>
              <w:spacing w:after="0" w:line="131" w:lineRule="exact"/>
              <w:rPr>
                <w:sz w:val="20"/>
                <w:szCs w:val="20"/>
                <w:color w:val="auto"/>
              </w:rPr>
            </w:pPr>
            <w:r>
              <w:rPr>
                <w:rFonts w:ascii="Arial" w:cs="Arial" w:eastAsia="Arial" w:hAnsi="Arial"/>
                <w:sz w:val="14"/>
                <w:szCs w:val="14"/>
                <w:color w:val="auto"/>
              </w:rPr>
              <w:t>Services transferred</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402,541</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119,821</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8,294</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530,656</w:t>
            </w:r>
          </w:p>
        </w:tc>
        <w:tc>
          <w:tcPr>
            <w:tcW w:w="0" w:type="dxa"/>
            <w:vAlign w:val="bottom"/>
          </w:tcPr>
          <w:p>
            <w:pPr>
              <w:spacing w:after="0"/>
              <w:rPr>
                <w:sz w:val="1"/>
                <w:szCs w:val="1"/>
                <w:color w:val="auto"/>
              </w:rPr>
            </w:pPr>
          </w:p>
        </w:tc>
      </w:tr>
      <w:tr>
        <w:trPr>
          <w:trHeight w:val="183"/>
        </w:trPr>
        <w:tc>
          <w:tcPr>
            <w:tcW w:w="2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at a point in time</w:t>
            </w:r>
          </w:p>
        </w:tc>
        <w:tc>
          <w:tcPr>
            <w:tcW w:w="76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100" w:type="dxa"/>
            <w:vAlign w:val="bottom"/>
            <w:gridSpan w:val="2"/>
          </w:tcPr>
          <w:p>
            <w:pPr>
              <w:ind w:left="760"/>
              <w:spacing w:after="0" w:line="131" w:lineRule="exact"/>
              <w:rPr>
                <w:sz w:val="20"/>
                <w:szCs w:val="20"/>
                <w:color w:val="auto"/>
              </w:rPr>
            </w:pPr>
            <w:r>
              <w:rPr>
                <w:rFonts w:ascii="Arial" w:cs="Arial" w:eastAsia="Arial" w:hAnsi="Arial"/>
                <w:sz w:val="14"/>
                <w:szCs w:val="14"/>
                <w:color w:val="auto"/>
              </w:rPr>
              <w:t>Services transferred</w:t>
            </w:r>
          </w:p>
        </w:tc>
        <w:tc>
          <w:tcPr>
            <w:tcW w:w="76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18,309</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18,309</w:t>
            </w:r>
          </w:p>
        </w:tc>
        <w:tc>
          <w:tcPr>
            <w:tcW w:w="0" w:type="dxa"/>
            <w:vAlign w:val="bottom"/>
          </w:tcPr>
          <w:p>
            <w:pPr>
              <w:spacing w:after="0"/>
              <w:rPr>
                <w:sz w:val="1"/>
                <w:szCs w:val="1"/>
                <w:color w:val="auto"/>
              </w:rPr>
            </w:pPr>
          </w:p>
        </w:tc>
      </w:tr>
      <w:tr>
        <w:trPr>
          <w:trHeight w:val="181"/>
        </w:trPr>
        <w:tc>
          <w:tcPr>
            <w:tcW w:w="2100" w:type="dxa"/>
            <w:vAlign w:val="bottom"/>
            <w:gridSpan w:val="2"/>
          </w:tcPr>
          <w:p>
            <w:pPr>
              <w:ind w:left="120"/>
              <w:spacing w:after="0"/>
              <w:rPr>
                <w:sz w:val="20"/>
                <w:szCs w:val="20"/>
                <w:color w:val="auto"/>
              </w:rPr>
            </w:pPr>
            <w:r>
              <w:rPr>
                <w:rFonts w:ascii="Arial" w:cs="Arial" w:eastAsia="Arial" w:hAnsi="Arial"/>
                <w:sz w:val="14"/>
                <w:szCs w:val="14"/>
                <w:color w:val="auto"/>
              </w:rPr>
              <w:t>over time</w:t>
            </w:r>
          </w:p>
        </w:tc>
        <w:tc>
          <w:tcPr>
            <w:tcW w:w="7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100" w:type="dxa"/>
            <w:vAlign w:val="bottom"/>
            <w:tcBorders>
              <w:top w:val="single" w:sz="8" w:color="CCEEFF"/>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Total revenues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402,541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548,965</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20320</wp:posOffset>
            </wp:positionV>
            <wp:extent cx="2545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Revenues from contracts with customers:</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Commissions, net</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Workflow technology</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Analytics</w:t>
      </w:r>
    </w:p>
    <w:p>
      <w:pPr>
        <w:spacing w:after="0" w:line="35" w:lineRule="exact"/>
        <w:rPr>
          <w:sz w:val="20"/>
          <w:szCs w:val="20"/>
          <w:color w:val="auto"/>
        </w:rPr>
      </w:pPr>
    </w:p>
    <w:p>
      <w:pPr>
        <w:jc w:val="right"/>
        <w:ind w:right="700"/>
        <w:spacing w:after="0"/>
        <w:rPr>
          <w:sz w:val="20"/>
          <w:szCs w:val="20"/>
          <w:color w:val="auto"/>
        </w:rPr>
      </w:pPr>
      <w:r>
        <w:rPr>
          <w:rFonts w:ascii="Arial" w:cs="Arial" w:eastAsia="Arial" w:hAnsi="Arial"/>
          <w:sz w:val="14"/>
          <w:szCs w:val="14"/>
          <w:color w:val="auto"/>
        </w:rPr>
        <w:t>Total revenue from contracts with customers</w:t>
      </w:r>
    </w:p>
    <w:p>
      <w:pPr>
        <w:spacing w:after="0" w:line="28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Other sources of revenue</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Total revenues</w:t>
      </w:r>
    </w:p>
    <w:p>
      <w:pPr>
        <w:spacing w:after="0" w:line="28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Timing of revenue recognition:</w:t>
      </w:r>
    </w:p>
    <w:p>
      <w:pPr>
        <w:spacing w:after="0" w:line="26"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Services transferred at a point in time</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Services transferred over time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Total revenues</w:t>
      </w:r>
    </w:p>
    <w:p>
      <w:pPr>
        <w:spacing w:after="0" w:line="200" w:lineRule="exact"/>
        <w:rPr>
          <w:sz w:val="20"/>
          <w:szCs w:val="20"/>
          <w:color w:val="auto"/>
        </w:rPr>
      </w:pPr>
    </w:p>
    <w:p>
      <w:pPr>
        <w:spacing w:after="0" w:line="32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Revenues from contracts with customers:</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Commissions, net</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Workflow technology</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Analytics</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Total revenue from contracts with customers</w:t>
      </w:r>
    </w:p>
    <w:p>
      <w:pPr>
        <w:spacing w:after="0" w:line="29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Other sources of revenue</w:t>
      </w:r>
    </w:p>
    <w:p>
      <w:pPr>
        <w:spacing w:after="0" w:line="3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Total revenues</w:t>
      </w:r>
    </w:p>
    <w:p>
      <w:pPr>
        <w:spacing w:after="0" w:line="28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Timing of revenue recognition:</w:t>
      </w:r>
    </w:p>
    <w:p>
      <w:pPr>
        <w:spacing w:after="0" w:line="26"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Services transferred at a point in time</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Services transferred over time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Total revenues</w:t>
      </w:r>
    </w:p>
    <w:p>
      <w:pPr>
        <w:spacing w:after="0" w:line="35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Revenues from contracts with customers:</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Commissions, net</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Workflow technology</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Analytics</w:t>
      </w:r>
    </w:p>
    <w:p>
      <w:pPr>
        <w:spacing w:after="0" w:line="35" w:lineRule="exact"/>
        <w:rPr>
          <w:sz w:val="20"/>
          <w:szCs w:val="20"/>
          <w:color w:val="auto"/>
        </w:rPr>
      </w:pPr>
    </w:p>
    <w:p>
      <w:pPr>
        <w:jc w:val="right"/>
        <w:ind w:right="700"/>
        <w:spacing w:after="0"/>
        <w:rPr>
          <w:sz w:val="20"/>
          <w:szCs w:val="20"/>
          <w:color w:val="auto"/>
        </w:rPr>
      </w:pPr>
      <w:r>
        <w:rPr>
          <w:rFonts w:ascii="Arial" w:cs="Arial" w:eastAsia="Arial" w:hAnsi="Arial"/>
          <w:sz w:val="13"/>
          <w:szCs w:val="13"/>
          <w:color w:val="auto"/>
        </w:rPr>
        <w:t>Total revenue from contracts with customers</w:t>
      </w:r>
    </w:p>
    <w:p>
      <w:pPr>
        <w:spacing w:after="0" w:line="29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Other sources of revenue</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Total revenues</w:t>
      </w:r>
    </w:p>
    <w:p>
      <w:pPr>
        <w:spacing w:after="0" w:line="28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Timing of revenue recognition:</w:t>
      </w:r>
    </w:p>
    <w:p>
      <w:pPr>
        <w:spacing w:after="0" w:line="26"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Services transferred at a point in time</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Services transferred over time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Three Months Ended June 30, 2020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Market Making</w:t>
            </w:r>
          </w:p>
        </w:tc>
        <w:tc>
          <w:tcPr>
            <w:tcW w:w="120" w:type="dxa"/>
            <w:vAlign w:val="bottom"/>
            <w:tcBorders>
              <w:top w:val="single" w:sz="8" w:color="auto"/>
            </w:tcBorders>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85"/>
              </w:rPr>
              <w:t>Execution Services</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Total</w:t>
            </w:r>
          </w:p>
        </w:tc>
      </w:tr>
      <w:tr>
        <w:trPr>
          <w:trHeight w:val="350"/>
        </w:trPr>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(634)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111,337</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110,703</w:t>
            </w:r>
          </w:p>
        </w:tc>
      </w:tr>
      <w:tr>
        <w:trPr>
          <w:trHeight w:val="18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26,589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26,589</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10,444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10,444</w:t>
            </w:r>
          </w:p>
        </w:tc>
      </w:tr>
      <w:tr>
        <w:trPr>
          <w:trHeight w:val="177"/>
        </w:trPr>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148,370</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147,736</w:t>
            </w:r>
          </w:p>
        </w:tc>
      </w:tr>
      <w:tr>
        <w:trPr>
          <w:trHeight w:val="44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759,751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(1,290)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758,167</w:t>
            </w:r>
          </w:p>
        </w:tc>
      </w:tr>
      <w:tr>
        <w:trPr>
          <w:trHeight w:val="272"/>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080" w:type="dxa"/>
            <w:vAlign w:val="bottom"/>
          </w:tcPr>
          <w:p>
            <w:pPr>
              <w:spacing w:after="0"/>
              <w:rPr>
                <w:sz w:val="23"/>
                <w:szCs w:val="23"/>
                <w:color w:val="auto"/>
              </w:rPr>
            </w:pPr>
          </w:p>
        </w:tc>
      </w:tr>
      <w:tr>
        <w:trPr>
          <w:trHeight w:val="174"/>
        </w:trPr>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759,117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148,076</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905,903</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5"/>
        </w:trPr>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759,117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129,360</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(1,290)</w:t>
            </w:r>
          </w:p>
        </w:tc>
        <w:tc>
          <w:tcPr>
            <w:tcW w:w="20" w:type="dxa"/>
            <w:vAlign w:val="bottom"/>
          </w:tcPr>
          <w:p>
            <w:pPr>
              <w:spacing w:after="0"/>
              <w:rPr>
                <w:sz w:val="24"/>
                <w:szCs w:val="24"/>
                <w:color w:val="auto"/>
              </w:rPr>
            </w:pPr>
          </w:p>
        </w:tc>
        <w:tc>
          <w:tcPr>
            <w:tcW w:w="42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887,187</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18,716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18,716</w:t>
            </w:r>
          </w:p>
        </w:tc>
      </w:tr>
      <w:tr>
        <w:trPr>
          <w:trHeight w:val="179"/>
        </w:trPr>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759,117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148,076</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905,903</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59"/>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Six Months Ended June 30, 2021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81"/>
        </w:trPr>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Market Making</w:t>
            </w:r>
          </w:p>
        </w:tc>
        <w:tc>
          <w:tcPr>
            <w:tcW w:w="12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85"/>
              </w:rPr>
              <w:t>Execution Services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Total</w:t>
            </w:r>
          </w:p>
        </w:tc>
      </w:tr>
      <w:tr>
        <w:trPr>
          <w:trHeight w:val="350"/>
        </w:trPr>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23,217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238,524</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261,741</w:t>
            </w:r>
          </w:p>
        </w:tc>
      </w:tr>
      <w:tr>
        <w:trPr>
          <w:trHeight w:val="18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52,424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52,424</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20,599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20,599</w:t>
            </w:r>
          </w:p>
        </w:tc>
      </w:tr>
      <w:tr>
        <w:trPr>
          <w:trHeight w:val="177"/>
        </w:trPr>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23,217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311,547</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334,764</w:t>
            </w:r>
          </w:p>
        </w:tc>
      </w:tr>
      <w:tr>
        <w:trPr>
          <w:trHeight w:val="44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1,203,048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15,822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7,903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1,226,773</w:t>
            </w:r>
          </w:p>
        </w:tc>
      </w:tr>
      <w:tr>
        <w:trPr>
          <w:trHeight w:val="272"/>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gridSpan w:val="3"/>
          </w:tcPr>
          <w:p>
            <w:pPr>
              <w:spacing w:after="0"/>
              <w:rPr>
                <w:sz w:val="23"/>
                <w:szCs w:val="23"/>
                <w:color w:val="auto"/>
              </w:rPr>
            </w:pPr>
          </w:p>
        </w:tc>
        <w:tc>
          <w:tcPr>
            <w:tcW w:w="1080" w:type="dxa"/>
            <w:vAlign w:val="bottom"/>
          </w:tcPr>
          <w:p>
            <w:pPr>
              <w:spacing w:after="0"/>
              <w:rPr>
                <w:sz w:val="23"/>
                <w:szCs w:val="23"/>
                <w:color w:val="auto"/>
              </w:rPr>
            </w:pPr>
          </w:p>
        </w:tc>
      </w:tr>
      <w:tr>
        <w:trPr>
          <w:trHeight w:val="174"/>
        </w:trPr>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1,226,265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327,369</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1,561,537</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5"/>
        </w:trPr>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1,226,265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290,359</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7,903</w:t>
            </w:r>
          </w:p>
        </w:tc>
        <w:tc>
          <w:tcPr>
            <w:tcW w:w="20" w:type="dxa"/>
            <w:vAlign w:val="bottom"/>
          </w:tcPr>
          <w:p>
            <w:pPr>
              <w:spacing w:after="0"/>
              <w:rPr>
                <w:sz w:val="24"/>
                <w:szCs w:val="24"/>
                <w:color w:val="auto"/>
              </w:rPr>
            </w:pPr>
          </w:p>
        </w:tc>
        <w:tc>
          <w:tcPr>
            <w:tcW w:w="42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1,524,527</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37,010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37,010</w:t>
            </w:r>
          </w:p>
        </w:tc>
      </w:tr>
      <w:tr>
        <w:trPr>
          <w:trHeight w:val="179"/>
        </w:trPr>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1,226,265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327,369</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1,561,537</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Six Months Ended June 30, 2020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85"/>
              </w:rPr>
              <w:t>Execution Services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Total</w:t>
            </w:r>
          </w:p>
        </w:tc>
      </w:tr>
      <w:tr>
        <w:trPr>
          <w:trHeight w:val="350"/>
        </w:trPr>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242,363</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242,499</w:t>
            </w:r>
          </w:p>
        </w:tc>
      </w:tr>
      <w:tr>
        <w:trPr>
          <w:trHeight w:val="18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55,332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55,332</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20,650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20,650</w:t>
            </w:r>
          </w:p>
        </w:tc>
      </w:tr>
      <w:tr>
        <w:trPr>
          <w:trHeight w:val="177"/>
        </w:trPr>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318,345</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318,481</w:t>
            </w:r>
          </w:p>
        </w:tc>
      </w:tr>
      <w:tr>
        <w:trPr>
          <w:trHeight w:val="44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1,589,567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1,588,043</w:t>
            </w:r>
          </w:p>
        </w:tc>
      </w:tr>
      <w:tr>
        <w:trPr>
          <w:trHeight w:val="272"/>
        </w:trPr>
        <w:tc>
          <w:tcPr>
            <w:tcW w:w="140" w:type="dxa"/>
            <w:vAlign w:val="bottom"/>
            <w:gridSpan w:val="2"/>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gridSpan w:val="3"/>
          </w:tcPr>
          <w:p>
            <w:pPr>
              <w:spacing w:after="0"/>
              <w:rPr>
                <w:sz w:val="23"/>
                <w:szCs w:val="23"/>
                <w:color w:val="auto"/>
              </w:rPr>
            </w:pPr>
          </w:p>
        </w:tc>
        <w:tc>
          <w:tcPr>
            <w:tcW w:w="1080" w:type="dxa"/>
            <w:vAlign w:val="bottom"/>
          </w:tcPr>
          <w:p>
            <w:pPr>
              <w:spacing w:after="0"/>
              <w:rPr>
                <w:sz w:val="23"/>
                <w:szCs w:val="23"/>
                <w:color w:val="auto"/>
              </w:rPr>
            </w:pPr>
          </w:p>
        </w:tc>
      </w:tr>
      <w:tr>
        <w:trPr>
          <w:trHeight w:val="174"/>
        </w:trPr>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1,589,703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317,941</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1,906,524</w:t>
            </w:r>
          </w:p>
        </w:tc>
      </w:tr>
      <w:tr>
        <w:trPr>
          <w:trHeight w:val="22"/>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5"/>
        </w:trPr>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1,589,703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280,665</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(1,120)</w:t>
            </w:r>
          </w:p>
        </w:tc>
        <w:tc>
          <w:tcPr>
            <w:tcW w:w="20" w:type="dxa"/>
            <w:vAlign w:val="bottom"/>
          </w:tcPr>
          <w:p>
            <w:pPr>
              <w:spacing w:after="0"/>
              <w:rPr>
                <w:sz w:val="24"/>
                <w:szCs w:val="24"/>
                <w:color w:val="auto"/>
              </w:rPr>
            </w:pPr>
          </w:p>
        </w:tc>
        <w:tc>
          <w:tcPr>
            <w:tcW w:w="42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1,869,248</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37,276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37,276</w:t>
            </w:r>
          </w:p>
        </w:tc>
      </w:tr>
      <w:tr>
        <w:trPr>
          <w:trHeight w:val="179"/>
        </w:trPr>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1,589,703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317,941</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1,906,524</w:t>
            </w:r>
          </w:p>
        </w:tc>
      </w:tr>
      <w:tr>
        <w:trPr>
          <w:trHeight w:val="22"/>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-6203950</wp:posOffset>
            </wp:positionV>
            <wp:extent cx="6279515" cy="116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-5971540</wp:posOffset>
            </wp:positionV>
            <wp:extent cx="6279515" cy="116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-5730240</wp:posOffset>
            </wp:positionV>
            <wp:extent cx="6279515" cy="166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79515" cy="16637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-5447030</wp:posOffset>
            </wp:positionV>
            <wp:extent cx="6279515" cy="166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79515" cy="16637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-5139690</wp:posOffset>
            </wp:positionV>
            <wp:extent cx="6279515" cy="166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79515" cy="16637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-4856480</wp:posOffset>
            </wp:positionV>
            <wp:extent cx="6279515" cy="1162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-4624070</wp:posOffset>
            </wp:positionV>
            <wp:extent cx="6279515" cy="141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79515" cy="1416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-3800475</wp:posOffset>
            </wp:positionV>
            <wp:extent cx="6279515" cy="1162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-3567430</wp:posOffset>
            </wp:positionV>
            <wp:extent cx="6279515" cy="124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79515" cy="12446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-3276600</wp:posOffset>
            </wp:positionV>
            <wp:extent cx="6279515" cy="116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-2993390</wp:posOffset>
            </wp:positionV>
            <wp:extent cx="6279515" cy="141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79515" cy="1416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-2686050</wp:posOffset>
            </wp:positionV>
            <wp:extent cx="6279515" cy="1162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-2453005</wp:posOffset>
            </wp:positionV>
            <wp:extent cx="6279515" cy="1162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-4041775</wp:posOffset>
            </wp:positionV>
            <wp:extent cx="6279515" cy="1244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79515" cy="12446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-1621155</wp:posOffset>
            </wp:positionV>
            <wp:extent cx="6279515" cy="116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-1388110</wp:posOffset>
            </wp:positionV>
            <wp:extent cx="6279515" cy="1244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79515" cy="12446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-1097280</wp:posOffset>
            </wp:positionV>
            <wp:extent cx="6279515" cy="1162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-814705</wp:posOffset>
            </wp:positionV>
            <wp:extent cx="6279515" cy="141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79515" cy="1416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-506730</wp:posOffset>
            </wp:positionV>
            <wp:extent cx="6279515" cy="1162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-273685</wp:posOffset>
            </wp:positionV>
            <wp:extent cx="6279515" cy="1162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-1862455</wp:posOffset>
            </wp:positionV>
            <wp:extent cx="6279515" cy="1244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79515"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70485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2">
            <w:col w:w="4080" w:space="720"/>
            <w:col w:w="5780"/>
          </w:cols>
          <w:pgMar w:left="320" w:top="127" w:right="99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Obligations and Revenue Recognized from Past Performance Obligations</w:t>
      </w:r>
    </w:p>
    <w:p>
      <w:pPr>
        <w:spacing w:after="0" w:line="250"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As of June 30, 2021 and 2020, the aggregate amount of the transaction price allocated to the performance obligations relating to workflow technology and analytics revenues that are unsatisfied (or partially unsatisfied) was not material.</w:t>
      </w:r>
    </w:p>
    <w:p>
      <w:pPr>
        <w:spacing w:after="0" w:line="184"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The Company recognized $0.6 million and $0.7 million of revenue related to performance obligations satisfied in previous period for the three months ended June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Contract Liabilities</w:t>
      </w:r>
    </w:p>
    <w:p>
      <w:pPr>
        <w:spacing w:after="0" w:line="250"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97" w:lineRule="exact"/>
        <w:rPr>
          <w:sz w:val="20"/>
          <w:szCs w:val="20"/>
          <w:color w:val="auto"/>
        </w:rPr>
      </w:pPr>
    </w:p>
    <w:p>
      <w:pPr>
        <w:ind w:right="320" w:firstLine="629"/>
        <w:spacing w:after="0" w:line="322" w:lineRule="auto"/>
        <w:rPr>
          <w:sz w:val="20"/>
          <w:szCs w:val="20"/>
          <w:color w:val="auto"/>
        </w:rPr>
      </w:pPr>
      <w:r>
        <w:rPr>
          <w:rFonts w:ascii="Arial" w:cs="Arial" w:eastAsia="Arial" w:hAnsi="Arial"/>
          <w:sz w:val="16"/>
          <w:szCs w:val="16"/>
          <w:color w:val="auto"/>
        </w:rPr>
        <w:t>Receivables related to revenues from contracts with customers amounted to $50.6 million and $57.3 million as of June 30, 2021 and December 31, 2020, respectively. The Company did not identify any contract assets. There were no impairment losses on receivables as of June 30, 2021.</w:t>
      </w:r>
    </w:p>
    <w:p>
      <w:pPr>
        <w:spacing w:after="0" w:line="161" w:lineRule="exact"/>
        <w:rPr>
          <w:sz w:val="20"/>
          <w:szCs w:val="20"/>
          <w:color w:val="auto"/>
        </w:rPr>
      </w:pPr>
    </w:p>
    <w:p>
      <w:pPr>
        <w:ind w:right="80" w:firstLine="629"/>
        <w:spacing w:after="0" w:line="289" w:lineRule="auto"/>
        <w:rPr>
          <w:sz w:val="20"/>
          <w:szCs w:val="20"/>
          <w:color w:val="auto"/>
        </w:rPr>
      </w:pPr>
      <w:r>
        <w:rPr>
          <w:rFonts w:ascii="Arial" w:cs="Arial" w:eastAsia="Arial" w:hAnsi="Arial"/>
          <w:sz w:val="16"/>
          <w:szCs w:val="16"/>
          <w:color w:val="auto"/>
        </w:rPr>
        <w:t>Deferred revenue primarily relates to deferred commissions allocated to analytics products and subscription fees billed in advance of satisfying the performance obligations. Deferred revenue related to contracts with customers was $12.7 million and $9.3 million as of June 30, 2021 and December 31, 2020, respectively. The Company recognized revenue of $7.2 million and $7.6 million for the three months ended June 30, 2021 and 2020 respectively, and $15.2 million and $15.1 million during the six months ended June 30, 2021 and 2020, respectively that had been initially recorded as deferred revenue.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has not identified any costs to obtain or fulfill its contracts under ASC 606.</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256"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and six months ended June 30, 2021 and 2020,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provisions for income taxes and effective tax rates were $26.1 million, 19.3%, and $69.3 million, 17.1% for the three months ended June 30, 2021 and 2020, respectively, and $106.7 million, 17.1% and $147.2 million, 16.9% for the six months ended June 30, 2021 and 2020, respectively. Income tax expense is also affected by the differing effective tax rates in foreign, state and local jurisdictions where certain of the Company’s subsidiaries are subject to corporate taxation.</w:t>
      </w:r>
    </w:p>
    <w:p>
      <w:pPr>
        <w:spacing w:after="0" w:line="212"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Included in Other assets on the Condensed Consolidated Statements of Financial Condition at June 30, 2021 and December 31, 2020 are current income tax receivables of $43.0 million and $83.1 million, respectively. The balances at June 30, 2021 and December 31, 2020 primarily comprised income tax benefits due to the Company from federal, state, local, and foreign tax jurisdictions based on income before taxes. Included in Accounts payable, accrued expenses and other liabilities on the Condensed Consolidated Statements of Financial Condition at June 30, 2021 and December 31, 2020 are current tax liabilities of $17.6 million and $37.9 million, respectively. The balances at June 30, 2021 and December 31, 2020 primarily comprise income taxes owed to federal, state and local, and foreign tax jurisdictions based on income before taxes.</w:t>
      </w:r>
    </w:p>
    <w:p>
      <w:pPr>
        <w:spacing w:after="0" w:line="208" w:lineRule="exact"/>
        <w:rPr>
          <w:sz w:val="20"/>
          <w:szCs w:val="20"/>
          <w:color w:val="auto"/>
        </w:rPr>
      </w:pPr>
    </w:p>
    <w:p>
      <w:pPr>
        <w:ind w:right="140" w:firstLine="629"/>
        <w:spacing w:after="0" w:line="325" w:lineRule="auto"/>
        <w:rPr>
          <w:sz w:val="20"/>
          <w:szCs w:val="20"/>
          <w:color w:val="auto"/>
        </w:rPr>
      </w:pPr>
      <w:r>
        <w:rPr>
          <w:rFonts w:ascii="Arial" w:cs="Arial" w:eastAsia="Arial" w:hAnsi="Arial"/>
          <w:sz w:val="15"/>
          <w:szCs w:val="15"/>
          <w:color w:val="auto"/>
        </w:rPr>
        <w:t>Deferred income taxes arise primarily due to the amortization of the deferred tax assets recognized in connection with the IPO (see Note 4 "Tax Receivable Agreements"), the Acquisition of KCG and the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80" w:firstLine="629"/>
        <w:spacing w:after="0" w:line="281" w:lineRule="auto"/>
        <w:rPr>
          <w:sz w:val="20"/>
          <w:szCs w:val="20"/>
          <w:color w:val="auto"/>
        </w:rPr>
      </w:pPr>
      <w:r>
        <w:rPr>
          <w:rFonts w:ascii="Arial" w:cs="Arial" w:eastAsia="Arial" w:hAnsi="Arial"/>
          <w:sz w:val="16"/>
          <w:szCs w:val="16"/>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June 30, 2021 and December 31, 2020, the Company did not have any U.S. federal net operating loss carryforwards and therefore the Company did not record a deferred tax asset related to federal net operating loss carryforwards. At June 30, 2021 and December 31, 2020, the Company recorded deferred income taxes related to state and local net operating losses of $0.4 million. These net operating losses will begin to expire in 2039. The Company did not record a valuation allowance against this deferred tax asset.</w:t>
      </w:r>
    </w:p>
    <w:p>
      <w:pPr>
        <w:spacing w:after="0" w:line="195"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As a result of the ITG Acquisition, the Company had non-U.S. net operating losses at June 30, 2021 and December 31, 2020 of $74.0 million and $75.1 million, respectively, and recorded a related deferred tax asset of $14.9 million and $15.2 million, respectively. A valuation allowance of $14.8 million and $15.1 million was recorded against this deferred tax asset at June 30, 2021 and December 31, 2020, respectively, as it is more likely than not that a portion of this deferred tax asset will not be realized. As a result of the Acquisition of KCG, the Company had non-U.S. net operating losses at June 30, 2021 and December 31, 2020 of $239.3 million and $239.0 million, respectively, and recorded a related deferred tax asset of $44.9 million and $44.9 million, respectively. A full valuation allowance was also recorded against this deferred tax asset at June 30, 2021 and December 31, 2020 as it is more likely than not that this deferred tax asset will not be realized.</w:t>
      </w:r>
    </w:p>
    <w:p>
      <w:pPr>
        <w:spacing w:after="0" w:line="209"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No valuation allowance against the remaining deferred taxes was recorded as of June 30, 2021 and December 31, 2020 because it is more likely than not that these deferred tax assets will be fully realized.</w:t>
      </w:r>
    </w:p>
    <w:p>
      <w:pPr>
        <w:spacing w:after="0" w:line="184" w:lineRule="exact"/>
        <w:rPr>
          <w:sz w:val="20"/>
          <w:szCs w:val="20"/>
          <w:color w:val="auto"/>
        </w:rPr>
      </w:pPr>
    </w:p>
    <w:p>
      <w:pPr>
        <w:ind w:right="60" w:firstLine="629"/>
        <w:spacing w:after="0" w:line="308" w:lineRule="auto"/>
        <w:rPr>
          <w:sz w:val="20"/>
          <w:szCs w:val="20"/>
          <w:color w:val="auto"/>
        </w:rPr>
      </w:pPr>
      <w:r>
        <w:rPr>
          <w:rFonts w:ascii="Arial" w:cs="Arial" w:eastAsia="Arial" w:hAnsi="Arial"/>
          <w:sz w:val="15"/>
          <w:szCs w:val="15"/>
          <w:color w:val="auto"/>
        </w:rPr>
        <w:t>The Company is subject to taxation in U.S. federal, state, local and foreign jurisdictions. As of June 30, 2021, the Company’s tax years for 2015 through 2019 and 2017 through 2019 were subject to examination by U.S. and non-U.S. tax authorities, respectively. As a result of the ITG Acquisition and the Acquisition of KCG, the Company assumed any ITG and KCG tax exposures. In addition, the Company is subject to state and local income tax examinations in various jurisdictions for the tax years 2013 through 2019. The final outcome of these examinations is not yet determinable. However, the Company anticipates that adjustments related to these examinations, if any, will not result in a material change to its financial condition, results of operations and cash flows.</w:t>
      </w:r>
    </w:p>
    <w:p>
      <w:pPr>
        <w:spacing w:after="0" w:line="177" w:lineRule="exact"/>
        <w:rPr>
          <w:sz w:val="20"/>
          <w:szCs w:val="20"/>
          <w:color w:val="auto"/>
        </w:rPr>
      </w:pPr>
    </w:p>
    <w:p>
      <w:pPr>
        <w:ind w:right="300" w:firstLine="629"/>
        <w:spacing w:after="0" w:line="297" w:lineRule="auto"/>
        <w:rPr>
          <w:sz w:val="20"/>
          <w:szCs w:val="20"/>
          <w:color w:val="auto"/>
        </w:rPr>
      </w:pPr>
      <w:r>
        <w:rPr>
          <w:rFonts w:ascii="Arial" w:cs="Arial" w:eastAsia="Arial" w:hAnsi="Arial"/>
          <w:sz w:val="16"/>
          <w:szCs w:val="16"/>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spacing w:after="0" w:line="181"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The Company had $8.4 million of unrecognized tax benefits as of June 30, 2021, all of which would affect the Company’s effective tax rate if recognized. The Company has determined that there are no uncertain tax positions that would have a material impact on the Company’s financial position as of June 30, 2021.</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Commitments, Contingencies and Guarantees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50"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 xml:space="preserve">On November 30, 2020, the Company was named as a defendant in </w:t>
      </w:r>
      <w:r>
        <w:rPr>
          <w:rFonts w:ascii="Arial" w:cs="Arial" w:eastAsia="Arial" w:hAnsi="Arial"/>
          <w:sz w:val="17"/>
          <w:szCs w:val="17"/>
          <w:i w:val="1"/>
          <w:iCs w:val="1"/>
          <w:color w:val="auto"/>
        </w:rPr>
        <w:t>In re United States Oil Fund, LP Securities Litigation</w:t>
      </w:r>
      <w:r>
        <w:rPr>
          <w:rFonts w:ascii="Arial" w:cs="Arial" w:eastAsia="Arial" w:hAnsi="Arial"/>
          <w:sz w:val="17"/>
          <w:szCs w:val="17"/>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and plaintiffs subsequently filed its opposition to the motion on March 30, 2021. The Company believes that the claims are without merit and is defending itself vigorously.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and Regulatory Matters</w:t>
      </w:r>
    </w:p>
    <w:p>
      <w:pPr>
        <w:spacing w:after="0" w:line="250" w:lineRule="exact"/>
        <w:rPr>
          <w:sz w:val="20"/>
          <w:szCs w:val="20"/>
          <w:color w:val="auto"/>
        </w:rPr>
      </w:pPr>
    </w:p>
    <w:p>
      <w:pPr>
        <w:ind w:right="40" w:firstLine="629"/>
        <w:spacing w:after="0" w:line="276" w:lineRule="auto"/>
        <w:rPr>
          <w:sz w:val="20"/>
          <w:szCs w:val="20"/>
          <w:color w:val="auto"/>
        </w:rPr>
      </w:pPr>
      <w:r>
        <w:rPr>
          <w:rFonts w:ascii="Arial" w:cs="Arial" w:eastAsia="Arial" w:hAnsi="Arial"/>
          <w:sz w:val="16"/>
          <w:szCs w:val="16"/>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an increased focus by Congress, federal and state regulators, SROs and the media on market structure issues, and in particular, the retail trading environment in the U.S. and relationships between retail broker-dealers and market making firms, high frequency trading, best execution, internalization, alternative trading system (“ATS”) manner of operations, market fragmentation and complexity, colocation, cybersecurity, access to market data feeds and remuneration arrangements, such as payment for order flow and other payment and rebate structures and arrangements.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w:t>
      </w:r>
    </w:p>
    <w:p>
      <w:pPr>
        <w:spacing w:after="0" w:line="206"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Representations and Warranties; Indemnification Arrangements</w:t>
      </w:r>
    </w:p>
    <w:p>
      <w:pPr>
        <w:spacing w:after="0" w:line="250"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209"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Leases</w:t>
      </w:r>
    </w:p>
    <w:p>
      <w:pPr>
        <w:spacing w:after="0" w:line="256" w:lineRule="exact"/>
        <w:rPr>
          <w:sz w:val="20"/>
          <w:szCs w:val="20"/>
          <w:color w:val="auto"/>
        </w:rPr>
      </w:pPr>
    </w:p>
    <w:p>
      <w:pPr>
        <w:jc w:val="both"/>
        <w:ind w:right="200" w:firstLine="629"/>
        <w:spacing w:after="0" w:line="273" w:lineRule="auto"/>
        <w:rPr>
          <w:sz w:val="20"/>
          <w:szCs w:val="20"/>
          <w:color w:val="auto"/>
        </w:rPr>
      </w:pPr>
      <w:r>
        <w:rPr>
          <w:rFonts w:ascii="Arial" w:cs="Arial" w:eastAsia="Arial" w:hAnsi="Arial"/>
          <w:sz w:val="17"/>
          <w:szCs w:val="17"/>
          <w:color w:val="auto"/>
        </w:rPr>
        <w:t>The Company primarily enters into lessee arrangements for corporate office space, data centers, and technology equipment. For more information on lease accounting, see Note 2 "Summary of Significant Accounting Policies" and Note 17 "Leases" to the Consolidated Financial Statements of the Company's 2020 Annual Report on Form 10-K.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Lease assets and liabilities are summarized as follows:</w:t>
      </w: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gridSpan w:val="2"/>
          </w:tcPr>
          <w:p>
            <w:pPr>
              <w:ind w:left="1260"/>
              <w:spacing w:after="0"/>
              <w:rPr>
                <w:sz w:val="20"/>
                <w:szCs w:val="20"/>
                <w:color w:val="auto"/>
              </w:rPr>
            </w:pPr>
            <w:r>
              <w:rPr>
                <w:rFonts w:ascii="Arial" w:cs="Arial" w:eastAsia="Arial" w:hAnsi="Arial"/>
                <w:sz w:val="14"/>
                <w:szCs w:val="14"/>
                <w:b w:val="1"/>
                <w:bCs w:val="1"/>
                <w:color w:val="auto"/>
              </w:rPr>
              <w:t>Financial Statement Location</w:t>
            </w:r>
          </w:p>
        </w:tc>
        <w:tc>
          <w:tcPr>
            <w:tcW w:w="280" w:type="dxa"/>
            <w:vAlign w:val="bottom"/>
          </w:tcPr>
          <w:p>
            <w:pPr>
              <w:spacing w:after="0"/>
              <w:rPr>
                <w:sz w:val="16"/>
                <w:szCs w:val="16"/>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6"/>
                <w:szCs w:val="16"/>
                <w:color w:val="auto"/>
              </w:rPr>
            </w:pPr>
          </w:p>
        </w:tc>
        <w:tc>
          <w:tcPr>
            <w:tcW w:w="1640" w:type="dxa"/>
            <w:vAlign w:val="bottom"/>
          </w:tcPr>
          <w:p>
            <w:pPr>
              <w:jc w:val="right"/>
              <w:ind w:right="290"/>
              <w:spacing w:after="0"/>
              <w:rPr>
                <w:sz w:val="20"/>
                <w:szCs w:val="20"/>
                <w:color w:val="auto"/>
              </w:rPr>
            </w:pPr>
            <w:r>
              <w:rPr>
                <w:rFonts w:ascii="Arial" w:cs="Arial" w:eastAsia="Arial" w:hAnsi="Arial"/>
                <w:sz w:val="14"/>
                <w:szCs w:val="14"/>
                <w:b w:val="1"/>
                <w:bCs w:val="1"/>
                <w:color w:val="auto"/>
                <w:w w:val="99"/>
              </w:rPr>
              <w:t>December 31, 2020</w:t>
            </w:r>
          </w:p>
        </w:tc>
      </w:tr>
      <w:tr>
        <w:trPr>
          <w:trHeight w:val="182"/>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120" w:type="dxa"/>
            <w:vAlign w:val="bottom"/>
            <w:tcBorders>
              <w:top w:val="single" w:sz="8" w:color="CCEEFF"/>
            </w:tcBorders>
            <w:shd w:val="clear" w:color="auto" w:fill="CCEEFF"/>
          </w:tcPr>
          <w:p>
            <w:pPr>
              <w:spacing w:after="0"/>
              <w:rPr>
                <w:sz w:val="15"/>
                <w:szCs w:val="15"/>
                <w:color w:val="auto"/>
              </w:rPr>
            </w:pPr>
          </w:p>
        </w:tc>
        <w:tc>
          <w:tcPr>
            <w:tcW w:w="4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r>
      <w:tr>
        <w:trPr>
          <w:trHeight w:val="181"/>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Operating lease right-of-use assets</w:t>
            </w:r>
          </w:p>
        </w:tc>
        <w:tc>
          <w:tcPr>
            <w:tcW w:w="440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240,194</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268,864</w:t>
            </w:r>
          </w:p>
        </w:tc>
      </w:tr>
      <w:tr>
        <w:trPr>
          <w:trHeight w:val="186"/>
        </w:trPr>
        <w:tc>
          <w:tcPr>
            <w:tcW w:w="2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Operating lease liabilities</w:t>
            </w:r>
          </w:p>
        </w:tc>
        <w:tc>
          <w:tcPr>
            <w:tcW w:w="4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liabilities</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286,335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315,340</w:t>
            </w:r>
          </w:p>
        </w:tc>
      </w:tr>
      <w:tr>
        <w:trPr>
          <w:trHeight w:val="262"/>
        </w:trPr>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183"/>
        </w:trPr>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leases</w:t>
            </w:r>
          </w:p>
        </w:tc>
        <w:tc>
          <w:tcPr>
            <w:tcW w:w="4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81"/>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Property and equipment, at cost</w:t>
            </w:r>
          </w:p>
        </w:tc>
        <w:tc>
          <w:tcPr>
            <w:tcW w:w="4400" w:type="dxa"/>
            <w:vAlign w:val="bottom"/>
            <w:gridSpan w:val="2"/>
          </w:tcPr>
          <w:p>
            <w:pPr>
              <w:spacing w:after="0"/>
              <w:rPr>
                <w:sz w:val="20"/>
                <w:szCs w:val="20"/>
                <w:color w:val="auto"/>
              </w:rPr>
            </w:pPr>
            <w:r>
              <w:rPr>
                <w:rFonts w:ascii="Arial" w:cs="Arial" w:eastAsia="Arial" w:hAnsi="Arial"/>
                <w:sz w:val="14"/>
                <w:szCs w:val="14"/>
                <w:color w:val="auto"/>
              </w:rPr>
              <w:t>Property, equipment, and capitalized software, net</w:t>
            </w: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17,415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36,093</w:t>
            </w:r>
          </w:p>
        </w:tc>
      </w:tr>
      <w:tr>
        <w:trPr>
          <w:trHeight w:val="186"/>
        </w:trPr>
        <w:tc>
          <w:tcPr>
            <w:tcW w:w="2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Accumulated depreciation</w:t>
            </w:r>
          </w:p>
        </w:tc>
        <w:tc>
          <w:tcPr>
            <w:tcW w:w="4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equipment, and capitalized software, net</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(24,585)</w:t>
            </w:r>
          </w:p>
        </w:tc>
      </w:tr>
      <w:tr>
        <w:trPr>
          <w:trHeight w:val="178"/>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Finance lease liabilities</w:t>
            </w:r>
          </w:p>
        </w:tc>
        <w:tc>
          <w:tcPr>
            <w:tcW w:w="4400" w:type="dxa"/>
            <w:vAlign w:val="bottom"/>
            <w:gridSpan w:val="2"/>
          </w:tcPr>
          <w:p>
            <w:pPr>
              <w:spacing w:after="0"/>
              <w:rPr>
                <w:sz w:val="20"/>
                <w:szCs w:val="20"/>
                <w:color w:val="auto"/>
              </w:rPr>
            </w:pPr>
            <w:r>
              <w:rPr>
                <w:rFonts w:ascii="Arial" w:cs="Arial" w:eastAsia="Arial" w:hAnsi="Arial"/>
                <w:sz w:val="14"/>
                <w:szCs w:val="14"/>
                <w:color w:val="auto"/>
              </w:rPr>
              <w:t>Accounts payable, accrued expenses, and other liabilities</w:t>
            </w: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8,116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11,687</w:t>
            </w:r>
          </w:p>
        </w:tc>
      </w:tr>
    </w:tbl>
    <w:p>
      <w:pPr>
        <w:spacing w:after="0" w:line="3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Weighted average remaining lease term and discount rate are as follows:</w:t>
      </w:r>
    </w:p>
    <w:p>
      <w:pPr>
        <w:spacing w:after="0" w:line="279" w:lineRule="exact"/>
        <w:rPr>
          <w:sz w:val="20"/>
          <w:szCs w:val="20"/>
          <w:color w:val="auto"/>
        </w:rPr>
      </w:pPr>
    </w:p>
    <w:tbl>
      <w:tblPr>
        <w:tblLayout w:type="fixed"/>
        <w:tblInd w:w="144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2080" w:type="dxa"/>
            <w:vAlign w:val="bottom"/>
            <w:gridSpan w:val="2"/>
          </w:tcPr>
          <w:p>
            <w:pPr>
              <w:ind w:left="580"/>
              <w:spacing w:after="0"/>
              <w:rPr>
                <w:sz w:val="20"/>
                <w:szCs w:val="20"/>
                <w:color w:val="auto"/>
              </w:rPr>
            </w:pPr>
            <w:r>
              <w:rPr>
                <w:rFonts w:ascii="Arial" w:cs="Arial" w:eastAsia="Arial" w:hAnsi="Arial"/>
                <w:sz w:val="14"/>
                <w:szCs w:val="14"/>
                <w:b w:val="1"/>
                <w:bCs w:val="1"/>
                <w:color w:val="auto"/>
              </w:rPr>
              <w:t>June 30, 2021</w:t>
            </w:r>
          </w:p>
        </w:tc>
        <w:tc>
          <w:tcPr>
            <w:tcW w:w="2000" w:type="dxa"/>
            <w:vAlign w:val="bottom"/>
          </w:tcPr>
          <w:p>
            <w:pPr>
              <w:jc w:val="right"/>
              <w:ind w:right="370"/>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1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spacing w:after="0"/>
              <w:rPr>
                <w:sz w:val="14"/>
                <w:szCs w:val="14"/>
                <w:color w:val="auto"/>
              </w:rPr>
            </w:pPr>
          </w:p>
        </w:tc>
      </w:tr>
      <w:tr>
        <w:trPr>
          <w:trHeight w:val="181"/>
        </w:trPr>
        <w:tc>
          <w:tcPr>
            <w:tcW w:w="4300" w:type="dxa"/>
            <w:vAlign w:val="bottom"/>
          </w:tcPr>
          <w:p>
            <w:pPr>
              <w:ind w:left="120"/>
              <w:spacing w:after="0"/>
              <w:rPr>
                <w:sz w:val="20"/>
                <w:szCs w:val="20"/>
                <w:color w:val="auto"/>
              </w:rPr>
            </w:pPr>
            <w:r>
              <w:rPr>
                <w:rFonts w:ascii="Arial" w:cs="Arial" w:eastAsia="Arial" w:hAnsi="Arial"/>
                <w:sz w:val="14"/>
                <w:szCs w:val="14"/>
                <w:color w:val="auto"/>
              </w:rPr>
              <w:t>Operating leases</w:t>
            </w:r>
          </w:p>
        </w:tc>
        <w:tc>
          <w:tcPr>
            <w:tcW w:w="2080" w:type="dxa"/>
            <w:vAlign w:val="bottom"/>
            <w:gridSpan w:val="2"/>
          </w:tcPr>
          <w:p>
            <w:pPr>
              <w:jc w:val="right"/>
              <w:ind w:right="120"/>
              <w:spacing w:after="0"/>
              <w:rPr>
                <w:sz w:val="20"/>
                <w:szCs w:val="20"/>
                <w:color w:val="auto"/>
              </w:rPr>
            </w:pPr>
            <w:r>
              <w:rPr>
                <w:rFonts w:ascii="Arial" w:cs="Arial" w:eastAsia="Arial" w:hAnsi="Arial"/>
                <w:sz w:val="14"/>
                <w:szCs w:val="14"/>
                <w:color w:val="auto"/>
              </w:rPr>
              <w:t>6.65 years</w:t>
            </w:r>
          </w:p>
        </w:tc>
        <w:tc>
          <w:tcPr>
            <w:tcW w:w="2000" w:type="dxa"/>
            <w:vAlign w:val="bottom"/>
          </w:tcPr>
          <w:p>
            <w:pPr>
              <w:jc w:val="right"/>
              <w:spacing w:after="0"/>
              <w:rPr>
                <w:sz w:val="20"/>
                <w:szCs w:val="20"/>
                <w:color w:val="auto"/>
              </w:rPr>
            </w:pPr>
            <w:r>
              <w:rPr>
                <w:rFonts w:ascii="Arial" w:cs="Arial" w:eastAsia="Arial" w:hAnsi="Arial"/>
                <w:sz w:val="14"/>
                <w:szCs w:val="14"/>
                <w:color w:val="auto"/>
              </w:rPr>
              <w:t>6.9 years</w:t>
            </w:r>
          </w:p>
        </w:tc>
      </w:tr>
      <w:tr>
        <w:trPr>
          <w:trHeight w:val="186"/>
        </w:trPr>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Finance leases</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1.73 years</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years</w:t>
            </w:r>
          </w:p>
        </w:tc>
      </w:tr>
      <w:tr>
        <w:trPr>
          <w:trHeight w:val="181"/>
        </w:trPr>
        <w:tc>
          <w:tcPr>
            <w:tcW w:w="430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6"/>
        </w:trPr>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leases</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5.66 %</w:t>
            </w: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5.67 %</w:t>
            </w:r>
          </w:p>
        </w:tc>
      </w:tr>
      <w:tr>
        <w:trPr>
          <w:trHeight w:val="178"/>
        </w:trPr>
        <w:tc>
          <w:tcPr>
            <w:tcW w:w="4300" w:type="dxa"/>
            <w:vAlign w:val="bottom"/>
          </w:tcPr>
          <w:p>
            <w:pPr>
              <w:ind w:left="120"/>
              <w:spacing w:after="0"/>
              <w:rPr>
                <w:sz w:val="20"/>
                <w:szCs w:val="20"/>
                <w:color w:val="auto"/>
              </w:rPr>
            </w:pPr>
            <w:r>
              <w:rPr>
                <w:rFonts w:ascii="Arial" w:cs="Arial" w:eastAsia="Arial" w:hAnsi="Arial"/>
                <w:sz w:val="14"/>
                <w:szCs w:val="14"/>
                <w:color w:val="auto"/>
              </w:rPr>
              <w:t>Finance leases</w:t>
            </w:r>
          </w:p>
        </w:tc>
        <w:tc>
          <w:tcPr>
            <w:tcW w:w="1980" w:type="dxa"/>
            <w:vAlign w:val="bottom"/>
          </w:tcPr>
          <w:p>
            <w:pPr>
              <w:jc w:val="right"/>
              <w:spacing w:after="0"/>
              <w:rPr>
                <w:sz w:val="20"/>
                <w:szCs w:val="20"/>
                <w:color w:val="auto"/>
              </w:rPr>
            </w:pPr>
            <w:r>
              <w:rPr>
                <w:rFonts w:ascii="Arial" w:cs="Arial" w:eastAsia="Arial" w:hAnsi="Arial"/>
                <w:sz w:val="14"/>
                <w:szCs w:val="14"/>
                <w:color w:val="auto"/>
              </w:rPr>
              <w:t>2.56 %</w:t>
            </w:r>
          </w:p>
        </w:tc>
        <w:tc>
          <w:tcPr>
            <w:tcW w:w="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3.13 %</w:t>
            </w:r>
          </w:p>
        </w:tc>
      </w:tr>
    </w:tbl>
    <w:p>
      <w:pPr>
        <w:spacing w:after="0" w:line="3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lease expense are as follows:</w:t>
      </w:r>
    </w:p>
    <w:p>
      <w:pPr>
        <w:spacing w:after="0" w:line="43"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3120" w:type="dxa"/>
            <w:vAlign w:val="bottom"/>
            <w:gridSpan w:val="4"/>
          </w:tcPr>
          <w:p>
            <w:pPr>
              <w:jc w:val="right"/>
              <w:ind w:right="89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39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2020</w:t>
            </w:r>
          </w:p>
        </w:tc>
      </w:tr>
      <w:tr>
        <w:trPr>
          <w:trHeight w:val="177"/>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r>
      <w:tr>
        <w:trPr>
          <w:trHeight w:val="181"/>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Fixed</w:t>
            </w: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18,676</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18,452</w:t>
            </w:r>
          </w:p>
        </w:tc>
        <w:tc>
          <w:tcPr>
            <w:tcW w:w="100" w:type="dxa"/>
            <w:vAlign w:val="bottom"/>
          </w:tcPr>
          <w:p>
            <w:pPr>
              <w:spacing w:after="0"/>
              <w:rPr>
                <w:sz w:val="15"/>
                <w:szCs w:val="15"/>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37,776</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36,812</w:t>
            </w:r>
          </w:p>
        </w:tc>
      </w:tr>
      <w:tr>
        <w:trPr>
          <w:trHeight w:val="186"/>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4,221</w:t>
            </w:r>
          </w:p>
        </w:tc>
      </w:tr>
      <w:tr>
        <w:trPr>
          <w:trHeight w:val="181"/>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Impairment of ROU Asset</w:t>
            </w:r>
          </w:p>
        </w:tc>
        <w:tc>
          <w:tcPr>
            <w:tcW w:w="42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1,198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04"/>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Operating lease cost</w:t>
            </w:r>
          </w:p>
        </w:tc>
        <w:tc>
          <w:tcPr>
            <w:tcW w:w="42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20,442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41,033</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Sublease income</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7,595</w:t>
            </w:r>
          </w:p>
        </w:tc>
      </w:tr>
      <w:tr>
        <w:trPr>
          <w:trHeight w:val="210"/>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8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1"/>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Amortization of ROU Asset</w:t>
            </w: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1,431</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2,983</w:t>
            </w:r>
          </w:p>
        </w:tc>
        <w:tc>
          <w:tcPr>
            <w:tcW w:w="100" w:type="dxa"/>
            <w:vAlign w:val="bottom"/>
          </w:tcPr>
          <w:p>
            <w:pPr>
              <w:spacing w:after="0"/>
              <w:rPr>
                <w:sz w:val="15"/>
                <w:szCs w:val="15"/>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3,564</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6,170</w:t>
            </w:r>
          </w:p>
        </w:tc>
      </w:tr>
      <w:tr>
        <w:trPr>
          <w:trHeight w:val="183"/>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on lease liabilities</w:t>
            </w: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241</w:t>
            </w:r>
          </w:p>
        </w:tc>
      </w:tr>
      <w:tr>
        <w:trPr>
          <w:trHeight w:val="179"/>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Total Finance lease cost</w:t>
            </w: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1,490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3,095</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3,697</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6,411</w:t>
            </w: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Future minimum lease payments under operating and finance leases with non-cancelable lease terms, as of June 30, 2021, are as follows:</w:t>
      </w:r>
    </w:p>
    <w:p>
      <w:pPr>
        <w:spacing w:after="0" w:line="279" w:lineRule="exact"/>
        <w:rPr>
          <w:sz w:val="20"/>
          <w:szCs w:val="20"/>
          <w:color w:val="auto"/>
        </w:rPr>
      </w:pPr>
    </w:p>
    <w:tbl>
      <w:tblPr>
        <w:tblLayout w:type="fixed"/>
        <w:tblInd w:w="2580" w:type="dxa"/>
        <w:tblCellMar>
          <w:top w:w="0" w:type="dxa"/>
          <w:left w:w="0" w:type="dxa"/>
          <w:bottom w:w="0" w:type="dxa"/>
          <w:right w:w="0" w:type="dxa"/>
        </w:tblCellMar>
      </w:tblPr>
      <w:tr>
        <w:trPr>
          <w:trHeight w:val="188"/>
        </w:trPr>
        <w:tc>
          <w:tcPr>
            <w:tcW w:w="2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310"/>
              <w:spacing w:after="0"/>
              <w:rPr>
                <w:sz w:val="20"/>
                <w:szCs w:val="20"/>
                <w:color w:val="auto"/>
              </w:rPr>
            </w:pPr>
            <w:r>
              <w:rPr>
                <w:rFonts w:ascii="Arial" w:cs="Arial" w:eastAsia="Arial" w:hAnsi="Arial"/>
                <w:sz w:val="14"/>
                <w:szCs w:val="14"/>
                <w:b w:val="1"/>
                <w:bCs w:val="1"/>
                <w:color w:val="auto"/>
                <w:w w:val="97"/>
              </w:rPr>
              <w:t>Finance Leases</w:t>
            </w:r>
          </w:p>
        </w:tc>
      </w:tr>
      <w:tr>
        <w:trPr>
          <w:trHeight w:val="179"/>
        </w:trPr>
        <w:tc>
          <w:tcPr>
            <w:tcW w:w="2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50,494</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2,924</w:t>
            </w:r>
          </w:p>
        </w:tc>
      </w:tr>
      <w:tr>
        <w:trPr>
          <w:trHeight w:val="18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68,624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4,073</w:t>
            </w:r>
          </w:p>
        </w:tc>
      </w:tr>
      <w:tr>
        <w:trPr>
          <w:trHeight w:val="181"/>
        </w:trPr>
        <w:tc>
          <w:tcPr>
            <w:tcW w:w="240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65,270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1,450</w:t>
            </w:r>
          </w:p>
        </w:tc>
      </w:tr>
      <w:tr>
        <w:trPr>
          <w:trHeight w:val="18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1"/>
        </w:trPr>
        <w:tc>
          <w:tcPr>
            <w:tcW w:w="2400" w:type="dxa"/>
            <w:vAlign w:val="bottom"/>
          </w:tcPr>
          <w:p>
            <w:pPr>
              <w:ind w:left="20"/>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27,952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2026 and thereafter</w:t>
            </w: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111,444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2520" w:type="dxa"/>
            <w:vAlign w:val="bottom"/>
            <w:gridSpan w:val="2"/>
          </w:tcPr>
          <w:p>
            <w:pPr>
              <w:ind w:left="140"/>
              <w:spacing w:after="0"/>
              <w:rPr>
                <w:sz w:val="20"/>
                <w:szCs w:val="20"/>
                <w:color w:val="auto"/>
              </w:rPr>
            </w:pPr>
            <w:r>
              <w:rPr>
                <w:rFonts w:ascii="Arial" w:cs="Arial" w:eastAsia="Arial" w:hAnsi="Arial"/>
                <w:sz w:val="14"/>
                <w:szCs w:val="14"/>
                <w:color w:val="auto"/>
              </w:rPr>
              <w:t>Total lease payments</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359,501</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8,449</w:t>
            </w:r>
          </w:p>
        </w:tc>
      </w:tr>
      <w:tr>
        <w:trPr>
          <w:trHeight w:val="183"/>
        </w:trPr>
        <w:tc>
          <w:tcPr>
            <w:tcW w:w="2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Less imputed interest</w:t>
            </w:r>
          </w:p>
        </w:tc>
        <w:tc>
          <w:tcPr>
            <w:tcW w:w="2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(73,166)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r>
      <w:tr>
        <w:trPr>
          <w:trHeight w:val="179"/>
        </w:trPr>
        <w:tc>
          <w:tcPr>
            <w:tcW w:w="2520" w:type="dxa"/>
            <w:vAlign w:val="bottom"/>
            <w:gridSpan w:val="2"/>
          </w:tcPr>
          <w:p>
            <w:pPr>
              <w:ind w:left="140"/>
              <w:spacing w:after="0"/>
              <w:rPr>
                <w:sz w:val="20"/>
                <w:szCs w:val="20"/>
                <w:color w:val="auto"/>
              </w:rPr>
            </w:pPr>
            <w:r>
              <w:rPr>
                <w:rFonts w:ascii="Arial" w:cs="Arial" w:eastAsia="Arial" w:hAnsi="Arial"/>
                <w:sz w:val="14"/>
                <w:szCs w:val="14"/>
                <w:color w:val="auto"/>
              </w:rPr>
              <w:t>Total lease liability</w:t>
            </w: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286,335</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8,116</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Cash</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provides a reconciliation of cash and cash equivalents together with restricted or segregated cash</w:t>
      </w:r>
    </w:p>
    <w:p>
      <w:pPr>
        <w:spacing w:after="0" w:line="26"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as reported within the Condensed Consolidated Statements of Financial Condition to the sum of the same such amounts shown in the Condensed Consolidated Statements of Cash Flows.</w:t>
      </w:r>
    </w:p>
    <w:p>
      <w:pPr>
        <w:spacing w:after="0" w:line="226" w:lineRule="exact"/>
        <w:rPr>
          <w:sz w:val="20"/>
          <w:szCs w:val="20"/>
          <w:color w:val="auto"/>
        </w:rPr>
      </w:pPr>
    </w:p>
    <w:tbl>
      <w:tblPr>
        <w:tblLayout w:type="fixed"/>
        <w:tblInd w:w="1000" w:type="dxa"/>
        <w:tblCellMar>
          <w:top w:w="0" w:type="dxa"/>
          <w:left w:w="0" w:type="dxa"/>
          <w:bottom w:w="0" w:type="dxa"/>
          <w:right w:w="0" w:type="dxa"/>
        </w:tblCellMar>
      </w:tblPr>
      <w:tr>
        <w:trPr>
          <w:trHeight w:val="188"/>
        </w:trPr>
        <w:tc>
          <w:tcPr>
            <w:tcW w:w="6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400" w:type="dxa"/>
            <w:vAlign w:val="bottom"/>
          </w:tcPr>
          <w:p>
            <w:pPr>
              <w:jc w:val="right"/>
              <w:ind w:right="130"/>
              <w:spacing w:after="0"/>
              <w:rPr>
                <w:sz w:val="20"/>
                <w:szCs w:val="20"/>
                <w:color w:val="auto"/>
              </w:rPr>
            </w:pPr>
            <w:r>
              <w:rPr>
                <w:rFonts w:ascii="Arial" w:cs="Arial" w:eastAsia="Arial" w:hAnsi="Arial"/>
                <w:sz w:val="14"/>
                <w:szCs w:val="14"/>
                <w:b w:val="1"/>
                <w:bCs w:val="1"/>
                <w:color w:val="auto"/>
                <w:w w:val="93"/>
              </w:rPr>
              <w:t>December 31, 2020</w:t>
            </w:r>
          </w:p>
        </w:tc>
      </w:tr>
      <w:tr>
        <w:trPr>
          <w:trHeight w:val="182"/>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848,111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889,559</w:t>
            </w:r>
          </w:p>
        </w:tc>
      </w:tr>
      <w:tr>
        <w:trPr>
          <w:trHeight w:val="181"/>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restricted or segregated under regulations and other</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67,144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117,446</w:t>
            </w:r>
          </w:p>
        </w:tc>
      </w:tr>
      <w:tr>
        <w:trPr>
          <w:trHeight w:val="204"/>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 shown in the statement of cash flows</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915,255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1,007,005</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Capital Structure</w:t>
      </w:r>
    </w:p>
    <w:p>
      <w:pPr>
        <w:spacing w:after="0" w:line="256"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82.4% of the combined voting power of our common stock as a result of its ownership of our Class C and Class D Common Stock. The Company holds approximately a 63.6% interest in Virtu Financial at June 30, 2021.</w:t>
      </w:r>
    </w:p>
    <w:p>
      <w:pPr>
        <w:spacing w:after="0" w:line="204"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color w:val="auto"/>
        </w:rPr>
        <w:t>During the period prior to the Reorganization Transactions and IPO, Class A-2 profits interests and Class B interests in Virtu Financial were issued to Employee Holdco (as defined below) on behalf of certain key employees and stakeholders. In connection with the Reorganization Transactions, all Class A-2 profits interests and Class B interests were reclassified into Virtu Financial Units. As of June 30, 2021 and December 31, 2020, there were 4,831,810 and 5,259,713 Virtu Financial Units outstanding held by Employee Holdco (as defined below), respectively, and 427,903 and 2,360,239 of such Virtu Financial Units and corresponding Class C Common Stock were exchanged into Class A Common Stock, forfeited or repurchased during the six months ended June 30, 2021 and 2020,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2015 Management Incentive Plan</w:t>
      </w:r>
    </w:p>
    <w:p>
      <w:pPr>
        <w:spacing w:after="0" w:line="250"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21,000,000 shares of Class A Common Stock, subject to additional sublimits, including limits on the total option grant to any one participant in a single year and the total performance award to any one participant in a single year.</w:t>
      </w:r>
    </w:p>
    <w:p>
      <w:pPr>
        <w:spacing w:after="0" w:line="204"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Investment Technology Group, Inc. 2007 Omnibus Equity Compensation Plan</w:t>
      </w:r>
    </w:p>
    <w:p>
      <w:pPr>
        <w:spacing w:after="0" w:line="250"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50" w:lineRule="exact"/>
        <w:rPr>
          <w:sz w:val="20"/>
          <w:szCs w:val="20"/>
          <w:color w:val="auto"/>
        </w:rPr>
      </w:pPr>
    </w:p>
    <w:p>
      <w:pPr>
        <w:ind w:right="40" w:firstLine="629"/>
        <w:spacing w:after="0" w:line="280" w:lineRule="auto"/>
        <w:rPr>
          <w:sz w:val="20"/>
          <w:szCs w:val="20"/>
          <w:color w:val="auto"/>
        </w:rPr>
      </w:pPr>
      <w:r>
        <w:rPr>
          <w:rFonts w:ascii="Arial" w:cs="Arial" w:eastAsia="Arial" w:hAnsi="Arial"/>
          <w:sz w:val="16"/>
          <w:szCs w:val="16"/>
          <w:color w:val="auto"/>
        </w:rPr>
        <w:t>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June 30, 2021, the Company repurchased approximately 7.1 million shares of Class A Common Stock and Virtu Financial Units for approximately $198.6 million. As of June 30, 2021, the Company has approximately of $271.4 million remaining capacity for future purchases of shares of Class A Common Stock and Virtu Financial Units under the program.</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Exchanges</w:t>
      </w:r>
    </w:p>
    <w:p>
      <w:pPr>
        <w:spacing w:after="0" w:line="250" w:lineRule="exact"/>
        <w:rPr>
          <w:sz w:val="20"/>
          <w:szCs w:val="20"/>
          <w:color w:val="auto"/>
        </w:rPr>
      </w:pPr>
    </w:p>
    <w:p>
      <w:pPr>
        <w:jc w:val="both"/>
        <w:ind w:right="40" w:firstLine="629"/>
        <w:spacing w:after="0" w:line="297" w:lineRule="auto"/>
        <w:rPr>
          <w:sz w:val="20"/>
          <w:szCs w:val="20"/>
          <w:color w:val="auto"/>
        </w:rPr>
      </w:pPr>
      <w:r>
        <w:rPr>
          <w:rFonts w:ascii="Arial" w:cs="Arial" w:eastAsia="Arial" w:hAnsi="Arial"/>
          <w:sz w:val="16"/>
          <w:szCs w:val="16"/>
          <w:color w:val="auto"/>
        </w:rPr>
        <w:t>During the six months ended June 30, 2021 and 2020, pursuant to the exchange agreement by and among the Company, Virtu Financial and holders of Virtu Financial Units, certain current and former employees elected to exchange 382,281 and 2,360,239 units, respectively in Virtu Financial held directly or on their behalf by Virtu Employee Holdco LLC (“Employee Holdco”) on a one-for-one basis for shares of Class A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Issuance</w:t>
      </w:r>
    </w:p>
    <w:p>
      <w:pPr>
        <w:spacing w:after="0" w:line="250"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On March 20, 2020, in connection with and in consideration of the Founder Member’s commitments under the Founder Member Loan Facility (as described in Note 8 "Borrowings"), the Company delivered to the Founder Member a warrant (the “Warrant”) to purchase shares of the Company’s Class A Common Stock. Pursuant to the Warrant, the Founder Member may purchase up to 3,000,000 shares of Class A Common Stock. If at any time during the term of the Founder Member Loan Facility, the Founder Member Loans equal to or greater than $100 million had remained outstanding for a certain period of time specified in the Warrant, the number of shares would have increased to 10,000,000. The Founder Member Loan Facility Term expired on September 20, 2020 without the Company having borrowed any Founder Member Loans thereunder (as described in Note 8 "Borrowings"), and as a result no such increase in the number of shares which may be purchased has occurred or will occur pursuant to the terms of the Warrant. The exercise price per share of the Class A Common Stock issuable pursuant to the Warrant is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The Warrant may be exercised to purchase up to 3,000,000 shares of the Company's Class A Common Stock on any date after May 22, 2020 up to and including January 15, 2022. The Warrant and Class A Common Stock issuable pursuant to the Warrant were offered, and will be issued and sold, in reliance on the exemption from the registration requirements of the Securities Act of 1933, as amended (the "Securities Act"), set forth under Section 4(a)(2) of the Securities Act relating to sales by an issuer not involving any public offering.</w:t>
      </w:r>
    </w:p>
    <w:p>
      <w:pPr>
        <w:spacing w:after="0" w:line="200"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The fair value of the Warrant was determined using a Black-Scholes-Merton model, and was recorded as a debt issuance cost within Other Assets on the Condensed Consolidated Statements of Financial Condition and as an increase to Additional paid-in capital on the Condensed Consolidated Statements of Changes in Equity. The balance was amortized on a straight-line basis from March 20, 2020 through September 20, 2020, the date on which the Founder Member Loan Facility expired, and recorded as expense within Debt issue cost related to debt refinancing, prepayment and commitment fees in the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Income (Loss)</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following table presents the changes in Other Comprehensive Income (Loss) for the three and six months ended June 30, 2021 and 2020:</w:t>
      </w:r>
    </w:p>
    <w:p>
      <w:pPr>
        <w:spacing w:after="0" w:line="135"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 June 30, 2021</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1"/>
                <w:szCs w:val="11"/>
                <w:color w:val="auto"/>
              </w:rPr>
            </w:pPr>
          </w:p>
        </w:tc>
        <w:tc>
          <w:tcPr>
            <w:tcW w:w="14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Amounts recorded</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Amounts reclassified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AOCI Ending Balance</w:t>
            </w:r>
          </w:p>
        </w:tc>
        <w:tc>
          <w:tcPr>
            <w:tcW w:w="0" w:type="dxa"/>
            <w:vAlign w:val="bottom"/>
          </w:tcPr>
          <w:p>
            <w:pPr>
              <w:spacing w:after="0"/>
              <w:rPr>
                <w:sz w:val="1"/>
                <w:szCs w:val="1"/>
                <w:color w:val="auto"/>
              </w:rPr>
            </w:pPr>
          </w:p>
        </w:tc>
      </w:tr>
      <w:tr>
        <w:trPr>
          <w:trHeight w:val="183"/>
        </w:trPr>
        <w:tc>
          <w:tcPr>
            <w:tcW w:w="3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5"/>
                <w:szCs w:val="15"/>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94"/>
              </w:rPr>
              <w:t>Net change in unrealized cash flow hedges gains (losses) (1)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(20,837)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3,757</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(24,952)</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rPr>
                <w:sz w:val="20"/>
                <w:szCs w:val="20"/>
                <w:color w:val="auto"/>
              </w:rPr>
            </w:pPr>
            <w:r>
              <w:rPr>
                <w:rFonts w:ascii="Arial" w:cs="Arial" w:eastAsia="Arial" w:hAnsi="Arial"/>
                <w:sz w:val="14"/>
                <w:szCs w:val="14"/>
                <w:color w:val="auto"/>
              </w:rPr>
              <w:t>Foreign exchange translation adjustment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5,792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5,835</w:t>
            </w:r>
          </w:p>
        </w:tc>
        <w:tc>
          <w:tcPr>
            <w:tcW w:w="0" w:type="dxa"/>
            <w:vAlign w:val="bottom"/>
          </w:tcPr>
          <w:p>
            <w:pPr>
              <w:spacing w:after="0"/>
              <w:rPr>
                <w:sz w:val="1"/>
                <w:szCs w:val="1"/>
                <w:color w:val="auto"/>
              </w:rPr>
            </w:pPr>
          </w:p>
        </w:tc>
      </w:tr>
      <w:tr>
        <w:trPr>
          <w:trHeight w:val="185"/>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(19,117)</w:t>
            </w:r>
          </w:p>
        </w:tc>
        <w:tc>
          <w:tcPr>
            <w:tcW w:w="0" w:type="dxa"/>
            <w:vAlign w:val="bottom"/>
          </w:tcPr>
          <w:p>
            <w:pPr>
              <w:spacing w:after="0"/>
              <w:rPr>
                <w:sz w:val="1"/>
                <w:szCs w:val="1"/>
                <w:color w:val="auto"/>
              </w:rPr>
            </w:pPr>
          </w:p>
        </w:tc>
      </w:tr>
    </w:tbl>
    <w:p>
      <w:pPr>
        <w:ind w:left="720" w:right="680" w:firstLine="9"/>
        <w:spacing w:after="0" w:line="225" w:lineRule="auto"/>
        <w:tabs>
          <w:tab w:leader="none" w:pos="893" w:val="left"/>
        </w:tabs>
        <w:numPr>
          <w:ilvl w:val="0"/>
          <w:numId w:val="11"/>
        </w:numPr>
        <w:rPr>
          <w:rFonts w:ascii="Arial" w:cs="Arial" w:eastAsia="Arial" w:hAnsi="Arial"/>
          <w:sz w:val="12"/>
          <w:szCs w:val="12"/>
          <w:color w:val="auto"/>
        </w:rPr>
      </w:pPr>
      <w:r>
        <w:rPr>
          <w:rFonts w:ascii="Arial" w:cs="Arial" w:eastAsia="Arial" w:hAnsi="Arial"/>
          <w:sz w:val="12"/>
          <w:szCs w:val="12"/>
          <w:color w:val="auto"/>
        </w:rPr>
        <w:t>Amounts reclassified from AOCI to income are included within Financing interest expense on long-term borrowings on the Condensed Consolidated Statements of Comprehensive Income. As of June 30, 2021, the Company expects approximately $15.0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-237490</wp:posOffset>
            </wp:positionV>
            <wp:extent cx="38760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93"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 June 30, 2020</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1"/>
                <w:szCs w:val="11"/>
                <w:color w:val="auto"/>
              </w:rPr>
            </w:pPr>
          </w:p>
        </w:tc>
        <w:tc>
          <w:tcPr>
            <w:tcW w:w="14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Amounts recorded</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Amounts reclassified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AOCI Ending Balance</w:t>
            </w:r>
          </w:p>
        </w:tc>
        <w:tc>
          <w:tcPr>
            <w:tcW w:w="0" w:type="dxa"/>
            <w:vAlign w:val="bottom"/>
          </w:tcPr>
          <w:p>
            <w:pPr>
              <w:spacing w:after="0"/>
              <w:rPr>
                <w:sz w:val="1"/>
                <w:szCs w:val="1"/>
                <w:color w:val="auto"/>
              </w:rPr>
            </w:pPr>
          </w:p>
        </w:tc>
      </w:tr>
      <w:tr>
        <w:trPr>
          <w:trHeight w:val="183"/>
        </w:trPr>
        <w:tc>
          <w:tcPr>
            <w:tcW w:w="3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5"/>
                <w:szCs w:val="15"/>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Net change in unrealized cash flow hedges gains (losses)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center"/>
              <w:ind w:left="790"/>
              <w:spacing w:after="0"/>
              <w:rPr>
                <w:sz w:val="20"/>
                <w:szCs w:val="20"/>
                <w:color w:val="auto"/>
              </w:rPr>
            </w:pPr>
            <w:r>
              <w:rPr>
                <w:rFonts w:ascii="Arial" w:cs="Arial" w:eastAsia="Arial" w:hAnsi="Arial"/>
                <w:sz w:val="14"/>
                <w:szCs w:val="14"/>
                <w:color w:val="auto"/>
                <w:w w:val="94"/>
              </w:rPr>
              <w:t>(8,823)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3,581</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(36,710)</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rPr>
                <w:sz w:val="20"/>
                <w:szCs w:val="20"/>
                <w:color w:val="auto"/>
              </w:rPr>
            </w:pPr>
            <w:r>
              <w:rPr>
                <w:rFonts w:ascii="Arial" w:cs="Arial" w:eastAsia="Arial" w:hAnsi="Arial"/>
                <w:sz w:val="14"/>
                <w:szCs w:val="14"/>
                <w:color w:val="auto"/>
              </w:rPr>
              <w:t>Foreign exchange translation adjustment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left="810"/>
              <w:spacing w:after="0"/>
              <w:rPr>
                <w:sz w:val="20"/>
                <w:szCs w:val="20"/>
                <w:color w:val="auto"/>
              </w:rPr>
            </w:pPr>
            <w:r>
              <w:rPr>
                <w:rFonts w:ascii="Arial" w:cs="Arial" w:eastAsia="Arial" w:hAnsi="Arial"/>
                <w:sz w:val="14"/>
                <w:szCs w:val="14"/>
                <w:color w:val="auto"/>
                <w:w w:val="91"/>
              </w:rPr>
              <w:t>3,674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204"/>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center"/>
              <w:ind w:left="790"/>
              <w:spacing w:after="0"/>
              <w:rPr>
                <w:sz w:val="20"/>
                <w:szCs w:val="20"/>
                <w:color w:val="auto"/>
              </w:rPr>
            </w:pPr>
            <w:r>
              <w:rPr>
                <w:rFonts w:ascii="Arial" w:cs="Arial" w:eastAsia="Arial" w:hAnsi="Arial"/>
                <w:sz w:val="14"/>
                <w:szCs w:val="14"/>
                <w:color w:val="auto"/>
                <w:w w:val="94"/>
              </w:rPr>
              <w:t>(5,149)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(39,567)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Six Months Ended June 30, 2021</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Amounts recorded</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Amounts reclassified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AOCI Ending Balance</w:t>
            </w:r>
          </w:p>
        </w:tc>
        <w:tc>
          <w:tcPr>
            <w:tcW w:w="0" w:type="dxa"/>
            <w:vAlign w:val="bottom"/>
          </w:tcPr>
          <w:p>
            <w:pPr>
              <w:spacing w:after="0"/>
              <w:rPr>
                <w:sz w:val="1"/>
                <w:szCs w:val="1"/>
                <w:color w:val="auto"/>
              </w:rPr>
            </w:pPr>
          </w:p>
        </w:tc>
      </w:tr>
      <w:tr>
        <w:trPr>
          <w:trHeight w:val="183"/>
        </w:trPr>
        <w:tc>
          <w:tcPr>
            <w:tcW w:w="3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94"/>
              </w:rPr>
              <w:t>Net change in unrealized cash flow hedges gains (losses) (1)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7,068</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(24,952)</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rPr>
                <w:sz w:val="20"/>
                <w:szCs w:val="20"/>
                <w:color w:val="auto"/>
              </w:rPr>
            </w:pPr>
            <w:r>
              <w:rPr>
                <w:rFonts w:ascii="Arial" w:cs="Arial" w:eastAsia="Arial" w:hAnsi="Arial"/>
                <w:sz w:val="14"/>
                <w:szCs w:val="14"/>
                <w:color w:val="auto"/>
              </w:rPr>
              <w:t>Foreign exchange translation adjustment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7,957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5,835</w:t>
            </w:r>
          </w:p>
        </w:tc>
        <w:tc>
          <w:tcPr>
            <w:tcW w:w="0" w:type="dxa"/>
            <w:vAlign w:val="bottom"/>
          </w:tcPr>
          <w:p>
            <w:pPr>
              <w:spacing w:after="0"/>
              <w:rPr>
                <w:sz w:val="1"/>
                <w:szCs w:val="1"/>
                <w:color w:val="auto"/>
              </w:rPr>
            </w:pPr>
          </w:p>
        </w:tc>
      </w:tr>
      <w:tr>
        <w:trPr>
          <w:trHeight w:val="185"/>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(19,117)</w:t>
            </w:r>
          </w:p>
        </w:tc>
        <w:tc>
          <w:tcPr>
            <w:tcW w:w="0" w:type="dxa"/>
            <w:vAlign w:val="bottom"/>
          </w:tcPr>
          <w:p>
            <w:pPr>
              <w:spacing w:after="0"/>
              <w:rPr>
                <w:sz w:val="1"/>
                <w:szCs w:val="1"/>
                <w:color w:val="auto"/>
              </w:rPr>
            </w:pPr>
          </w:p>
        </w:tc>
      </w:tr>
    </w:tbl>
    <w:p>
      <w:pPr>
        <w:ind w:left="720" w:right="820" w:firstLine="9"/>
        <w:spacing w:after="0" w:line="225" w:lineRule="auto"/>
        <w:tabs>
          <w:tab w:leader="none" w:pos="893" w:val="left"/>
        </w:tabs>
        <w:numPr>
          <w:ilvl w:val="0"/>
          <w:numId w:val="12"/>
        </w:numPr>
        <w:rPr>
          <w:rFonts w:ascii="Arial" w:cs="Arial" w:eastAsia="Arial" w:hAnsi="Arial"/>
          <w:sz w:val="12"/>
          <w:szCs w:val="12"/>
          <w:color w:val="auto"/>
        </w:rPr>
      </w:pPr>
      <w:r>
        <w:rPr>
          <w:rFonts w:ascii="Arial" w:cs="Arial" w:eastAsia="Arial" w:hAnsi="Arial"/>
          <w:sz w:val="12"/>
          <w:szCs w:val="12"/>
          <w:color w:val="auto"/>
        </w:rPr>
        <w:t>Amounts reclassified from AOCI to income are included within Financing interest expense on long-term borrowings on the Consolidated Statements of Comprehensive Income. As of June 30, 2021, the Company expects approximately $15.0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-237490</wp:posOffset>
            </wp:positionV>
            <wp:extent cx="38760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93"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Six Months Ended June 30, 2020</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Amounts recorded</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Amounts reclassified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AOCI Ending Balance</w:t>
            </w:r>
          </w:p>
        </w:tc>
        <w:tc>
          <w:tcPr>
            <w:tcW w:w="0" w:type="dxa"/>
            <w:vAlign w:val="bottom"/>
          </w:tcPr>
          <w:p>
            <w:pPr>
              <w:spacing w:after="0"/>
              <w:rPr>
                <w:sz w:val="1"/>
                <w:szCs w:val="1"/>
                <w:color w:val="auto"/>
              </w:rPr>
            </w:pPr>
          </w:p>
        </w:tc>
      </w:tr>
      <w:tr>
        <w:trPr>
          <w:trHeight w:val="183"/>
        </w:trPr>
        <w:tc>
          <w:tcPr>
            <w:tcW w:w="3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change in unrealized cash flow hedges gains (losses)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(40,608)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3,898</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(36,710)</w:t>
            </w:r>
          </w:p>
        </w:tc>
        <w:tc>
          <w:tcPr>
            <w:tcW w:w="0" w:type="dxa"/>
            <w:vAlign w:val="bottom"/>
          </w:tcPr>
          <w:p>
            <w:pPr>
              <w:spacing w:after="0"/>
              <w:rPr>
                <w:sz w:val="1"/>
                <w:szCs w:val="1"/>
                <w:color w:val="auto"/>
              </w:rPr>
            </w:pPr>
          </w:p>
        </w:tc>
      </w:tr>
      <w:tr>
        <w:trPr>
          <w:trHeight w:val="181"/>
        </w:trPr>
        <w:tc>
          <w:tcPr>
            <w:tcW w:w="3720" w:type="dxa"/>
            <w:vAlign w:val="bottom"/>
          </w:tcPr>
          <w:p>
            <w:pPr>
              <w:spacing w:after="0"/>
              <w:rPr>
                <w:sz w:val="20"/>
                <w:szCs w:val="20"/>
                <w:color w:val="auto"/>
              </w:rPr>
            </w:pPr>
            <w:r>
              <w:rPr>
                <w:rFonts w:ascii="Arial" w:cs="Arial" w:eastAsia="Arial" w:hAnsi="Arial"/>
                <w:sz w:val="14"/>
                <w:szCs w:val="14"/>
                <w:color w:val="auto"/>
              </w:rPr>
              <w:t>Foreign exchange translation adjustment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185"/>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(39,567)</w:t>
            </w:r>
          </w:p>
        </w:tc>
        <w:tc>
          <w:tcPr>
            <w:tcW w:w="0" w:type="dxa"/>
            <w:vAlign w:val="bottom"/>
          </w:tcPr>
          <w:p>
            <w:pPr>
              <w:spacing w:after="0"/>
              <w:rPr>
                <w:sz w:val="1"/>
                <w:szCs w:val="1"/>
                <w:color w:val="auto"/>
              </w:rPr>
            </w:pPr>
          </w:p>
        </w:tc>
      </w:tr>
    </w:tbl>
    <w:p>
      <w:pPr>
        <w:ind w:left="900" w:hanging="171"/>
        <w:spacing w:after="0"/>
        <w:tabs>
          <w:tab w:leader="none" w:pos="900" w:val="left"/>
        </w:tabs>
        <w:numPr>
          <w:ilvl w:val="1"/>
          <w:numId w:val="13"/>
        </w:numPr>
        <w:rPr>
          <w:rFonts w:ascii="Arial" w:cs="Arial" w:eastAsia="Arial" w:hAnsi="Arial"/>
          <w:sz w:val="12"/>
          <w:szCs w:val="12"/>
          <w:color w:val="auto"/>
        </w:rPr>
      </w:pPr>
      <w:r>
        <w:rPr>
          <w:rFonts w:ascii="Arial" w:cs="Arial" w:eastAsia="Arial" w:hAnsi="Arial"/>
          <w:sz w:val="12"/>
          <w:szCs w:val="12"/>
          <w:color w:val="auto"/>
        </w:rPr>
        <w:t>Amounts reclassified from AOCI to income are included within Financing interest expense on long-term borrowings on the Consolidated Statements of Comprehensive Income.</w:t>
      </w:r>
    </w:p>
    <w:p>
      <w:pPr>
        <w:spacing w:after="0" w:line="200" w:lineRule="exact"/>
        <w:rPr>
          <w:rFonts w:ascii="Arial" w:cs="Arial" w:eastAsia="Arial" w:hAnsi="Arial"/>
          <w:sz w:val="12"/>
          <w:szCs w:val="12"/>
          <w:color w:val="auto"/>
        </w:rPr>
      </w:pPr>
    </w:p>
    <w:p>
      <w:pPr>
        <w:spacing w:after="0" w:line="233" w:lineRule="exact"/>
        <w:rPr>
          <w:rFonts w:ascii="Arial" w:cs="Arial" w:eastAsia="Arial" w:hAnsi="Arial"/>
          <w:sz w:val="12"/>
          <w:szCs w:val="12"/>
          <w:color w:val="auto"/>
        </w:rPr>
      </w:pPr>
    </w:p>
    <w:p>
      <w:pPr>
        <w:ind w:left="260" w:hanging="255"/>
        <w:spacing w:after="0"/>
        <w:tabs>
          <w:tab w:leader="none" w:pos="2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-477520</wp:posOffset>
            </wp:positionV>
            <wp:extent cx="38760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23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Pursuant to the Amended and Restated 2015 Management Incentive Plan as described in Note 17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activity related to stock options for the six months ended June 30, 2021 and 2020:</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9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0"/>
              </w:rPr>
              <w:t>Options Outstanding</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 Average</w:t>
            </w:r>
          </w:p>
        </w:tc>
        <w:tc>
          <w:tcPr>
            <w:tcW w:w="10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1"/>
                <w:szCs w:val="11"/>
                <w:color w:val="auto"/>
              </w:rPr>
            </w:pPr>
          </w:p>
        </w:tc>
        <w:tc>
          <w:tcPr>
            <w:tcW w:w="1380" w:type="dxa"/>
            <w:vAlign w:val="bottom"/>
          </w:tcPr>
          <w:p>
            <w:pPr>
              <w:jc w:val="center"/>
              <w:ind w:right="90"/>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Remaining Contractual</w:t>
            </w: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90"/>
              <w:spacing w:after="0" w:line="131"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1100" w:type="dxa"/>
            <w:vAlign w:val="bottom"/>
          </w:tcPr>
          <w:p>
            <w:pPr>
              <w:jc w:val="right"/>
              <w:ind w:right="23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Exercise Price Per Share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5"/>
                <w:szCs w:val="15"/>
                <w:color w:val="auto"/>
              </w:rPr>
            </w:pPr>
          </w:p>
        </w:tc>
        <w:tc>
          <w:tcPr>
            <w:tcW w:w="1380" w:type="dxa"/>
            <w:vAlign w:val="bottom"/>
          </w:tcPr>
          <w:p>
            <w:pPr>
              <w:jc w:val="center"/>
              <w:ind w:right="9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77"/>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At December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3,233,779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18.74</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ind w:left="1170"/>
              <w:spacing w:after="0"/>
              <w:rPr>
                <w:sz w:val="20"/>
                <w:szCs w:val="20"/>
                <w:color w:val="auto"/>
              </w:rPr>
            </w:pPr>
            <w:r>
              <w:rPr>
                <w:rFonts w:ascii="Arial" w:cs="Arial" w:eastAsia="Arial" w:hAnsi="Arial"/>
                <w:sz w:val="14"/>
                <w:szCs w:val="14"/>
                <w:color w:val="auto"/>
                <w:w w:val="87"/>
              </w:rPr>
              <w:t>5.24</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3,233,779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81"/>
        </w:trPr>
        <w:tc>
          <w:tcPr>
            <w:tcW w:w="3980" w:type="dxa"/>
            <w:vAlign w:val="bottom"/>
          </w:tcPr>
          <w:p>
            <w:pPr>
              <w:ind w:left="120"/>
              <w:spacing w:after="0"/>
              <w:rPr>
                <w:sz w:val="20"/>
                <w:szCs w:val="20"/>
                <w:color w:val="auto"/>
              </w:rPr>
            </w:pPr>
            <w:r>
              <w:rPr>
                <w:rFonts w:ascii="Arial" w:cs="Arial" w:eastAsia="Arial" w:hAnsi="Arial"/>
                <w:sz w:val="14"/>
                <w:szCs w:val="14"/>
                <w:color w:val="auto"/>
              </w:rPr>
              <w:t>Granted</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center"/>
              <w:ind w:left="1090"/>
              <w:spacing w:after="0"/>
              <w:rPr>
                <w:sz w:val="20"/>
                <w:szCs w:val="20"/>
                <w:color w:val="auto"/>
              </w:rPr>
            </w:pPr>
            <w:r>
              <w:rPr>
                <w:rFonts w:ascii="Arial" w:cs="Arial" w:eastAsia="Arial" w:hAnsi="Arial"/>
                <w:sz w:val="14"/>
                <w:szCs w:val="14"/>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(617,923)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17.64</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left="1090"/>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(617,923)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181"/>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At June 30, 2020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2,615,856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170"/>
              <w:spacing w:after="0"/>
              <w:rPr>
                <w:sz w:val="20"/>
                <w:szCs w:val="20"/>
                <w:color w:val="auto"/>
              </w:rPr>
            </w:pPr>
            <w:r>
              <w:rPr>
                <w:rFonts w:ascii="Arial" w:cs="Arial" w:eastAsia="Arial" w:hAnsi="Arial"/>
                <w:sz w:val="14"/>
                <w:szCs w:val="14"/>
                <w:color w:val="auto"/>
                <w:w w:val="87"/>
              </w:rPr>
              <w:t>4.74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2,615,856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2,324,152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170"/>
              <w:spacing w:after="0"/>
              <w:rPr>
                <w:sz w:val="20"/>
                <w:szCs w:val="20"/>
                <w:color w:val="auto"/>
              </w:rPr>
            </w:pPr>
            <w:r>
              <w:rPr>
                <w:rFonts w:ascii="Arial" w:cs="Arial" w:eastAsia="Arial" w:hAnsi="Arial"/>
                <w:sz w:val="14"/>
                <w:szCs w:val="14"/>
                <w:color w:val="auto"/>
                <w:w w:val="87"/>
              </w:rPr>
              <w:t>4.24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2,324,152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81"/>
        </w:trPr>
        <w:tc>
          <w:tcPr>
            <w:tcW w:w="3980" w:type="dxa"/>
            <w:vAlign w:val="bottom"/>
          </w:tcPr>
          <w:p>
            <w:pPr>
              <w:ind w:left="120"/>
              <w:spacing w:after="0"/>
              <w:rPr>
                <w:sz w:val="20"/>
                <w:szCs w:val="20"/>
                <w:color w:val="auto"/>
              </w:rPr>
            </w:pPr>
            <w:r>
              <w:rPr>
                <w:rFonts w:ascii="Arial" w:cs="Arial" w:eastAsia="Arial" w:hAnsi="Arial"/>
                <w:sz w:val="14"/>
                <w:szCs w:val="14"/>
                <w:color w:val="auto"/>
              </w:rPr>
              <w:t>Granted</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center"/>
              <w:ind w:left="1090"/>
              <w:spacing w:after="0"/>
              <w:rPr>
                <w:sz w:val="20"/>
                <w:szCs w:val="20"/>
                <w:color w:val="auto"/>
              </w:rPr>
            </w:pPr>
            <w:r>
              <w:rPr>
                <w:rFonts w:ascii="Arial" w:cs="Arial" w:eastAsia="Arial" w:hAnsi="Arial"/>
                <w:sz w:val="14"/>
                <w:szCs w:val="14"/>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(407,997)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left="1090"/>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(407,997)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81"/>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 June 30,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1,916,155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19.00</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4"/>
                <w:szCs w:val="14"/>
                <w:color w:val="auto"/>
                <w:w w:val="87"/>
              </w:rPr>
              <w:t>3.74</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1,916,155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 The stock options to purchase shares of Class A Common Stock were fully vested in 2019.</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Investment Technology Group, Inc. 2007 Omnibus Equity Compensation Plan</w:t>
      </w:r>
    </w:p>
    <w:p>
      <w:pPr>
        <w:spacing w:after="0" w:line="250" w:lineRule="exact"/>
        <w:rPr>
          <w:sz w:val="20"/>
          <w:szCs w:val="20"/>
          <w:color w:val="auto"/>
        </w:rPr>
      </w:pPr>
    </w:p>
    <w:p>
      <w:pPr>
        <w:ind w:firstLine="629"/>
        <w:spacing w:after="0" w:line="280" w:lineRule="auto"/>
        <w:rPr>
          <w:sz w:val="20"/>
          <w:szCs w:val="20"/>
          <w:color w:val="auto"/>
        </w:rPr>
      </w:pPr>
      <w:r>
        <w:rPr>
          <w:rFonts w:ascii="Arial" w:cs="Arial" w:eastAsia="Arial" w:hAnsi="Arial"/>
          <w:sz w:val="16"/>
          <w:szCs w:val="16"/>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 Restricted Stock Units and Restricted Stock Awards</w:t>
      </w:r>
    </w:p>
    <w:p>
      <w:pPr>
        <w:spacing w:after="0" w:line="250" w:lineRule="exact"/>
        <w:rPr>
          <w:sz w:val="20"/>
          <w:szCs w:val="20"/>
          <w:color w:val="auto"/>
        </w:rPr>
      </w:pPr>
    </w:p>
    <w:p>
      <w:pPr>
        <w:ind w:right="60" w:firstLine="629"/>
        <w:spacing w:after="0" w:line="278" w:lineRule="auto"/>
        <w:rPr>
          <w:sz w:val="20"/>
          <w:szCs w:val="20"/>
          <w:color w:val="auto"/>
        </w:rPr>
      </w:pPr>
      <w:r>
        <w:rPr>
          <w:rFonts w:ascii="Arial" w:cs="Arial" w:eastAsia="Arial" w:hAnsi="Arial"/>
          <w:sz w:val="16"/>
          <w:szCs w:val="16"/>
          <w:color w:val="auto"/>
        </w:rPr>
        <w:t>Pursuant to the Amended and Restated 2015 Management Incentive Plan as described in Note 17 "Capital Structure", subsequent to the IPO, shares of immediately vested Class A Common Stock, RSUs and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six months ended June 30, 2021 and 2020, respectively, there were 633,938 and 852,599 shares of immediately vested Class A Common Stock granted as part of year-end compensation. In addition, the Company accrued compensation expense of $6.5 million and $8.7 million for the three months ended June 30, 2021 and 2020, respectively, and $11.5 million and $25.8 million for the six months ended June 30, 2021 and 2020,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summarizes activity related to RSUs (including the Assumed Awards) and RSAs for the six months ended June 30, 2021 and 2020:</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 RSUs and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1"/>
        </w:trPr>
        <w:tc>
          <w:tcPr>
            <w:tcW w:w="85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90"/>
              <w:spacing w:after="0" w:line="131" w:lineRule="exact"/>
              <w:rPr>
                <w:sz w:val="20"/>
                <w:szCs w:val="20"/>
                <w:color w:val="auto"/>
              </w:rPr>
            </w:pPr>
            <w:r>
              <w:rPr>
                <w:rFonts w:ascii="Arial" w:cs="Arial" w:eastAsia="Arial" w:hAnsi="Arial"/>
                <w:sz w:val="14"/>
                <w:szCs w:val="14"/>
                <w:b w:val="1"/>
                <w:bCs w:val="1"/>
                <w:color w:val="auto"/>
                <w:w w:val="91"/>
              </w:rPr>
              <w:t>Average Fair</w:t>
            </w:r>
          </w:p>
        </w:tc>
        <w:tc>
          <w:tcPr>
            <w:tcW w:w="0" w:type="dxa"/>
            <w:vAlign w:val="bottom"/>
          </w:tcPr>
          <w:p>
            <w:pPr>
              <w:spacing w:after="0"/>
              <w:rPr>
                <w:sz w:val="1"/>
                <w:szCs w:val="1"/>
                <w:color w:val="auto"/>
              </w:rPr>
            </w:pPr>
          </w:p>
        </w:tc>
      </w:tr>
      <w:tr>
        <w:trPr>
          <w:trHeight w:val="183"/>
        </w:trPr>
        <w:tc>
          <w:tcPr>
            <w:tcW w:w="85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RSAs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2019</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2,993,489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24.10</w:t>
            </w:r>
          </w:p>
        </w:tc>
        <w:tc>
          <w:tcPr>
            <w:tcW w:w="0" w:type="dxa"/>
            <w:vAlign w:val="bottom"/>
          </w:tcPr>
          <w:p>
            <w:pPr>
              <w:spacing w:after="0"/>
              <w:rPr>
                <w:sz w:val="1"/>
                <w:szCs w:val="1"/>
                <w:color w:val="auto"/>
              </w:rPr>
            </w:pPr>
          </w:p>
        </w:tc>
      </w:tr>
      <w:tr>
        <w:trPr>
          <w:trHeight w:val="181"/>
        </w:trPr>
        <w:tc>
          <w:tcPr>
            <w:tcW w:w="8580" w:type="dxa"/>
            <w:vAlign w:val="bottom"/>
          </w:tcPr>
          <w:p>
            <w:pPr>
              <w:ind w:left="120"/>
              <w:spacing w:after="0"/>
              <w:rPr>
                <w:sz w:val="20"/>
                <w:szCs w:val="20"/>
                <w:color w:val="auto"/>
              </w:rPr>
            </w:pPr>
            <w:r>
              <w:rPr>
                <w:rFonts w:ascii="Arial" w:cs="Arial" w:eastAsia="Arial" w:hAnsi="Arial"/>
                <w:sz w:val="14"/>
                <w:szCs w:val="14"/>
                <w:color w:val="auto"/>
              </w:rPr>
              <w:t>Granted</w:t>
            </w:r>
          </w:p>
        </w:tc>
        <w:tc>
          <w:tcPr>
            <w:tcW w:w="1360" w:type="dxa"/>
            <w:vAlign w:val="bottom"/>
          </w:tcPr>
          <w:p>
            <w:pPr>
              <w:jc w:val="right"/>
              <w:spacing w:after="0"/>
              <w:rPr>
                <w:sz w:val="20"/>
                <w:szCs w:val="20"/>
                <w:color w:val="auto"/>
              </w:rPr>
            </w:pPr>
            <w:r>
              <w:rPr>
                <w:rFonts w:ascii="Arial" w:cs="Arial" w:eastAsia="Arial" w:hAnsi="Arial"/>
                <w:sz w:val="14"/>
                <w:szCs w:val="14"/>
                <w:color w:val="auto"/>
              </w:rPr>
              <w:t>3,039,940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18.59</w:t>
            </w:r>
          </w:p>
        </w:tc>
        <w:tc>
          <w:tcPr>
            <w:tcW w:w="0" w:type="dxa"/>
            <w:vAlign w:val="bottom"/>
          </w:tcPr>
          <w:p>
            <w:pPr>
              <w:spacing w:after="0"/>
              <w:rPr>
                <w:sz w:val="1"/>
                <w:szCs w:val="1"/>
                <w:color w:val="auto"/>
              </w:rPr>
            </w:pPr>
          </w:p>
        </w:tc>
      </w:tr>
      <w:tr>
        <w:trPr>
          <w:trHeight w:val="181"/>
        </w:trPr>
        <w:tc>
          <w:tcPr>
            <w:tcW w:w="8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Vested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(1,889,862)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ind w:right="10"/>
              <w:spacing w:after="0"/>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204"/>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 June 30, 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3,979,091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3,393,084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21.35</w:t>
            </w:r>
          </w:p>
        </w:tc>
        <w:tc>
          <w:tcPr>
            <w:tcW w:w="0" w:type="dxa"/>
            <w:vAlign w:val="bottom"/>
          </w:tcPr>
          <w:p>
            <w:pPr>
              <w:spacing w:after="0"/>
              <w:rPr>
                <w:sz w:val="1"/>
                <w:szCs w:val="1"/>
                <w:color w:val="auto"/>
              </w:rPr>
            </w:pPr>
          </w:p>
        </w:tc>
      </w:tr>
      <w:tr>
        <w:trPr>
          <w:trHeight w:val="181"/>
        </w:trPr>
        <w:tc>
          <w:tcPr>
            <w:tcW w:w="8580" w:type="dxa"/>
            <w:vAlign w:val="bottom"/>
          </w:tcPr>
          <w:p>
            <w:pPr>
              <w:ind w:left="120"/>
              <w:spacing w:after="0"/>
              <w:rPr>
                <w:sz w:val="20"/>
                <w:szCs w:val="20"/>
                <w:color w:val="auto"/>
              </w:rPr>
            </w:pPr>
            <w:r>
              <w:rPr>
                <w:rFonts w:ascii="Arial" w:cs="Arial" w:eastAsia="Arial" w:hAnsi="Arial"/>
                <w:sz w:val="14"/>
                <w:szCs w:val="14"/>
                <w:color w:val="auto"/>
              </w:rPr>
              <w:t>Granted (1)</w:t>
            </w:r>
          </w:p>
        </w:tc>
        <w:tc>
          <w:tcPr>
            <w:tcW w:w="1360" w:type="dxa"/>
            <w:vAlign w:val="bottom"/>
          </w:tcPr>
          <w:p>
            <w:pPr>
              <w:jc w:val="right"/>
              <w:spacing w:after="0"/>
              <w:rPr>
                <w:sz w:val="20"/>
                <w:szCs w:val="20"/>
                <w:color w:val="auto"/>
              </w:rPr>
            </w:pPr>
            <w:r>
              <w:rPr>
                <w:rFonts w:ascii="Arial" w:cs="Arial" w:eastAsia="Arial" w:hAnsi="Arial"/>
                <w:sz w:val="14"/>
                <w:szCs w:val="14"/>
                <w:color w:val="auto"/>
              </w:rPr>
              <w:t>2,106,795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22.63</w:t>
            </w:r>
          </w:p>
        </w:tc>
        <w:tc>
          <w:tcPr>
            <w:tcW w:w="0" w:type="dxa"/>
            <w:vAlign w:val="bottom"/>
          </w:tcPr>
          <w:p>
            <w:pPr>
              <w:spacing w:after="0"/>
              <w:rPr>
                <w:sz w:val="1"/>
                <w:szCs w:val="1"/>
                <w:color w:val="auto"/>
              </w:rPr>
            </w:pPr>
          </w:p>
        </w:tc>
      </w:tr>
      <w:tr>
        <w:trPr>
          <w:trHeight w:val="181"/>
        </w:trPr>
        <w:tc>
          <w:tcPr>
            <w:tcW w:w="8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Vested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(1,929,323)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ind w:right="10"/>
              <w:spacing w:after="0"/>
              <w:rPr>
                <w:sz w:val="20"/>
                <w:szCs w:val="20"/>
                <w:color w:val="auto"/>
              </w:rPr>
            </w:pPr>
            <w:r>
              <w:rPr>
                <w:rFonts w:ascii="Arial" w:cs="Arial" w:eastAsia="Arial" w:hAnsi="Arial"/>
                <w:sz w:val="14"/>
                <w:szCs w:val="14"/>
                <w:color w:val="auto"/>
              </w:rPr>
              <w:t>23.27</w:t>
            </w:r>
          </w:p>
        </w:tc>
        <w:tc>
          <w:tcPr>
            <w:tcW w:w="0" w:type="dxa"/>
            <w:vAlign w:val="bottom"/>
          </w:tcPr>
          <w:p>
            <w:pPr>
              <w:spacing w:after="0"/>
              <w:rPr>
                <w:sz w:val="1"/>
                <w:szCs w:val="1"/>
                <w:color w:val="auto"/>
              </w:rPr>
            </w:pPr>
          </w:p>
        </w:tc>
      </w:tr>
      <w:tr>
        <w:trPr>
          <w:trHeight w:val="185"/>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 June 30,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3,458,496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23.89</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2"/>
          <w:szCs w:val="12"/>
          <w:color w:val="auto"/>
        </w:rPr>
        <w:t>(1) Excluded in the number of RSUs and RSAs are 200,000 participating RSAs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5467350</wp:posOffset>
            </wp:positionH>
            <wp:positionV relativeFrom="paragraph">
              <wp:posOffset>-78740</wp:posOffset>
            </wp:positionV>
            <wp:extent cx="873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340"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The Company recognized $6.1 million and $7.8 million for the three months ended June 30, 2021 and 2020 and $13.9 million and $16.8 million for the six months ended June 30, 2021 and 2020, respectively, of compensation expense in relation to RSUs. As of June 30, 2021 and December 31, 2020, total unrecognized share-based compensation expense related to unvested RSUs was $55.0 million and $37.1 million, respectively, and this amount is to be recognized over a weighted average period of 1.2 years and 1.0 year, respectively. Awards in which the specific performance conditions have not been met are not included in unrecognized share-based compensation expense.</w:t>
      </w:r>
    </w:p>
    <w:p>
      <w:pPr>
        <w:spacing w:after="0" w:line="204"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On November 13, 2020, the Company adopted the Virtu Financial, Inc. Deferred Compensation Plan (the "DCP"). The DCP permits eligible executive officers and other employees to defer cash or equity based compensation beginning in the calendar year ending December 31, 2021, subject to certain limitations and restrictions. Deferrals may also be directed to notional investments in certain of the employee investment opportunities. No amounts have been recognized as compensation cost under the DCP as of June 30, 2021.</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Regulatory Requirement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Subsidiary</w:t>
      </w:r>
    </w:p>
    <w:p>
      <w:pPr>
        <w:spacing w:after="0" w:line="250"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Company's U.S. broker-dealer subsidiary, VAL, is subject to the SEC Uniform Net Capital Rule 15c3-1, which requires the maintenance of minimum net capital as detailed in the table below. Pursuant to New York Stock Exchange ("NYSE") rules, VAL was also required to maintain $1.0 million of capital in connection with the operation of its designated market maker (“DMM”) business as of June 30, 2021. The required amount is determined under the exchange rules as the greater of (i) $1 million or (ii) $75,000 for every 0.1% of NYSE transaction dollar volume in each of the securities for which the Company is registered as the DMM.</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VAL's regulatory capital and regulatory capital requirements as of June 30, 2021 was as follows:</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524,404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2,415</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521,989</w:t>
            </w:r>
          </w:p>
        </w:tc>
        <w:tc>
          <w:tcPr>
            <w:tcW w:w="0" w:type="dxa"/>
            <w:vAlign w:val="bottom"/>
          </w:tcPr>
          <w:p>
            <w:pPr>
              <w:spacing w:after="0"/>
              <w:rPr>
                <w:sz w:val="1"/>
                <w:szCs w:val="1"/>
                <w:color w:val="auto"/>
              </w:rPr>
            </w:pPr>
          </w:p>
        </w:tc>
      </w:tr>
    </w:tbl>
    <w:p>
      <w:pPr>
        <w:spacing w:after="0" w:line="367" w:lineRule="exact"/>
        <w:rPr>
          <w:sz w:val="20"/>
          <w:szCs w:val="20"/>
          <w:color w:val="auto"/>
        </w:rPr>
      </w:pPr>
    </w:p>
    <w:p>
      <w:pPr>
        <w:ind w:right="160" w:firstLine="629"/>
        <w:spacing w:after="0" w:line="325" w:lineRule="auto"/>
        <w:rPr>
          <w:sz w:val="20"/>
          <w:szCs w:val="20"/>
          <w:color w:val="auto"/>
        </w:rPr>
      </w:pPr>
      <w:r>
        <w:rPr>
          <w:rFonts w:ascii="Arial" w:cs="Arial" w:eastAsia="Arial" w:hAnsi="Arial"/>
          <w:sz w:val="15"/>
          <w:szCs w:val="15"/>
          <w:color w:val="auto"/>
        </w:rPr>
        <w:t xml:space="preserve">As of June 30, 2021, VAL had $57.4 million of cash in special reserve bank accounts for the benefit of customers pursuant to SEC Rule 15c3-3, </w:t>
      </w:r>
      <w:r>
        <w:rPr>
          <w:rFonts w:ascii="Arial" w:cs="Arial" w:eastAsia="Arial" w:hAnsi="Arial"/>
          <w:sz w:val="15"/>
          <w:szCs w:val="15"/>
          <w:i w:val="1"/>
          <w:iCs w:val="1"/>
          <w:color w:val="auto"/>
        </w:rPr>
        <w:t xml:space="preserve">Computation for Determination of Reserve Requirements, </w:t>
      </w:r>
      <w:r>
        <w:rPr>
          <w:rFonts w:ascii="Arial" w:cs="Arial" w:eastAsia="Arial" w:hAnsi="Arial"/>
          <w:sz w:val="15"/>
          <w:szCs w:val="15"/>
          <w:color w:val="auto"/>
        </w:rPr>
        <w:t>and $8.8 million of cash in reserve bank accounts for the benefit of proprietary accounts of brokers.</w:t>
      </w:r>
      <w:r>
        <w:rPr>
          <w:rFonts w:ascii="Arial" w:cs="Arial" w:eastAsia="Arial" w:hAnsi="Arial"/>
          <w:sz w:val="15"/>
          <w:szCs w:val="15"/>
          <w:i w:val="1"/>
          <w:iCs w:val="1"/>
          <w:color w:val="auto"/>
        </w:rPr>
        <w:t xml:space="preserve"> </w:t>
      </w:r>
      <w:r>
        <w:rPr>
          <w:rFonts w:ascii="Arial" w:cs="Arial" w:eastAsia="Arial" w:hAnsi="Arial"/>
          <w:sz w:val="15"/>
          <w:szCs w:val="15"/>
          <w:color w:val="auto"/>
        </w:rPr>
        <w:t>The balances are included within Cash restricted or segregated under regulations and other on the Condensed Consolidated Statements of Financial Condition.</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VAL's regulatory capital and regulatory capital requirements as of December 31, 2020 was as follows:</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621,253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618,336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right="80" w:firstLine="629"/>
        <w:spacing w:after="0" w:line="359" w:lineRule="auto"/>
        <w:rPr>
          <w:sz w:val="20"/>
          <w:szCs w:val="20"/>
          <w:color w:val="auto"/>
        </w:rPr>
      </w:pPr>
      <w:r>
        <w:rPr>
          <w:rFonts w:ascii="Arial" w:cs="Arial" w:eastAsia="Arial" w:hAnsi="Arial"/>
          <w:sz w:val="15"/>
          <w:szCs w:val="15"/>
          <w:color w:val="auto"/>
        </w:rPr>
        <w:t xml:space="preserve">As of December 31, 2020, VAL had $96.2 million of cash in special reserve bank accounts for the benefit of customers pursuant to SEC Rule 15c3-3, </w:t>
      </w:r>
      <w:r>
        <w:rPr>
          <w:rFonts w:ascii="Arial" w:cs="Arial" w:eastAsia="Arial" w:hAnsi="Arial"/>
          <w:sz w:val="15"/>
          <w:szCs w:val="15"/>
          <w:i w:val="1"/>
          <w:iCs w:val="1"/>
          <w:color w:val="auto"/>
        </w:rPr>
        <w:t xml:space="preserve">Computation for Determination of Reserve Requirements, </w:t>
      </w:r>
      <w:r>
        <w:rPr>
          <w:rFonts w:ascii="Arial" w:cs="Arial" w:eastAsia="Arial" w:hAnsi="Arial"/>
          <w:sz w:val="15"/>
          <w:szCs w:val="15"/>
          <w:color w:val="auto"/>
        </w:rPr>
        <w:t>and $20.4 million of cash in reserve bank accounts for the benefit of proprietary accounts of brokers.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Subsidiaries</w:t>
      </w:r>
    </w:p>
    <w:p>
      <w:pPr>
        <w:spacing w:after="0" w:line="250" w:lineRule="exact"/>
        <w:rPr>
          <w:sz w:val="20"/>
          <w:szCs w:val="20"/>
          <w:color w:val="auto"/>
        </w:rPr>
      </w:pPr>
    </w:p>
    <w:p>
      <w:pPr>
        <w:ind w:right="220" w:firstLine="629"/>
        <w:spacing w:after="0" w:line="267" w:lineRule="auto"/>
        <w:rPr>
          <w:sz w:val="20"/>
          <w:szCs w:val="20"/>
          <w:color w:val="auto"/>
        </w:rPr>
      </w:pPr>
      <w:r>
        <w:rPr>
          <w:rFonts w:ascii="Arial" w:cs="Arial" w:eastAsia="Arial" w:hAnsi="Arial"/>
          <w:sz w:val="17"/>
          <w:szCs w:val="17"/>
          <w:color w:val="auto"/>
        </w:rPr>
        <w:t>The Company’s foreign subsidiaries are subject to regulatory capital requirements set by local regulatory bodies, including the Investment Industry Regulatory Organization of Canada (“IIROC”), the Central Bank of Ireland ("CBI"), the Financial Conduct Authority ("FCA") in the United Kingdom, the Australian Securities and Investments Commission ("ASIC"), the Securities and Futures Commission in Hong Kong ("SFC"), and the Monetary Authority of Singapore ("MAS").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regulatory net capital balances and regulatory capital requirements applicable to the Company's foreign subsidiaries as of June 30, 2021 were as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Canada</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Canada Corp</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14,360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640" w:type="dxa"/>
            <w:vAlign w:val="bottom"/>
          </w:tcPr>
          <w:p>
            <w:pPr>
              <w:jc w:val="right"/>
              <w:ind w:right="49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14,158</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Financial Canada ULC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Ireland</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Europe Limited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79,941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33,419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46,522</w:t>
            </w: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Financial Ireland Limited (1)</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111,837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59,446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52,391</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United Kingdom</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UK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Asia Pacific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Australia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29,612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10,036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19,576</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Hong Kong Limited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3,522</w:t>
            </w: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Singapore Pte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173"/>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(1) Preliminary</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right="280" w:firstLine="629"/>
        <w:spacing w:after="0" w:line="273" w:lineRule="auto"/>
        <w:rPr>
          <w:sz w:val="20"/>
          <w:szCs w:val="20"/>
          <w:color w:val="auto"/>
        </w:rPr>
      </w:pPr>
      <w:r>
        <w:rPr>
          <w:rFonts w:ascii="Arial" w:cs="Arial" w:eastAsia="Arial" w:hAnsi="Arial"/>
          <w:sz w:val="17"/>
          <w:szCs w:val="17"/>
          <w:color w:val="auto"/>
        </w:rPr>
        <w:t>As of June 30, 2021, Virtu ITG Europe Limited and Virtu ITG Canada Corp had $0.3 million and $0.4 million, respectively, of segregated funds on deposit for trade clearing and settlement activity, and Virtu ITG Hong Kong Ltd. had $30 thousand of segregated balances under a collateral account control agreement for the benefit of certain customers.</w:t>
      </w:r>
    </w:p>
    <w:p>
      <w:pPr>
        <w:spacing w:after="0" w:line="197" w:lineRule="exact"/>
        <w:rPr>
          <w:sz w:val="20"/>
          <w:szCs w:val="20"/>
          <w:color w:val="auto"/>
        </w:rPr>
      </w:pPr>
    </w:p>
    <w:p>
      <w:pPr>
        <w:ind w:firstLine="629"/>
        <w:spacing w:after="0" w:line="275" w:lineRule="auto"/>
        <w:rPr>
          <w:sz w:val="20"/>
          <w:szCs w:val="20"/>
          <w:color w:val="auto"/>
        </w:rPr>
      </w:pPr>
      <w:r>
        <w:rPr>
          <w:rFonts w:ascii="Arial" w:cs="Arial" w:eastAsia="Arial" w:hAnsi="Arial"/>
          <w:sz w:val="17"/>
          <w:szCs w:val="17"/>
          <w:color w:val="auto"/>
        </w:rPr>
        <w:t>The regulatory net capital balances and regulatory capital requirements applicable to the Company's foreign subsidiaries as of December 31, 2020 were as follows:</w:t>
      </w:r>
    </w:p>
    <w:tbl>
      <w:tblPr>
        <w:tblLayout w:type="fixed"/>
        <w:tblInd w:w="180" w:type="dxa"/>
        <w:tblCellMar>
          <w:top w:w="0" w:type="dxa"/>
          <w:left w:w="0" w:type="dxa"/>
          <w:bottom w:w="0" w:type="dxa"/>
          <w:right w:w="0" w:type="dxa"/>
        </w:tblCellMar>
      </w:tblPr>
      <w:tr>
        <w:trPr>
          <w:trHeight w:val="14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3"/>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Canada</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Canada Corp</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12,944</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5"/>
                <w:szCs w:val="15"/>
                <w:color w:val="auto"/>
              </w:rPr>
            </w:pPr>
          </w:p>
        </w:tc>
        <w:tc>
          <w:tcPr>
            <w:tcW w:w="640" w:type="dxa"/>
            <w:vAlign w:val="bottom"/>
          </w:tcPr>
          <w:p>
            <w:pPr>
              <w:jc w:val="right"/>
              <w:ind w:right="49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12,748</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Financial Canada ULC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183"/>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Ireland</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Europe Limited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25,353</w:t>
            </w: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Financial Ireland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94,528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41,038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53,490</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United Kingdom</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UK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Asia Pacific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Australia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30,606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12,729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17,877</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Hong Kong Limited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3,665</w:t>
            </w:r>
          </w:p>
        </w:tc>
        <w:tc>
          <w:tcPr>
            <w:tcW w:w="0" w:type="dxa"/>
            <w:vAlign w:val="bottom"/>
          </w:tcPr>
          <w:p>
            <w:pPr>
              <w:spacing w:after="0"/>
              <w:rPr>
                <w:sz w:val="1"/>
                <w:szCs w:val="1"/>
                <w:color w:val="auto"/>
              </w:rPr>
            </w:pPr>
          </w:p>
        </w:tc>
      </w:tr>
      <w:tr>
        <w:trPr>
          <w:trHeight w:val="178"/>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Singapore Pte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100" w:firstLine="629"/>
        <w:spacing w:after="0" w:line="273" w:lineRule="auto"/>
        <w:rPr>
          <w:sz w:val="20"/>
          <w:szCs w:val="20"/>
          <w:color w:val="auto"/>
        </w:rPr>
      </w:pPr>
      <w:r>
        <w:rPr>
          <w:rFonts w:ascii="Arial" w:cs="Arial" w:eastAsia="Arial" w:hAnsi="Arial"/>
          <w:sz w:val="17"/>
          <w:szCs w:val="17"/>
          <w:color w:val="auto"/>
        </w:rPr>
        <w:t>As of December 31, 2020, Virtu ITG Europe Limited and Virtu ITG Canada Corp had $0.2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Geographic Information and Business Segments</w:t>
      </w:r>
    </w:p>
    <w:p>
      <w:pPr>
        <w:spacing w:after="0" w:line="256" w:lineRule="exact"/>
        <w:rPr>
          <w:sz w:val="20"/>
          <w:szCs w:val="20"/>
          <w:color w:val="auto"/>
        </w:rPr>
      </w:pPr>
    </w:p>
    <w:p>
      <w:pPr>
        <w:ind w:right="40" w:firstLine="629"/>
        <w:spacing w:after="0" w:line="294" w:lineRule="auto"/>
        <w:rPr>
          <w:sz w:val="20"/>
          <w:szCs w:val="20"/>
          <w:color w:val="auto"/>
        </w:rPr>
      </w:pPr>
      <w:r>
        <w:rPr>
          <w:rFonts w:ascii="Arial" w:cs="Arial" w:eastAsia="Arial" w:hAnsi="Arial"/>
          <w:sz w:val="15"/>
          <w:szCs w:val="15"/>
          <w:color w:val="auto"/>
        </w:rPr>
        <w:t>The Company operates its business in the U.S. and internationally, primarily in Europe, Asia and Canada.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six months ended June 30,</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2021 and 2020</w:t>
      </w:r>
      <w:r>
        <w:rPr>
          <w:rFonts w:ascii="Arial" w:cs="Arial" w:eastAsia="Arial" w:hAnsi="Arial"/>
          <w:sz w:val="15"/>
          <w:szCs w:val="15"/>
          <w:color w:val="auto"/>
        </w:rPr>
        <w:t>:</w:t>
      </w:r>
    </w:p>
    <w:p>
      <w:pPr>
        <w:spacing w:after="0" w:line="267"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r>
      <w:tr>
        <w:trPr>
          <w:trHeight w:val="177"/>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81"/>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429,588</w:t>
            </w:r>
          </w:p>
        </w:tc>
        <w:tc>
          <w:tcPr>
            <w:tcW w:w="10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767,707</w:t>
            </w:r>
          </w:p>
        </w:tc>
        <w:tc>
          <w:tcPr>
            <w:tcW w:w="16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1,245,641</w:t>
            </w:r>
          </w:p>
        </w:tc>
        <w:tc>
          <w:tcPr>
            <w:tcW w:w="10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1,560,733</w:t>
            </w:r>
          </w:p>
        </w:tc>
      </w:tr>
      <w:tr>
        <w:trPr>
          <w:trHeight w:val="186"/>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Ireland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66,106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64,554</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187,475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172,464</w:t>
            </w:r>
          </w:p>
        </w:tc>
      </w:tr>
      <w:tr>
        <w:trPr>
          <w:trHeight w:val="181"/>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Singapore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29,420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46,818</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72,268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113,862</w:t>
            </w:r>
          </w:p>
        </w:tc>
      </w:tr>
      <w:tr>
        <w:trPr>
          <w:trHeight w:val="186"/>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15,107</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32,064</w:t>
            </w:r>
          </w:p>
        </w:tc>
      </w:tr>
      <w:tr>
        <w:trPr>
          <w:trHeight w:val="181"/>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Australia</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10,200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21,885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22,078</w:t>
            </w:r>
          </w:p>
        </w:tc>
      </w:tr>
      <w:tr>
        <w:trPr>
          <w:trHeight w:val="186"/>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 Kingdom</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2,980</w:t>
            </w:r>
          </w:p>
        </w:tc>
      </w:tr>
      <w:tr>
        <w:trPr>
          <w:trHeight w:val="181"/>
        </w:trPr>
        <w:tc>
          <w:tcPr>
            <w:tcW w:w="44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2,343</w:t>
            </w:r>
          </w:p>
        </w:tc>
      </w:tr>
      <w:tr>
        <w:trPr>
          <w:trHeight w:val="204"/>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548,965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905,903</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1,561,537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1,906,524</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w:t>
      </w:r>
    </w:p>
    <w:p>
      <w:pPr>
        <w:spacing w:after="0" w:line="250" w:lineRule="exact"/>
        <w:rPr>
          <w:sz w:val="20"/>
          <w:szCs w:val="20"/>
          <w:color w:val="auto"/>
        </w:rPr>
      </w:pPr>
    </w:p>
    <w:p>
      <w:pPr>
        <w:ind w:right="40" w:firstLine="629"/>
        <w:spacing w:after="0" w:line="283" w:lineRule="auto"/>
        <w:rPr>
          <w:sz w:val="20"/>
          <w:szCs w:val="20"/>
          <w:color w:val="auto"/>
        </w:rPr>
      </w:pPr>
      <w:r>
        <w:rPr>
          <w:rFonts w:ascii="Arial" w:cs="Arial" w:eastAsia="Arial" w:hAnsi="Arial"/>
          <w:sz w:val="16"/>
          <w:szCs w:val="16"/>
          <w:color w:val="auto"/>
        </w:rPr>
        <w:t>The Market Making segment principally consists of market making in the cash, futures and options markets across global equities,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192"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 as an agent for issuers in connection with at-the-market offerings and buyback programs.</w:t>
      </w:r>
    </w:p>
    <w:p>
      <w:pPr>
        <w:spacing w:after="0" w:line="202"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84" w:lineRule="exact"/>
        <w:rPr>
          <w:sz w:val="20"/>
          <w:szCs w:val="20"/>
          <w:color w:val="auto"/>
        </w:rPr>
      </w:pPr>
    </w:p>
    <w:p>
      <w:pPr>
        <w:ind w:right="160" w:firstLine="629"/>
        <w:spacing w:after="0" w:line="297" w:lineRule="auto"/>
        <w:rPr>
          <w:sz w:val="20"/>
          <w:szCs w:val="20"/>
          <w:color w:val="auto"/>
        </w:rPr>
      </w:pPr>
      <w:r>
        <w:rPr>
          <w:rFonts w:ascii="Arial" w:cs="Arial" w:eastAsia="Arial" w:hAnsi="Arial"/>
          <w:sz w:val="16"/>
          <w:szCs w:val="16"/>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June 30, 2021 and 2020 and are summarized in the following table:</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Market</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Execution</w:t>
            </w: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4"/>
                <w:szCs w:val="14"/>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83"/>
        </w:trPr>
        <w:tc>
          <w:tcPr>
            <w:tcW w:w="6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Making</w:t>
            </w:r>
          </w:p>
        </w:tc>
        <w:tc>
          <w:tcPr>
            <w:tcW w:w="2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5"/>
                <w:szCs w:val="15"/>
                <w:color w:val="auto"/>
              </w:rPr>
            </w:pPr>
          </w:p>
        </w:tc>
        <w:tc>
          <w:tcPr>
            <w:tcW w:w="1020" w:type="dxa"/>
            <w:vAlign w:val="bottom"/>
          </w:tcPr>
          <w:p>
            <w:pPr>
              <w:jc w:val="right"/>
              <w:ind w:right="45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40" w:type="dxa"/>
            <w:vAlign w:val="bottom"/>
          </w:tcPr>
          <w:p>
            <w:pPr>
              <w:ind w:left="140"/>
              <w:spacing w:after="0"/>
              <w:rPr>
                <w:sz w:val="20"/>
                <w:szCs w:val="20"/>
                <w:color w:val="auto"/>
              </w:rPr>
            </w:pPr>
            <w:r>
              <w:rPr>
                <w:rFonts w:ascii="Arial" w:cs="Arial" w:eastAsia="Arial" w:hAnsi="Arial"/>
                <w:sz w:val="14"/>
                <w:szCs w:val="14"/>
                <w:color w:val="auto"/>
              </w:rPr>
              <w:t>Total revenue</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402,541</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138,130</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left="510"/>
              <w:spacing w:after="0"/>
              <w:rPr>
                <w:sz w:val="20"/>
                <w:szCs w:val="20"/>
                <w:color w:val="auto"/>
              </w:rPr>
            </w:pPr>
            <w:r>
              <w:rPr>
                <w:rFonts w:ascii="Arial" w:cs="Arial" w:eastAsia="Arial" w:hAnsi="Arial"/>
                <w:sz w:val="14"/>
                <w:szCs w:val="14"/>
                <w:color w:val="auto"/>
                <w:w w:val="91"/>
              </w:rPr>
              <w:t>8,294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548,965</w:t>
            </w:r>
          </w:p>
        </w:tc>
        <w:tc>
          <w:tcPr>
            <w:tcW w:w="0" w:type="dxa"/>
            <w:vAlign w:val="bottom"/>
          </w:tcPr>
          <w:p>
            <w:pPr>
              <w:spacing w:after="0"/>
              <w:rPr>
                <w:sz w:val="1"/>
                <w:szCs w:val="1"/>
                <w:color w:val="auto"/>
              </w:rPr>
            </w:pPr>
          </w:p>
        </w:tc>
      </w:tr>
      <w:tr>
        <w:trPr>
          <w:trHeight w:val="186"/>
        </w:trPr>
        <w:tc>
          <w:tcPr>
            <w:tcW w:w="6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510"/>
              <w:spacing w:after="0"/>
              <w:rPr>
                <w:sz w:val="20"/>
                <w:szCs w:val="20"/>
                <w:color w:val="auto"/>
              </w:rPr>
            </w:pPr>
            <w:r>
              <w:rPr>
                <w:rFonts w:ascii="Arial" w:cs="Arial" w:eastAsia="Arial" w:hAnsi="Arial"/>
                <w:sz w:val="14"/>
                <w:szCs w:val="14"/>
                <w:color w:val="auto"/>
                <w:w w:val="91"/>
              </w:rPr>
              <w:t>6,373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135,002</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40" w:type="dxa"/>
            <w:vAlign w:val="bottom"/>
          </w:tcPr>
          <w:p>
            <w:pPr>
              <w:ind w:left="140"/>
              <w:spacing w:after="0"/>
              <w:rPr>
                <w:sz w:val="20"/>
                <w:szCs w:val="20"/>
                <w:color w:val="auto"/>
              </w:rPr>
            </w:pPr>
            <w:r>
              <w:rPr>
                <w:rFonts w:ascii="Arial" w:cs="Arial" w:eastAsia="Arial" w:hAnsi="Arial"/>
                <w:sz w:val="14"/>
                <w:szCs w:val="14"/>
                <w:color w:val="auto"/>
              </w:rPr>
              <w:t>Total revenue</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759,117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148,076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left="470"/>
              <w:spacing w:after="0"/>
              <w:rPr>
                <w:sz w:val="20"/>
                <w:szCs w:val="20"/>
                <w:color w:val="auto"/>
              </w:rPr>
            </w:pPr>
            <w:r>
              <w:rPr>
                <w:rFonts w:ascii="Arial" w:cs="Arial" w:eastAsia="Arial" w:hAnsi="Arial"/>
                <w:sz w:val="14"/>
                <w:szCs w:val="14"/>
                <w:color w:val="auto"/>
                <w:w w:val="90"/>
              </w:rPr>
              <w:t>(1,290)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905,903</w:t>
            </w:r>
          </w:p>
        </w:tc>
        <w:tc>
          <w:tcPr>
            <w:tcW w:w="0" w:type="dxa"/>
            <w:vAlign w:val="bottom"/>
          </w:tcPr>
          <w:p>
            <w:pPr>
              <w:spacing w:after="0"/>
              <w:rPr>
                <w:sz w:val="1"/>
                <w:szCs w:val="1"/>
                <w:color w:val="auto"/>
              </w:rPr>
            </w:pPr>
          </w:p>
        </w:tc>
      </w:tr>
      <w:tr>
        <w:trPr>
          <w:trHeight w:val="186"/>
        </w:trPr>
        <w:tc>
          <w:tcPr>
            <w:tcW w:w="6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before income taxes and noncontrolling interest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397,596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470"/>
              <w:spacing w:after="0"/>
              <w:rPr>
                <w:sz w:val="20"/>
                <w:szCs w:val="20"/>
                <w:color w:val="auto"/>
              </w:rPr>
            </w:pPr>
            <w:r>
              <w:rPr>
                <w:rFonts w:ascii="Arial" w:cs="Arial" w:eastAsia="Arial" w:hAnsi="Arial"/>
                <w:sz w:val="14"/>
                <w:szCs w:val="14"/>
                <w:color w:val="auto"/>
                <w:w w:val="90"/>
              </w:rPr>
              <w:t>(9,515)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404,535</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Pre-tax earnings by segment for the six months ended June 30, 2021 and 2020 are summarized in the following table:</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Execution Services</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Consolidated Total</w:t>
            </w:r>
          </w:p>
        </w:tc>
      </w:tr>
      <w:tr>
        <w:trPr>
          <w:trHeight w:val="181"/>
        </w:trPr>
        <w:tc>
          <w:tcPr>
            <w:tcW w:w="48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r>
      <w:tr>
        <w:trPr>
          <w:trHeight w:val="184"/>
        </w:trPr>
        <w:tc>
          <w:tcPr>
            <w:tcW w:w="4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1,226,265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327,369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1,561,537</w:t>
            </w:r>
          </w:p>
        </w:tc>
      </w:tr>
      <w:tr>
        <w:trPr>
          <w:trHeight w:val="181"/>
        </w:trPr>
        <w:tc>
          <w:tcPr>
            <w:tcW w:w="4820" w:type="dxa"/>
            <w:vAlign w:val="bottom"/>
          </w:tcPr>
          <w:p>
            <w:pPr>
              <w:ind w:left="140"/>
              <w:spacing w:after="0"/>
              <w:rPr>
                <w:sz w:val="20"/>
                <w:szCs w:val="20"/>
                <w:color w:val="auto"/>
              </w:rPr>
            </w:pPr>
            <w:r>
              <w:rPr>
                <w:rFonts w:ascii="Arial" w:cs="Arial" w:eastAsia="Arial" w:hAnsi="Arial"/>
                <w:sz w:val="14"/>
                <w:szCs w:val="14"/>
                <w:color w:val="auto"/>
              </w:rPr>
              <w:t>Income (loss) before income taxes and noncontrolling interest</w:t>
            </w:r>
          </w:p>
        </w:tc>
        <w:tc>
          <w:tcPr>
            <w:tcW w:w="1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577,848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44,409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624,789</w:t>
            </w:r>
          </w:p>
        </w:tc>
      </w:tr>
      <w:tr>
        <w:trPr>
          <w:trHeight w:val="212"/>
        </w:trPr>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3"/>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4"/>
        </w:trPr>
        <w:tc>
          <w:tcPr>
            <w:tcW w:w="4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1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1,589,703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1,906,524</w:t>
            </w:r>
          </w:p>
        </w:tc>
      </w:tr>
      <w:tr>
        <w:trPr>
          <w:trHeight w:val="178"/>
        </w:trPr>
        <w:tc>
          <w:tcPr>
            <w:tcW w:w="4820" w:type="dxa"/>
            <w:vAlign w:val="bottom"/>
          </w:tcPr>
          <w:p>
            <w:pPr>
              <w:ind w:left="140"/>
              <w:spacing w:after="0"/>
              <w:rPr>
                <w:sz w:val="20"/>
                <w:szCs w:val="20"/>
                <w:color w:val="auto"/>
              </w:rPr>
            </w:pPr>
            <w:r>
              <w:rPr>
                <w:rFonts w:ascii="Arial" w:cs="Arial" w:eastAsia="Arial" w:hAnsi="Arial"/>
                <w:sz w:val="14"/>
                <w:szCs w:val="14"/>
                <w:color w:val="auto"/>
              </w:rPr>
              <w:t>Income (loss) before income taxes and noncontrolling interest</w:t>
            </w:r>
          </w:p>
        </w:tc>
        <w:tc>
          <w:tcPr>
            <w:tcW w:w="1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849,142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35,850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870,760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Related Party Transactions</w:t>
      </w:r>
    </w:p>
    <w:p>
      <w:pPr>
        <w:spacing w:after="0" w:line="256"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The Company incurs expenses and maintains balances with its affiliates in the ordinary course of business. As of June 30, 2021, and December 31, 2020 the Company had net receivables from its affiliates of $2.4 million and $2.3 million, respectively.</w:t>
      </w:r>
    </w:p>
    <w:p>
      <w:pPr>
        <w:spacing w:after="0" w:line="184" w:lineRule="exact"/>
        <w:rPr>
          <w:sz w:val="20"/>
          <w:szCs w:val="20"/>
          <w:color w:val="auto"/>
        </w:rPr>
      </w:pPr>
    </w:p>
    <w:p>
      <w:pPr>
        <w:jc w:val="both"/>
        <w:ind w:firstLine="629"/>
        <w:spacing w:after="0" w:line="325" w:lineRule="auto"/>
        <w:rPr>
          <w:sz w:val="20"/>
          <w:szCs w:val="20"/>
          <w:color w:val="auto"/>
        </w:rPr>
      </w:pPr>
      <w:r>
        <w:rPr>
          <w:rFonts w:ascii="Arial" w:cs="Arial" w:eastAsia="Arial" w:hAnsi="Arial"/>
          <w:sz w:val="15"/>
          <w:szCs w:val="15"/>
          <w:color w:val="auto"/>
        </w:rPr>
        <w:t>The Company has held a minority interest in JNX since 2016 (see Note 9 "Financial Assets and Liabilities"). The Company pays exchange fees to JNX for the trading activities conducted on its proprietary trading system. The Company paid $3.4 million and $6.0 million for the three months ended June 30, 2021 and 2020, respectively, and $6.3 million and $9.7 million for the six months ended June 30, 2021 and 2020, respectively, to JNX for these trading activities.</w:t>
      </w:r>
    </w:p>
    <w:p>
      <w:pPr>
        <w:spacing w:after="0" w:line="164" w:lineRule="exact"/>
        <w:rPr>
          <w:sz w:val="20"/>
          <w:szCs w:val="20"/>
          <w:color w:val="auto"/>
        </w:rPr>
      </w:pPr>
    </w:p>
    <w:p>
      <w:pPr>
        <w:ind w:right="260" w:firstLine="629"/>
        <w:spacing w:after="0" w:line="267" w:lineRule="auto"/>
        <w:rPr>
          <w:sz w:val="20"/>
          <w:szCs w:val="20"/>
          <w:color w:val="auto"/>
        </w:rPr>
      </w:pPr>
      <w:r>
        <w:rPr>
          <w:rFonts w:ascii="Arial" w:cs="Arial" w:eastAsia="Arial" w:hAnsi="Arial"/>
          <w:sz w:val="17"/>
          <w:szCs w:val="17"/>
          <w:color w:val="auto"/>
        </w:rPr>
        <w:t>The Company makes payments to two JVs (see Note 11 "Variable Interest Entities") to fund the construction of the microwave communication networks, and to purchase microwave communication networks, which are recorded within Communications and data processing on the Condensed Consolidated Statements of Comprehensive Income. The Company made payments of $4.7 million both for the three months ended June 30, 2021 and 2020, and $9.3 million and $9.4 million for the six months ended June 30, 2021 and 2020, respectively, to these JVs.</w:t>
      </w:r>
    </w:p>
    <w:p>
      <w:pPr>
        <w:spacing w:after="0" w:line="204" w:lineRule="exact"/>
        <w:rPr>
          <w:sz w:val="20"/>
          <w:szCs w:val="20"/>
          <w:color w:val="auto"/>
        </w:rPr>
      </w:pPr>
    </w:p>
    <w:p>
      <w:pPr>
        <w:jc w:val="both"/>
        <w:ind w:right="480" w:firstLine="629"/>
        <w:spacing w:after="0" w:line="297" w:lineRule="auto"/>
        <w:rPr>
          <w:sz w:val="20"/>
          <w:szCs w:val="20"/>
          <w:color w:val="auto"/>
        </w:rPr>
      </w:pPr>
      <w:r>
        <w:rPr>
          <w:rFonts w:ascii="Arial" w:cs="Arial" w:eastAsia="Arial" w:hAnsi="Arial"/>
          <w:sz w:val="16"/>
          <w:szCs w:val="16"/>
          <w:color w:val="auto"/>
        </w:rPr>
        <w:t>The Company purchases network connections services from affiliates of Level 3 Communications (“Level 3”). Temasek and its affiliates have a significant ownership interest in Level 3. The Company paid $0.3 million for both the three months ended June 30, 2021 and 2020, respectively, and $0.7 million and $0.8 million for the six months ended June 30, 2021 and 2020, respectively, to Level 3 for these services.</w:t>
      </w:r>
    </w:p>
    <w:p>
      <w:pPr>
        <w:spacing w:after="0" w:line="181" w:lineRule="exact"/>
        <w:rPr>
          <w:sz w:val="20"/>
          <w:szCs w:val="20"/>
          <w:color w:val="auto"/>
        </w:rPr>
      </w:pPr>
    </w:p>
    <w:p>
      <w:pPr>
        <w:jc w:val="both"/>
        <w:ind w:right="240" w:firstLine="629"/>
        <w:spacing w:after="0" w:line="273" w:lineRule="auto"/>
        <w:rPr>
          <w:sz w:val="20"/>
          <w:szCs w:val="20"/>
          <w:color w:val="auto"/>
        </w:rPr>
      </w:pPr>
      <w:r>
        <w:rPr>
          <w:rFonts w:ascii="Arial" w:cs="Arial" w:eastAsia="Arial" w:hAnsi="Arial"/>
          <w:sz w:val="17"/>
          <w:szCs w:val="17"/>
          <w:color w:val="auto"/>
        </w:rPr>
        <w:t>The Company makes commission-sharing arrangement ("CSA") payments to affiliates of DBS Group Holdings ("DBS"). Temasek and its affiliates have a significant ownership interest in DBS. Payments for the three and six months ended June 30, 2021 were immaterial. The Company made payments of $0.2 million for the three and six months ended June 30, 2020.</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Subsequent Events</w:t>
      </w:r>
    </w:p>
    <w:p>
      <w:pPr>
        <w:spacing w:after="0" w:line="256"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firstLine="629"/>
        <w:spacing w:after="0" w:line="359" w:lineRule="auto"/>
        <w:rPr>
          <w:sz w:val="20"/>
          <w:szCs w:val="20"/>
          <w:color w:val="auto"/>
        </w:rPr>
      </w:pPr>
      <w:r>
        <w:rPr>
          <w:rFonts w:ascii="Arial" w:cs="Arial" w:eastAsia="Arial" w:hAnsi="Arial"/>
          <w:sz w:val="15"/>
          <w:szCs w:val="15"/>
          <w:color w:val="auto"/>
        </w:rPr>
        <w:t>On August 4, 2021, the Company’s Board of Directors declared a dividend of $0.24 per share of Class A Common Stock and Class B Common Stock and per participating Restricted Stock Unit and Restricted Stock Award that will be paid on September 15, 2021 to holders of record as of September 1, 2021.</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The following management’s discussion and analysis covers the three and six months ended June 30, 2021 and 2020 and should be read in conjunction with the consolidated financial statements of Virtu Financial, Inc. (the “Company”) for the period ended June 30, 2021, which are included in Part I, Item 1 of this Quarterly Report on Form 10-Q, and the audited consolidated financial statements and accompanying notes and MD&amp;A for the year ended December 31, 2020, which are included in Items 8 and 7, respectively, of the Company's Annual Report on Form 10-K for the year ended December 31, 2020.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5" w:lineRule="exact"/>
        <w:rPr>
          <w:sz w:val="20"/>
          <w:szCs w:val="20"/>
          <w:color w:val="auto"/>
        </w:rPr>
      </w:pPr>
    </w:p>
    <w:p>
      <w:pPr>
        <w:ind w:firstLine="629"/>
        <w:spacing w:after="0" w:line="276"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this Quarterly Report on Form 10-Q,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Annual Report on Form 10-K for the year ended December 31, 2020, as filed with the Securities and Exchange Commission (“SEC”) on February 25, 2021 (the “2020 Form 10-K”), could affect our actual financial results or results of operations and cash flows, and could cause actual results to differ materially from those in such forward-looking statements, including but not limited to:</w:t>
      </w:r>
    </w:p>
    <w:p>
      <w:pPr>
        <w:spacing w:after="0" w:line="73" w:lineRule="exact"/>
        <w:rPr>
          <w:sz w:val="20"/>
          <w:szCs w:val="20"/>
          <w:color w:val="auto"/>
        </w:rPr>
      </w:pPr>
    </w:p>
    <w:p>
      <w:pPr>
        <w:ind w:left="940" w:hanging="149"/>
        <w:spacing w:after="0" w:line="267"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currently work remotely and our return to office plan, each of which may increase operational risk, as well as increases in market, counterparty and other forms of operational risk;</w:t>
      </w:r>
    </w:p>
    <w:p>
      <w:pPr>
        <w:spacing w:after="0" w:line="73"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volatility in levels of overall trading activity;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dependence upon trading counterparties and clearing houses performing their obligations to us;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failures of our customized trading platform;</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inherent to the electronic market making business and trading generally;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increased competition in market making activities and execution services;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dependence on continued access to sources of liquidity;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associated with self-clearing and other operational elements of our business, including but limited to risks related to funding and liquidity;</w:t>
      </w:r>
    </w:p>
    <w:p>
      <w:pPr>
        <w:spacing w:after="0" w:line="130" w:lineRule="exact"/>
        <w:rPr>
          <w:rFonts w:ascii="Arial" w:cs="Arial" w:eastAsia="Arial" w:hAnsi="Arial"/>
          <w:sz w:val="16"/>
          <w:szCs w:val="16"/>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obligations to comply with applicable regulatory capital requirements;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litigation or other legal and regulatory-based liabilities;</w:t>
      </w:r>
    </w:p>
    <w:p>
      <w:pPr>
        <w:spacing w:after="0" w:line="118" w:lineRule="exact"/>
        <w:rPr>
          <w:rFonts w:ascii="Arial" w:cs="Arial" w:eastAsia="Arial" w:hAnsi="Arial"/>
          <w:sz w:val="17"/>
          <w:szCs w:val="17"/>
          <w:color w:val="auto"/>
        </w:rPr>
      </w:pPr>
    </w:p>
    <w:p>
      <w:pPr>
        <w:jc w:val="both"/>
        <w:ind w:left="940" w:right="400" w:hanging="149"/>
        <w:spacing w:after="0" w:line="273"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66"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obligations to comply with laws and regulations applicable to our operations in the U.S. and abroad;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enhanced media and regulatory scrutiny and its impact upon public perception of us or of companies in our industry;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need to maintain and continue developing proprietary technologies;</w:t>
      </w:r>
    </w:p>
    <w:p>
      <w:pPr>
        <w:spacing w:after="0" w:line="118" w:lineRule="exact"/>
        <w:rPr>
          <w:rFonts w:ascii="Arial" w:cs="Arial" w:eastAsia="Arial" w:hAnsi="Arial"/>
          <w:sz w:val="17"/>
          <w:szCs w:val="17"/>
          <w:color w:val="auto"/>
        </w:rPr>
      </w:pPr>
    </w:p>
    <w:p>
      <w:pPr>
        <w:ind w:left="940" w:right="20" w:hanging="149"/>
        <w:spacing w:after="0" w:line="297" w:lineRule="auto"/>
        <w:tabs>
          <w:tab w:leader="none" w:pos="9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the Acquisition of KCG and ITG Acquisition (as defined below) on ongoing business operations generally, including our ability to achieve cost-saving synergies related to these historical acquisitions, and the assumption of potential liabilities and risks relating to these historical acquisitions, and the significant costs and significant indebtedness that we have incurred in connection therewith;</w:t>
      </w:r>
    </w:p>
    <w:p>
      <w:pPr>
        <w:spacing w:after="0" w:line="50" w:lineRule="exact"/>
        <w:rPr>
          <w:rFonts w:ascii="Arial" w:cs="Arial" w:eastAsia="Arial" w:hAnsi="Arial"/>
          <w:sz w:val="16"/>
          <w:szCs w:val="16"/>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capacity constraints, system failures, and delays;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dependence on third-party infrastructure or systems;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use of open source software;</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protect or enforce our intellectual property rights in our proprietary technology;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protect confidential and proprietary information;</w:t>
      </w:r>
    </w:p>
    <w:p>
      <w:pPr>
        <w:spacing w:after="0" w:line="118" w:lineRule="exact"/>
        <w:rPr>
          <w:rFonts w:ascii="Arial" w:cs="Arial" w:eastAsia="Arial" w:hAnsi="Arial"/>
          <w:sz w:val="17"/>
          <w:szCs w:val="17"/>
          <w:color w:val="auto"/>
        </w:rPr>
      </w:pPr>
    </w:p>
    <w:p>
      <w:pPr>
        <w:ind w:left="940" w:right="240" w:hanging="149"/>
        <w:spacing w:after="0" w:line="289"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protect our systems from internal or external cyber threats that could result in damage to our computer systems, business interruption, loss of data or other consequences;</w:t>
      </w:r>
    </w:p>
    <w:p>
      <w:pPr>
        <w:spacing w:after="0" w:line="53"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associated with international operations and expansion, including failed acquisitions or dispositions;</w:t>
      </w:r>
    </w:p>
    <w:p>
      <w:pPr>
        <w:spacing w:after="0" w:line="118" w:lineRule="exact"/>
        <w:rPr>
          <w:rFonts w:ascii="Arial" w:cs="Arial" w:eastAsia="Arial" w:hAnsi="Arial"/>
          <w:sz w:val="17"/>
          <w:szCs w:val="17"/>
          <w:color w:val="auto"/>
        </w:rPr>
      </w:pPr>
    </w:p>
    <w:p>
      <w:pPr>
        <w:ind w:left="940" w:right="100" w:hanging="149"/>
        <w:spacing w:after="0" w:line="267"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spacing w:after="0" w:line="73"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associated with potential growth and associated corporate actions;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inability to access, or delay in accessing the capital markets to sell shares or raise additional capital;</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loss of key executives and failure to recruit and retain qualified personnel; and</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associated with losing access to a significant exchange or other trading venue.</w:t>
      </w:r>
    </w:p>
    <w:p>
      <w:pPr>
        <w:spacing w:after="0" w:line="250" w:lineRule="exact"/>
        <w:rPr>
          <w:sz w:val="20"/>
          <w:szCs w:val="20"/>
          <w:color w:val="auto"/>
        </w:rPr>
      </w:pPr>
    </w:p>
    <w:p>
      <w:pPr>
        <w:ind w:right="80" w:firstLine="629"/>
        <w:spacing w:after="0" w:line="314" w:lineRule="auto"/>
        <w:rPr>
          <w:sz w:val="20"/>
          <w:szCs w:val="20"/>
          <w:color w:val="auto"/>
        </w:rPr>
      </w:pPr>
      <w:r>
        <w:rPr>
          <w:rFonts w:ascii="Arial" w:cs="Arial" w:eastAsia="Arial" w:hAnsi="Arial"/>
          <w:sz w:val="15"/>
          <w:szCs w:val="15"/>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17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the COVID-19 Pandemic</w:t>
      </w:r>
    </w:p>
    <w:p>
      <w:pPr>
        <w:spacing w:after="0" w:line="256" w:lineRule="exact"/>
        <w:rPr>
          <w:sz w:val="20"/>
          <w:szCs w:val="20"/>
          <w:color w:val="auto"/>
        </w:rPr>
      </w:pPr>
    </w:p>
    <w:p>
      <w:pPr>
        <w:ind w:left="680"/>
        <w:spacing w:after="0"/>
        <w:rPr>
          <w:sz w:val="20"/>
          <w:szCs w:val="20"/>
          <w:color w:val="auto"/>
        </w:rPr>
      </w:pPr>
      <w:r>
        <w:rPr>
          <w:rFonts w:ascii="Arial" w:cs="Arial" w:eastAsia="Arial" w:hAnsi="Arial"/>
          <w:sz w:val="15"/>
          <w:szCs w:val="15"/>
          <w:color w:val="auto"/>
        </w:rPr>
        <w:t>For a discussion on the potential impacts of the COVID-19 outbreak on our business, see Part I Item 1A “Risk Factors” of our Annual Report on Form</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10-K.</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6"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09"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191"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204"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204"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Making</w:t>
      </w:r>
    </w:p>
    <w:p>
      <w:pPr>
        <w:spacing w:after="0" w:line="250"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We leverage cutting edge technology to provide competitive and deep liquidity that helps to create more efficient markets around the world. As a market maker and liquidity provider, we stand ready, at any time, to buy or sell a broad range of securities,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209" w:lineRule="exact"/>
        <w:rPr>
          <w:sz w:val="20"/>
          <w:szCs w:val="20"/>
          <w:color w:val="auto"/>
        </w:rPr>
      </w:pPr>
    </w:p>
    <w:p>
      <w:pPr>
        <w:ind w:right="280" w:firstLine="629"/>
        <w:spacing w:after="0" w:line="273" w:lineRule="auto"/>
        <w:rPr>
          <w:sz w:val="20"/>
          <w:szCs w:val="20"/>
          <w:color w:val="auto"/>
        </w:rPr>
      </w:pPr>
      <w:r>
        <w:rPr>
          <w:rFonts w:ascii="Arial" w:cs="Arial" w:eastAsia="Arial" w:hAnsi="Arial"/>
          <w:sz w:val="17"/>
          <w:szCs w:val="17"/>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increases.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Execution Services</w:t>
      </w:r>
    </w:p>
    <w:p>
      <w:pPr>
        <w:spacing w:after="0" w:line="250"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250"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ITG and KCG</w:t>
      </w:r>
    </w:p>
    <w:p>
      <w:pPr>
        <w:spacing w:after="0" w:line="256" w:lineRule="exact"/>
        <w:rPr>
          <w:sz w:val="20"/>
          <w:szCs w:val="20"/>
          <w:color w:val="auto"/>
        </w:rPr>
      </w:pPr>
    </w:p>
    <w:p>
      <w:pPr>
        <w:ind w:firstLine="629"/>
        <w:spacing w:after="0" w:line="260" w:lineRule="auto"/>
        <w:rPr>
          <w:sz w:val="20"/>
          <w:szCs w:val="20"/>
          <w:color w:val="auto"/>
        </w:rPr>
      </w:pPr>
      <w:r>
        <w:rPr>
          <w:rFonts w:ascii="Arial" w:cs="Arial" w:eastAsia="Arial" w:hAnsi="Arial"/>
          <w:sz w:val="17"/>
          <w:szCs w:val="17"/>
          <w:color w:val="auto"/>
        </w:rPr>
        <w:t>On March 1, 2019, the "ITG Closing Date", we announced the completion of Investment Technology Group, Inc. and its subsidiaries ("ITG") in an all-cash transaction valued at $30.30 per ITG share, for a total of approximately $1.0 billion (the "ITG Acquisition").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 The Credit Agreement provided (i) the First Lien Term Loan Facility (as defined below) in an aggregate principal amount of $1.5 billion,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to be paid in connection with the ITG Acquisition, and (ii) the First Lien Revolving Facility (as defined below),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dated as of June 30, 2017 (as amended on January 2, 2018 and September 19, 2018, the “Fourth Amended and Restated Credit Agreement”) was terminated.</w:t>
      </w:r>
    </w:p>
    <w:p>
      <w:pPr>
        <w:spacing w:after="0" w:line="212"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As described below, the Credit Agreement was amended on October 9, 2019, on which date VFH borrowed an additional $525.0 million of incremental first lien term loans, the proceeds of which were used together with cash on hand to redeem the Notes (as defined below). The Indenture (as defined below) was fully terminated following such redemption. The Credit Agreement was further amended on March 2, 2020 to, among other things, reduce the interest rate spread over LIBOR or the applicable benchmark by 0.50%.</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July 20, 2017 (the “KCG Closing Date”), the Company completed the all-cash acquisition of KCG Holdings, Inc. (“KCG”) (the “Acquisition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KCG”).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2015 Management Incentive Plan</w:t>
      </w:r>
    </w:p>
    <w:p>
      <w:pPr>
        <w:spacing w:after="0" w:line="256" w:lineRule="exact"/>
        <w:rPr>
          <w:sz w:val="20"/>
          <w:szCs w:val="20"/>
          <w:color w:val="auto"/>
        </w:rPr>
      </w:pPr>
    </w:p>
    <w:p>
      <w:pPr>
        <w:ind w:firstLine="629"/>
        <w:spacing w:after="0" w:line="260"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shareholders on June 5, 2020.</w:t>
      </w:r>
    </w:p>
    <w:p>
      <w:pPr>
        <w:spacing w:after="0" w:line="214" w:lineRule="exact"/>
        <w:rPr>
          <w:sz w:val="20"/>
          <w:szCs w:val="20"/>
          <w:color w:val="auto"/>
        </w:rPr>
      </w:pPr>
    </w:p>
    <w:p>
      <w:pPr>
        <w:ind w:right="20" w:firstLine="629"/>
        <w:spacing w:after="0" w:line="280" w:lineRule="auto"/>
        <w:rPr>
          <w:sz w:val="20"/>
          <w:szCs w:val="20"/>
          <w:color w:val="auto"/>
        </w:rPr>
      </w:pPr>
      <w:r>
        <w:rPr>
          <w:rFonts w:ascii="Arial" w:cs="Arial" w:eastAsia="Arial" w:hAnsi="Arial"/>
          <w:sz w:val="16"/>
          <w:szCs w:val="16"/>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June 30, 2021, options to purchase 1,628,750 shares in the aggregate were forfeited and 5,683,095 options were exercised. The fair value of the stock option grants was determined through the application of the Black-Scholes-Merton model and was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is recognized on a straight-line basis over the vesting period.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Investment Technology Group, Inc. 2007 Omnibus Equity Compensation Plan</w:t>
      </w:r>
    </w:p>
    <w:p>
      <w:pPr>
        <w:spacing w:after="0" w:line="256"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Parent Company Financial Information</w:t>
      </w:r>
    </w:p>
    <w:p>
      <w:pPr>
        <w:spacing w:after="0" w:line="250" w:lineRule="exact"/>
        <w:rPr>
          <w:sz w:val="20"/>
          <w:szCs w:val="20"/>
          <w:color w:val="auto"/>
        </w:rPr>
      </w:pPr>
    </w:p>
    <w:p>
      <w:pPr>
        <w:ind w:right="40" w:firstLine="629"/>
        <w:spacing w:after="0" w:line="261" w:lineRule="auto"/>
        <w:rPr>
          <w:sz w:val="20"/>
          <w:szCs w:val="20"/>
          <w:color w:val="auto"/>
        </w:rPr>
      </w:pPr>
      <w:r>
        <w:rPr>
          <w:rFonts w:ascii="Arial" w:cs="Arial" w:eastAsia="Arial" w:hAnsi="Arial"/>
          <w:sz w:val="17"/>
          <w:szCs w:val="17"/>
          <w:color w:val="auto"/>
        </w:rPr>
        <w:t>There are no material differences between our condensed consolidated financial statements and the financial statements of Virtu Financial except as follows: (i) cash and cash equivalents reflected on our Condensed Consolidated Statements of Financial Condition as of June 30, 2021 in the amount of $111.2 million; (ii) deferred tax assets reflected on our Condensed Consolidated Statements of Financial Condition as of June 30, 2021 in the amount of $171.0 million and tax receivable agreement obligation in the amount of $254.7 million, in each case as described in greater detail in Note 4 "Tax Receivable Agreements" of Part I Item 1 “Financial Statements” of this Quarterly Report on Form 10-Q; (iii) a portion of the member's equity of Virtu Financial is represented as non-controlling interest on our Condensed Consolidated Statements of Financial Condition as of June 30, 2021; and (iv) provision for corporate income tax in the amount of $17.4 million and $79.8 million reflected on our Condensed Consolidated Statements of Comprehensive Income for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56"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The following table shows our i) Total revenue, ii) Total operating expenses, and iii) Income before income taxes and noncontrolling interest by segment for the three and six months ended June 30, 2021 and 2020:</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26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6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2020</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402,541</w:t>
            </w:r>
          </w:p>
        </w:tc>
        <w:tc>
          <w:tcPr>
            <w:tcW w:w="10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759,117</w:t>
            </w:r>
          </w:p>
        </w:tc>
        <w:tc>
          <w:tcPr>
            <w:tcW w:w="12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1,226,265</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1,589,703</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277,970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361,521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648,417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740,561</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124,571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397,596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577,848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849,142</w:t>
            </w:r>
          </w:p>
        </w:tc>
      </w:tr>
      <w:tr>
        <w:trPr>
          <w:trHeight w:val="18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138,130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148,076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327,369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317,941</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134,072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131,622</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282,960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282,091</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4,058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16,454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44,409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35,850</w:t>
            </w:r>
          </w:p>
        </w:tc>
      </w:tr>
      <w:tr>
        <w:trPr>
          <w:trHeight w:val="18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(1,120)</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8,225</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13,112</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(9,515)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2,532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(14,232)</w:t>
            </w:r>
          </w:p>
        </w:tc>
      </w:tr>
      <w:tr>
        <w:trPr>
          <w:trHeight w:val="18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548,965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905,903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1,561,537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1,906,524</w:t>
            </w:r>
          </w:p>
        </w:tc>
      </w:tr>
      <w:tr>
        <w:trPr>
          <w:trHeight w:val="183"/>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413,963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501,368</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936,748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1,035,764</w:t>
            </w:r>
          </w:p>
        </w:tc>
      </w:tr>
      <w:tr>
        <w:trPr>
          <w:trHeight w:val="179"/>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135,002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404,535</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624,789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870,760</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our results of operations for the three and six months ended June 30, 2021 and 2020:</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r>
      <w:tr>
        <w:trPr>
          <w:trHeight w:val="176"/>
        </w:trPr>
        <w:tc>
          <w:tcPr>
            <w:tcW w:w="51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184"/>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384,832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743,996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1,197,576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1,546,461</w:t>
            </w: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income</w:t>
            </w: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9,545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9,340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16,541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35,856</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143,115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147,736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334,764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318,481</w:t>
            </w:r>
          </w:p>
        </w:tc>
      </w:tr>
      <w:tr>
        <w:trPr>
          <w:trHeight w:val="181"/>
        </w:trPr>
        <w:tc>
          <w:tcPr>
            <w:tcW w:w="5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11,473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4,831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5,726</w:t>
            </w:r>
          </w:p>
        </w:tc>
      </w:tr>
      <w:tr>
        <w:trPr>
          <w:trHeight w:val="179"/>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548,965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905,903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1,561,537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1,906,524</w:t>
            </w:r>
          </w:p>
        </w:tc>
      </w:tr>
      <w:tr>
        <w:trPr>
          <w:trHeight w:val="210"/>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3"/>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Brokerage, exchange, clearance fees and payments for order flow, net</w:t>
            </w: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170,691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203,503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430,023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377,321</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Communication and data processing</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52,507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55,662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110,689</w:t>
            </w: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Employee compensation and payroll taxes</w:t>
            </w: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83,849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120,934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188,620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291,292</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and dividends expense</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24,971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28,841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48,999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70,281</w:t>
            </w: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Operations and administrative</w:t>
            </w: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21,753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21,737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47,408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48,867</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16,349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16,713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34,073</w:t>
            </w: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18,077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18,954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36,154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37,912</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Termination of office leases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3,667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283</w:t>
            </w: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1,989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13,195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17,366</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 advisory fees and expenses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274</w:t>
            </w:r>
          </w:p>
        </w:tc>
      </w:tr>
      <w:tr>
        <w:trPr>
          <w:trHeight w:val="181"/>
        </w:trPr>
        <w:tc>
          <w:tcPr>
            <w:tcW w:w="5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Financing interest expense on long-term borrowings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20,113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21,736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39,605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47,406</w:t>
            </w:r>
          </w:p>
        </w:tc>
      </w:tr>
      <w:tr>
        <w:trPr>
          <w:trHeight w:val="179"/>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413,963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501,368</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936,748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1,035,764</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135,002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404,535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624,789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870,760</w:t>
            </w:r>
          </w:p>
        </w:tc>
      </w:tr>
      <w:tr>
        <w:trPr>
          <w:trHeight w:val="183"/>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26,095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69,250</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106,650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147,237</w:t>
            </w:r>
          </w:p>
        </w:tc>
      </w:tr>
      <w:tr>
        <w:trPr>
          <w:trHeight w:val="179"/>
        </w:trPr>
        <w:tc>
          <w:tcPr>
            <w:tcW w:w="5260" w:type="dxa"/>
            <w:vAlign w:val="bottom"/>
            <w:gridSpan w:val="2"/>
          </w:tcPr>
          <w:p>
            <w:pPr>
              <w:ind w:left="22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108,907</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335,285</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518,139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723,523</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50"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195" w:lineRule="exact"/>
        <w:rPr>
          <w:sz w:val="20"/>
          <w:szCs w:val="20"/>
          <w:color w:val="auto"/>
        </w:rPr>
      </w:pPr>
    </w:p>
    <w:p>
      <w:pPr>
        <w:ind w:firstLine="629"/>
        <w:spacing w:after="0" w:line="325" w:lineRule="auto"/>
        <w:rPr>
          <w:sz w:val="20"/>
          <w:szCs w:val="20"/>
          <w:color w:val="auto"/>
        </w:rPr>
      </w:pPr>
      <w:r>
        <w:rPr>
          <w:rFonts w:ascii="Arial" w:cs="Arial" w:eastAsia="Arial" w:hAnsi="Arial"/>
          <w:sz w:val="15"/>
          <w:szCs w:val="15"/>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64"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represents revenue earned from bid/ask spreads. Trading income is generated in the normal course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making activities and is typically proportional to the level of trading activity, or volumes, and bid/ask spreads in the asset classes we serve. Our trading income is highly diversified by asset class and geography and is comprised of small amounts earned on millions of trades on various exchanges, primarily in the following two categories: (i) Global Equities and (ii) Global FICC, Options and Other. Our trading income, net, results from gains and losses associated with trading strategies, which are designed to capture small bid-ask spreads, while hedging risks. Trading income, net, accounted for 77% and 81% of our total revenues for the six months ended June 30, 2021 and 2020, respectively.</w:t>
      </w:r>
    </w:p>
    <w:p>
      <w:pPr>
        <w:spacing w:after="0" w:line="208" w:lineRule="exact"/>
        <w:rPr>
          <w:sz w:val="20"/>
          <w:szCs w:val="20"/>
          <w:color w:val="auto"/>
        </w:rPr>
      </w:pPr>
    </w:p>
    <w:p>
      <w:pPr>
        <w:ind w:right="160" w:firstLine="629"/>
        <w:spacing w:after="0" w:line="267"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Our market making activities require us to hold securities on a regular basis, and we generate revenues in the form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dividends income from these securities. Interest is also earned on securities borrowed from other market participants pursuant to collateralized financing arrangements and on cash held by brokers. Dividend income arises from holding market making positions over dates on which dividends are paid to shareholders of record.</w:t>
      </w:r>
    </w:p>
    <w:p>
      <w:pPr>
        <w:spacing w:after="0" w:line="204"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We earn revenues on transactions for which we charge explicit commissions or commission equivalents,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212" w:lineRule="exact"/>
        <w:rPr>
          <w:sz w:val="20"/>
          <w:szCs w:val="20"/>
          <w:color w:val="auto"/>
        </w:rPr>
      </w:pPr>
    </w:p>
    <w:p>
      <w:pPr>
        <w:ind w:right="460" w:firstLine="629"/>
        <w:spacing w:after="0" w:line="273" w:lineRule="auto"/>
        <w:rPr>
          <w:sz w:val="20"/>
          <w:szCs w:val="20"/>
          <w:color w:val="auto"/>
        </w:rPr>
      </w:pPr>
      <w:r>
        <w:rPr>
          <w:rFonts w:ascii="Arial" w:cs="Arial" w:eastAsia="Arial" w:hAnsi="Arial"/>
          <w:sz w:val="17"/>
          <w:szCs w:val="17"/>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97"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We have interests in multiple strategic investments and telecommunications joint ventures (“JVs”). We record our pro-rata share of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JV’s earnings or losses within other, net, while fees related to the use of communication services provided by the JVs are recorded within communications and data processing.</w:t>
      </w:r>
    </w:p>
    <w:p>
      <w:pPr>
        <w:spacing w:after="0" w:line="197"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We have a noncontrolling investment (the “JNX Investment”) in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197"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Other, net can also include gains on sales of businesses, revenues from service agreements related to the sale of businesses, and the gain or loss on the ineffective portion of derivatives used as cash flow hedging instruments.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50"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b w:val="1"/>
          <w:bCs w:val="1"/>
          <w:i w:val="1"/>
          <w:iCs w:val="1"/>
          <w:color w:val="auto"/>
        </w:rPr>
        <w:t xml:space="preserve">Brokerage, exchange, clearance fees and payments for order flow, net. </w:t>
      </w:r>
      <w:r>
        <w:rPr>
          <w:rFonts w:ascii="Arial" w:cs="Arial" w:eastAsia="Arial" w:hAnsi="Arial"/>
          <w:sz w:val="16"/>
          <w:szCs w:val="16"/>
          <w:color w:val="auto"/>
        </w:rPr>
        <w:t>Brokerage, exchange, clearance fees and payments for order flow are our most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95" w:lineRule="exact"/>
        <w:rPr>
          <w:sz w:val="20"/>
          <w:szCs w:val="20"/>
          <w:color w:val="auto"/>
        </w:rPr>
      </w:pPr>
    </w:p>
    <w:p>
      <w:pPr>
        <w:ind w:right="60" w:firstLine="629"/>
        <w:spacing w:after="0" w:line="289"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represent primarily fixed expenses for leased equipment, equipment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88"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include employee salaries, cash and non-cash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employee benefits, payroll taxes, severance and other employee related costs. Employee compensation and payroll taxes also includes non-cash compensation expenses with respect to restricted stock units and restricted stock awards granted in connection with and subsequent to the IPO pursuant to the Amended and Restated 2015 Management Incentive Plan and Class A Common Stock underlying certain awards assumed pursuant to the Amended and Restated ITG 2007 Equity Plan.</w:t>
      </w:r>
    </w:p>
    <w:p>
      <w:pPr>
        <w:spacing w:after="0" w:line="204" w:lineRule="exact"/>
        <w:rPr>
          <w:sz w:val="20"/>
          <w:szCs w:val="20"/>
          <w:color w:val="auto"/>
        </w:rPr>
      </w:pPr>
    </w:p>
    <w:p>
      <w:pPr>
        <w:ind w:right="140" w:firstLine="629"/>
        <w:spacing w:after="0" w:line="322"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We incur interest expense from loaning certain equity securities in the general course of our market making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collateralized lending transactions. Typically, dividend expense is incurred when a dividend is paid on securities sold short.</w:t>
      </w:r>
    </w:p>
    <w:p>
      <w:pPr>
        <w:spacing w:after="0" w:line="161"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represents occupancy, recruiting, travel and related expense, professional fees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expenses.</w:t>
      </w:r>
    </w:p>
    <w:p>
      <w:pPr>
        <w:spacing w:after="0" w:line="184"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results from the depreciation of fixed assets, such as computing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208" w:lineRule="exact"/>
        <w:rPr>
          <w:sz w:val="20"/>
          <w:szCs w:val="20"/>
          <w:color w:val="auto"/>
        </w:rPr>
      </w:pPr>
    </w:p>
    <w:p>
      <w:pPr>
        <w:ind w:right="240" w:firstLine="629"/>
        <w:spacing w:after="0" w:line="267"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represents the amortization of finite lived intangible assets acquired in connection with the acquisition of certain assets from Nyenburgh Holding B.V., Teza Technologies, the Acquisition of KCG, and the ITG Acquisition. These assets are amortized over their useful lives, ranging from 1 to 15 years, except for certain assets which were categorized as having indefinite useful lives.</w:t>
      </w:r>
    </w:p>
    <w:p>
      <w:pPr>
        <w:spacing w:after="0" w:line="204"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represents the write-off expense related to certain office space we ceased use of as part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effort to integrate and consolidate office space in connection with the Acquisition of KCG and the ITG Acquisition. The aggregate write-off amount includes the impairment of operating lease right-of-use assets, leasehold improvements and fixed assets, and dilapidation charges.</w:t>
      </w:r>
    </w:p>
    <w:p>
      <w:pPr>
        <w:spacing w:after="0" w:line="197" w:lineRule="exact"/>
        <w:rPr>
          <w:sz w:val="20"/>
          <w:szCs w:val="20"/>
          <w:color w:val="auto"/>
        </w:rPr>
      </w:pPr>
    </w:p>
    <w:p>
      <w:pPr>
        <w:jc w:val="both"/>
        <w:ind w:right="240" w:firstLine="629"/>
        <w:spacing w:after="0" w:line="325" w:lineRule="auto"/>
        <w:rPr>
          <w:sz w:val="20"/>
          <w:szCs w:val="20"/>
          <w:color w:val="auto"/>
        </w:rPr>
      </w:pPr>
      <w:r>
        <w:rPr>
          <w:rFonts w:ascii="Arial" w:cs="Arial" w:eastAsia="Arial" w:hAnsi="Arial"/>
          <w:sz w:val="15"/>
          <w:szCs w:val="15"/>
          <w:b w:val="1"/>
          <w:bCs w:val="1"/>
          <w:i w:val="1"/>
          <w:iCs w:val="1"/>
          <w:color w:val="auto"/>
        </w:rPr>
        <w:t xml:space="preserve">Debt issue costs related to debt refinancing, prepayment and commitment fees. </w:t>
      </w:r>
      <w:r>
        <w:rPr>
          <w:rFonts w:ascii="Arial" w:cs="Arial" w:eastAsia="Arial" w:hAnsi="Arial"/>
          <w:sz w:val="15"/>
          <w:szCs w:val="15"/>
          <w:color w:val="auto"/>
        </w:rPr>
        <w:t>As a result of the refinancing or early termination of our long-term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borrowings, we accelerate the capitalized debt issue costs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16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primarily reflect professional fees incurred by us in connection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one or more acquisitions or dispositions.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reflects interest accrued on outstanding indebtedness under our long-term borrowing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50"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We are subject to U.S. federal, state and local income tax at the rate applicable to corporations less the rate attributable to the noncontrolling interest in Virtu Financial.</w:t>
      </w:r>
    </w:p>
    <w:p>
      <w:pPr>
        <w:spacing w:after="0" w:line="184" w:lineRule="exact"/>
        <w:rPr>
          <w:sz w:val="20"/>
          <w:szCs w:val="20"/>
          <w:color w:val="auto"/>
        </w:rPr>
      </w:pPr>
    </w:p>
    <w:p>
      <w:pPr>
        <w:jc w:val="both"/>
        <w:ind w:right="180" w:firstLine="629"/>
        <w:spacing w:after="0" w:line="297" w:lineRule="auto"/>
        <w:rPr>
          <w:sz w:val="20"/>
          <w:szCs w:val="20"/>
          <w:color w:val="auto"/>
        </w:rPr>
      </w:pPr>
      <w:r>
        <w:rPr>
          <w:rFonts w:ascii="Arial" w:cs="Arial" w:eastAsia="Arial" w:hAnsi="Arial"/>
          <w:sz w:val="15"/>
          <w:szCs w:val="15"/>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ind w:right="300"/>
        <w:spacing w:after="0" w:line="274" w:lineRule="auto"/>
        <w:rPr>
          <w:sz w:val="20"/>
          <w:szCs w:val="20"/>
          <w:color w:val="auto"/>
        </w:rPr>
      </w:pPr>
      <w:r>
        <w:rPr>
          <w:rFonts w:ascii="Arial" w:cs="Arial" w:eastAsia="Arial" w:hAnsi="Arial"/>
          <w:sz w:val="17"/>
          <w:szCs w:val="17"/>
          <w:color w:val="auto"/>
        </w:rPr>
        <w:t>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97"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13 "Income Taxes" of Part I Item 1 “Financial Statements”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 and Other Items</w:t>
      </w:r>
    </w:p>
    <w:p>
      <w:pPr>
        <w:spacing w:after="0" w:line="256"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84" w:lineRule="exact"/>
        <w:rPr>
          <w:sz w:val="20"/>
          <w:szCs w:val="20"/>
          <w:color w:val="auto"/>
        </w:rPr>
      </w:pPr>
    </w:p>
    <w:p>
      <w:pPr>
        <w:ind w:left="1020" w:hanging="229"/>
        <w:spacing w:after="0" w:line="281" w:lineRule="auto"/>
        <w:tabs>
          <w:tab w:leader="none" w:pos="10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63" w:lineRule="exact"/>
        <w:rPr>
          <w:rFonts w:ascii="Arial" w:cs="Arial" w:eastAsia="Arial" w:hAnsi="Arial"/>
          <w:sz w:val="16"/>
          <w:szCs w:val="16"/>
          <w:color w:val="auto"/>
        </w:rPr>
      </w:pPr>
    </w:p>
    <w:p>
      <w:pPr>
        <w:ind w:left="1020" w:right="100" w:hanging="229"/>
        <w:spacing w:after="0" w:line="308" w:lineRule="auto"/>
        <w:tabs>
          <w:tab w:leader="none" w:pos="1016" w:val="left"/>
        </w:tabs>
        <w:numPr>
          <w:ilvl w:val="0"/>
          <w:numId w:val="17"/>
        </w:numPr>
        <w:rPr>
          <w:rFonts w:ascii="Arial" w:cs="Arial" w:eastAsia="Arial" w:hAnsi="Arial"/>
          <w:sz w:val="15"/>
          <w:szCs w:val="15"/>
          <w:color w:val="auto"/>
        </w:rPr>
      </w:pPr>
      <w:r>
        <w:rPr>
          <w:rFonts w:ascii="Arial" w:cs="Arial" w:eastAsia="Arial" w:hAnsi="Arial"/>
          <w:sz w:val="15"/>
          <w:szCs w:val="15"/>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 based compensation and other expenses, which includes reserves for legal matters, COVID-19 one-time costs and donations and Other, net.</w:t>
      </w:r>
    </w:p>
    <w:p>
      <w:pPr>
        <w:spacing w:after="0" w:line="45" w:lineRule="exact"/>
        <w:rPr>
          <w:rFonts w:ascii="Arial" w:cs="Arial" w:eastAsia="Arial" w:hAnsi="Arial"/>
          <w:sz w:val="15"/>
          <w:szCs w:val="15"/>
          <w:color w:val="auto"/>
        </w:rPr>
      </w:pPr>
    </w:p>
    <w:p>
      <w:pPr>
        <w:ind w:left="1020" w:right="260" w:hanging="229"/>
        <w:spacing w:after="0" w:line="267" w:lineRule="auto"/>
        <w:tabs>
          <w:tab w:leader="none" w:pos="10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spacing w:after="0" w:line="73" w:lineRule="exact"/>
        <w:rPr>
          <w:rFonts w:ascii="Arial" w:cs="Arial" w:eastAsia="Arial" w:hAnsi="Arial"/>
          <w:sz w:val="17"/>
          <w:szCs w:val="17"/>
          <w:color w:val="auto"/>
        </w:rPr>
      </w:pPr>
    </w:p>
    <w:p>
      <w:pPr>
        <w:ind w:left="1020" w:hanging="229"/>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Operating Margins, which are calculated by dividing net income, EBITDA, and Adjusted EBITDA by Adjusted Net Trading Income.</w:t>
      </w:r>
    </w:p>
    <w:p>
      <w:pPr>
        <w:spacing w:after="0" w:line="250" w:lineRule="exact"/>
        <w:rPr>
          <w:sz w:val="20"/>
          <w:szCs w:val="20"/>
          <w:color w:val="auto"/>
        </w:rPr>
      </w:pPr>
    </w:p>
    <w:p>
      <w:pPr>
        <w:ind w:firstLine="629"/>
        <w:spacing w:after="0" w:line="276" w:lineRule="auto"/>
        <w:rPr>
          <w:sz w:val="20"/>
          <w:szCs w:val="20"/>
          <w:color w:val="auto"/>
        </w:rPr>
      </w:pPr>
      <w:r>
        <w:rPr>
          <w:rFonts w:ascii="Arial" w:cs="Arial" w:eastAsia="Arial" w:hAnsi="Arial"/>
          <w:sz w:val="16"/>
          <w:szCs w:val="16"/>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206"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204" w:lineRule="exact"/>
        <w:rPr>
          <w:sz w:val="20"/>
          <w:szCs w:val="20"/>
          <w:color w:val="auto"/>
        </w:rPr>
      </w:pPr>
    </w:p>
    <w:p>
      <w:pPr>
        <w:ind w:left="1020" w:hanging="229"/>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they do not reflect every cash expenditure, future requirements for capital expenditures or contractual commitments;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020" w:right="380" w:hanging="229"/>
        <w:spacing w:after="0" w:line="289" w:lineRule="auto"/>
        <w:tabs>
          <w:tab w:leader="none" w:pos="10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EBITDA-based measures do not reflect the significant interest expense or the cash requirements necessary to service interest or principal payment on our debt;</w:t>
      </w:r>
    </w:p>
    <w:p>
      <w:pPr>
        <w:spacing w:after="0" w:line="53" w:lineRule="exact"/>
        <w:rPr>
          <w:rFonts w:ascii="Arial" w:cs="Arial" w:eastAsia="Arial" w:hAnsi="Arial"/>
          <w:sz w:val="17"/>
          <w:szCs w:val="17"/>
          <w:color w:val="auto"/>
        </w:rPr>
      </w:pPr>
    </w:p>
    <w:p>
      <w:pPr>
        <w:ind w:left="1020" w:right="60" w:hanging="229"/>
        <w:spacing w:after="0" w:line="359" w:lineRule="auto"/>
        <w:tabs>
          <w:tab w:leader="none" w:pos="1016"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7" w:lineRule="exact"/>
        <w:rPr>
          <w:rFonts w:ascii="Arial" w:cs="Arial" w:eastAsia="Arial" w:hAnsi="Arial"/>
          <w:sz w:val="15"/>
          <w:szCs w:val="15"/>
          <w:color w:val="auto"/>
        </w:rPr>
      </w:pPr>
    </w:p>
    <w:p>
      <w:pPr>
        <w:ind w:left="1020" w:hanging="229"/>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they are not adjusted for all non-cash income or expense items that are reflected in our statements of cash flows;</w:t>
      </w:r>
    </w:p>
    <w:p>
      <w:pPr>
        <w:spacing w:after="0" w:line="118" w:lineRule="exact"/>
        <w:rPr>
          <w:rFonts w:ascii="Arial" w:cs="Arial" w:eastAsia="Arial" w:hAnsi="Arial"/>
          <w:sz w:val="17"/>
          <w:szCs w:val="17"/>
          <w:color w:val="auto"/>
        </w:rPr>
      </w:pPr>
    </w:p>
    <w:p>
      <w:pPr>
        <w:ind w:left="1020" w:hanging="229"/>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and</w:t>
      </w:r>
    </w:p>
    <w:p>
      <w:pPr>
        <w:spacing w:after="0" w:line="130" w:lineRule="exact"/>
        <w:rPr>
          <w:rFonts w:ascii="Arial" w:cs="Arial" w:eastAsia="Arial" w:hAnsi="Arial"/>
          <w:sz w:val="16"/>
          <w:szCs w:val="16"/>
          <w:color w:val="auto"/>
        </w:rPr>
      </w:pPr>
    </w:p>
    <w:p>
      <w:pPr>
        <w:ind w:left="1020" w:hanging="229"/>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they do not reflect limitations on our costs related to transferring earnings from our subsidiaries to us.</w:t>
      </w:r>
    </w:p>
    <w:p>
      <w:pPr>
        <w:spacing w:after="0" w:line="250"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208"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The following table reconciles the Condensed Consolidated Statements of Comprehensive Income to arrive at Adjusted Net Trading Income, EBITDA, Adjusted EBITDA, and Operating Margins for the three and six months ended June 30, 2021 and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Trading income, net</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384,832</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743,996</w:t>
            </w:r>
          </w:p>
        </w:tc>
        <w:tc>
          <w:tcPr>
            <w:tcW w:w="14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1,197,576</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1,546,461</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and dividends income</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9,545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9,340</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16,541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35,856</w:t>
            </w: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26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143,115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147,736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334,764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318,481</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Brokerage, exchange, clearance fees and payments for order flow, net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(170,691)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(203,503)</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(430,023)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(377,321)</w:t>
            </w:r>
          </w:p>
        </w:tc>
      </w:tr>
      <w:tr>
        <w:trPr>
          <w:trHeight w:val="181"/>
        </w:trPr>
        <w:tc>
          <w:tcPr>
            <w:tcW w:w="5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Interest and dividends expense</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(24,971)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(28,841)</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(48,999)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(70,281)</w:t>
            </w:r>
          </w:p>
        </w:tc>
      </w:tr>
      <w:tr>
        <w:trPr>
          <w:trHeight w:val="20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341,830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668,728</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1,069,859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1,453,196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5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3"/>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EBITDA and Adjusted EBITDA</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108,907</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335,285</w:t>
            </w:r>
          </w:p>
        </w:tc>
        <w:tc>
          <w:tcPr>
            <w:tcW w:w="14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518,139</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723,523</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Financing interest expense on long-term borrowings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20,113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21,736</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39,605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47,406</w:t>
            </w: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26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1,989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13,195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3,744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17,366</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16,349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16,713</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33,127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34,073</w:t>
            </w: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6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18,077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18,954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36,154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37,912</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Provision for income taxes</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26,095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69,250</w:t>
            </w: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106,650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147,237</w:t>
            </w:r>
          </w:p>
        </w:tc>
      </w:tr>
      <w:tr>
        <w:trPr>
          <w:trHeight w:val="174"/>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191,530</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475,133</w:t>
            </w:r>
          </w:p>
        </w:tc>
        <w:tc>
          <w:tcPr>
            <w:tcW w:w="14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737,419</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1,007,517</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Severance</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3,039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4,161</w:t>
            </w: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Transaction advisory fees and expenses</w:t>
            </w:r>
          </w:p>
        </w:tc>
        <w:tc>
          <w:tcPr>
            <w:tcW w:w="260" w:type="dxa"/>
            <w:vAlign w:val="bottom"/>
          </w:tcPr>
          <w:p>
            <w:pPr>
              <w:spacing w:after="0"/>
              <w:rPr>
                <w:sz w:val="15"/>
                <w:szCs w:val="15"/>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86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274</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Termination of office leases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3,667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4,888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283</w:t>
            </w: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(11,434)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(5,935)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(8,603)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980</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 based compensation</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12,552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16,505</w:t>
            </w: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25,330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42,249</w:t>
            </w:r>
          </w:p>
        </w:tc>
      </w:tr>
      <w:tr>
        <w:trPr>
          <w:trHeight w:val="176"/>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197,332</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485,758</w:t>
            </w: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762,056</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1,055,464</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6"/>
        </w:trPr>
        <w:tc>
          <w:tcPr>
            <w:tcW w:w="5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3"/>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Operating Margins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4"/>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Income Margin (1)</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31.9 %</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50.1 %</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49.8 %</w:t>
            </w: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EBITDA Margin (2)</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56.0 %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71.1 %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68.9 %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69.3 %</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Adjusted EBITDA Margin (3)</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72.6 %</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72.6 %</w:t>
            </w:r>
          </w:p>
        </w:tc>
      </w:tr>
    </w:tbl>
    <w:p>
      <w:pPr>
        <w:spacing w:after="0" w:line="82" w:lineRule="exact"/>
        <w:rPr>
          <w:sz w:val="20"/>
          <w:szCs w:val="20"/>
          <w:color w:val="auto"/>
        </w:rPr>
      </w:pPr>
    </w:p>
    <w:p>
      <w:pPr>
        <w:ind w:left="400" w:hanging="395"/>
        <w:spacing w:after="0"/>
        <w:tabs>
          <w:tab w:leader="none" w:pos="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by dividing net income by Adjusted Net Trading Income.</w:t>
      </w:r>
    </w:p>
    <w:p>
      <w:pPr>
        <w:spacing w:after="0" w:line="13" w:lineRule="exact"/>
        <w:rPr>
          <w:rFonts w:ascii="Arial" w:cs="Arial" w:eastAsia="Arial" w:hAnsi="Arial"/>
          <w:sz w:val="16"/>
          <w:szCs w:val="16"/>
          <w:color w:val="auto"/>
        </w:rPr>
      </w:pPr>
    </w:p>
    <w:p>
      <w:pPr>
        <w:ind w:left="400" w:hanging="395"/>
        <w:spacing w:after="0"/>
        <w:tabs>
          <w:tab w:leader="none" w:pos="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by dividing EBITDA by Adjusted Net Trading Income.</w:t>
      </w:r>
    </w:p>
    <w:p>
      <w:pPr>
        <w:ind w:left="400" w:hanging="395"/>
        <w:spacing w:after="0"/>
        <w:tabs>
          <w:tab w:leader="none" w:pos="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by dividing Adjusted EBITDA by Adjusted Net Trading Income.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reconciles Net Income to arrive at Normalized Adjusted Net Income before income taxes, Normalized provision for income taxes,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Normalized Adjusted Net Income and Normalized Adjusted EPS for the three and six months ended June 30, 2021 and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c>
          <w:tcPr>
            <w:tcW w:w="230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320" w:type="dxa"/>
            <w:vAlign w:val="bottom"/>
          </w:tcPr>
          <w:p>
            <w:pPr>
              <w:spacing w:after="0"/>
              <w:rPr>
                <w:sz w:val="15"/>
                <w:szCs w:val="15"/>
                <w:color w:val="auto"/>
              </w:rPr>
            </w:pPr>
          </w:p>
        </w:tc>
        <w:tc>
          <w:tcPr>
            <w:tcW w:w="4960" w:type="dxa"/>
            <w:vAlign w:val="bottom"/>
            <w:gridSpan w:val="3"/>
          </w:tcPr>
          <w:p>
            <w:pPr>
              <w:ind w:left="3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2020</w:t>
            </w:r>
          </w:p>
        </w:tc>
      </w:tr>
      <w:tr>
        <w:trPr>
          <w:trHeight w:val="177"/>
        </w:trPr>
        <w:tc>
          <w:tcPr>
            <w:tcW w:w="320" w:type="dxa"/>
            <w:vAlign w:val="bottom"/>
          </w:tcPr>
          <w:p>
            <w:pPr>
              <w:spacing w:after="0"/>
              <w:rPr>
                <w:sz w:val="15"/>
                <w:szCs w:val="15"/>
                <w:color w:val="auto"/>
              </w:rPr>
            </w:pPr>
          </w:p>
        </w:tc>
        <w:tc>
          <w:tcPr>
            <w:tcW w:w="484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Reconciliation of Net Income to Normalized Adjusted Net Income</w:t>
            </w: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r>
      <w:tr>
        <w:trPr>
          <w:trHeight w:val="181"/>
        </w:trPr>
        <w:tc>
          <w:tcPr>
            <w:tcW w:w="320" w:type="dxa"/>
            <w:vAlign w:val="bottom"/>
          </w:tcPr>
          <w:p>
            <w:pPr>
              <w:spacing w:after="0"/>
              <w:rPr>
                <w:sz w:val="15"/>
                <w:szCs w:val="15"/>
                <w:color w:val="auto"/>
              </w:rPr>
            </w:pPr>
          </w:p>
        </w:tc>
        <w:tc>
          <w:tcPr>
            <w:tcW w:w="4960" w:type="dxa"/>
            <w:vAlign w:val="bottom"/>
            <w:gridSpan w:val="3"/>
          </w:tcPr>
          <w:p>
            <w:pPr>
              <w:ind w:left="440"/>
              <w:spacing w:after="0"/>
              <w:rPr>
                <w:sz w:val="20"/>
                <w:szCs w:val="20"/>
                <w:color w:val="auto"/>
              </w:rPr>
            </w:pPr>
            <w:r>
              <w:rPr>
                <w:rFonts w:ascii="Arial" w:cs="Arial" w:eastAsia="Arial" w:hAnsi="Arial"/>
                <w:sz w:val="14"/>
                <w:szCs w:val="14"/>
                <w:color w:val="auto"/>
              </w:rPr>
              <w:t>Net income (loss)</w:t>
            </w:r>
          </w:p>
        </w:tc>
        <w:tc>
          <w:tcPr>
            <w:tcW w:w="5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108,907</w:t>
            </w:r>
          </w:p>
        </w:tc>
        <w:tc>
          <w:tcPr>
            <w:tcW w:w="10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335,285</w:t>
            </w:r>
          </w:p>
        </w:tc>
        <w:tc>
          <w:tcPr>
            <w:tcW w:w="140" w:type="dxa"/>
            <w:vAlign w:val="bottom"/>
          </w:tcPr>
          <w:p>
            <w:pPr>
              <w:spacing w:after="0"/>
              <w:rPr>
                <w:sz w:val="15"/>
                <w:szCs w:val="15"/>
                <w:color w:val="auto"/>
              </w:rPr>
            </w:pPr>
          </w:p>
        </w:tc>
        <w:tc>
          <w:tcPr>
            <w:tcW w:w="5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518,139</w:t>
            </w:r>
          </w:p>
        </w:tc>
        <w:tc>
          <w:tcPr>
            <w:tcW w:w="10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723,5</w:t>
            </w:r>
          </w:p>
        </w:tc>
      </w:tr>
      <w:tr>
        <w:trPr>
          <w:trHeight w:val="186"/>
        </w:trPr>
        <w:tc>
          <w:tcPr>
            <w:tcW w:w="320" w:type="dxa"/>
            <w:vAlign w:val="bottom"/>
          </w:tcPr>
          <w:p>
            <w:pPr>
              <w:spacing w:after="0"/>
              <w:rPr>
                <w:sz w:val="16"/>
                <w:szCs w:val="16"/>
                <w:color w:val="auto"/>
              </w:rPr>
            </w:pPr>
          </w:p>
        </w:tc>
        <w:tc>
          <w:tcPr>
            <w:tcW w:w="496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Provision for income taxes</w:t>
            </w:r>
          </w:p>
        </w:tc>
        <w:tc>
          <w:tcPr>
            <w:tcW w:w="5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26,095</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69,250</w:t>
            </w:r>
          </w:p>
        </w:tc>
        <w:tc>
          <w:tcPr>
            <w:tcW w:w="14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106,650</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147,2</w:t>
            </w:r>
          </w:p>
        </w:tc>
      </w:tr>
      <w:tr>
        <w:trPr>
          <w:trHeight w:val="174"/>
        </w:trPr>
        <w:tc>
          <w:tcPr>
            <w:tcW w:w="320" w:type="dxa"/>
            <w:vAlign w:val="bottom"/>
          </w:tcPr>
          <w:p>
            <w:pPr>
              <w:spacing w:after="0"/>
              <w:rPr>
                <w:sz w:val="15"/>
                <w:szCs w:val="15"/>
                <w:color w:val="auto"/>
              </w:rPr>
            </w:pPr>
          </w:p>
        </w:tc>
        <w:tc>
          <w:tcPr>
            <w:tcW w:w="4960" w:type="dxa"/>
            <w:vAlign w:val="bottom"/>
            <w:gridSpan w:val="3"/>
          </w:tcPr>
          <w:p>
            <w:pPr>
              <w:ind w:left="440"/>
              <w:spacing w:after="0"/>
              <w:rPr>
                <w:sz w:val="20"/>
                <w:szCs w:val="20"/>
                <w:color w:val="auto"/>
              </w:rPr>
            </w:pPr>
            <w:r>
              <w:rPr>
                <w:rFonts w:ascii="Arial" w:cs="Arial" w:eastAsia="Arial" w:hAnsi="Arial"/>
                <w:sz w:val="14"/>
                <w:szCs w:val="14"/>
                <w:color w:val="auto"/>
              </w:rPr>
              <w:t>Income (loss) before income taxes</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135,002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404,535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624,789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870,7</w:t>
            </w:r>
          </w:p>
        </w:tc>
      </w:tr>
      <w:tr>
        <w:trPr>
          <w:trHeight w:val="212"/>
        </w:trPr>
        <w:tc>
          <w:tcPr>
            <w:tcW w:w="3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81"/>
        </w:trPr>
        <w:tc>
          <w:tcPr>
            <w:tcW w:w="320" w:type="dxa"/>
            <w:vAlign w:val="bottom"/>
          </w:tcPr>
          <w:p>
            <w:pPr>
              <w:spacing w:after="0"/>
              <w:rPr>
                <w:sz w:val="15"/>
                <w:szCs w:val="15"/>
                <w:color w:val="auto"/>
              </w:rPr>
            </w:pPr>
          </w:p>
        </w:tc>
        <w:tc>
          <w:tcPr>
            <w:tcW w:w="4960" w:type="dxa"/>
            <w:vAlign w:val="bottom"/>
            <w:gridSpan w:val="3"/>
          </w:tcPr>
          <w:p>
            <w:pPr>
              <w:ind w:left="4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18,077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18,954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36,154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186"/>
        </w:trPr>
        <w:tc>
          <w:tcPr>
            <w:tcW w:w="320" w:type="dxa"/>
            <w:vAlign w:val="bottom"/>
          </w:tcPr>
          <w:p>
            <w:pPr>
              <w:spacing w:after="0"/>
              <w:rPr>
                <w:sz w:val="16"/>
                <w:szCs w:val="16"/>
                <w:color w:val="auto"/>
              </w:rPr>
            </w:pPr>
          </w:p>
        </w:tc>
        <w:tc>
          <w:tcPr>
            <w:tcW w:w="496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w w:val="92"/>
              </w:rPr>
              <w:t>Debt issue cost related to debt refinancing, prepayment, and commitment fees</w:t>
            </w: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13,195</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81"/>
        </w:trPr>
        <w:tc>
          <w:tcPr>
            <w:tcW w:w="320" w:type="dxa"/>
            <w:vAlign w:val="bottom"/>
          </w:tcPr>
          <w:p>
            <w:pPr>
              <w:spacing w:after="0"/>
              <w:rPr>
                <w:sz w:val="15"/>
                <w:szCs w:val="15"/>
                <w:color w:val="auto"/>
              </w:rPr>
            </w:pPr>
          </w:p>
        </w:tc>
        <w:tc>
          <w:tcPr>
            <w:tcW w:w="4960" w:type="dxa"/>
            <w:vAlign w:val="bottom"/>
            <w:gridSpan w:val="3"/>
          </w:tcPr>
          <w:p>
            <w:pPr>
              <w:ind w:left="440"/>
              <w:spacing w:after="0"/>
              <w:rPr>
                <w:sz w:val="20"/>
                <w:szCs w:val="20"/>
                <w:color w:val="auto"/>
              </w:rPr>
            </w:pPr>
            <w:r>
              <w:rPr>
                <w:rFonts w:ascii="Arial" w:cs="Arial" w:eastAsia="Arial" w:hAnsi="Arial"/>
                <w:sz w:val="14"/>
                <w:szCs w:val="14"/>
                <w:color w:val="auto"/>
              </w:rPr>
              <w:t>Severance</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3,039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86"/>
        </w:trPr>
        <w:tc>
          <w:tcPr>
            <w:tcW w:w="320" w:type="dxa"/>
            <w:vAlign w:val="bottom"/>
          </w:tcPr>
          <w:p>
            <w:pPr>
              <w:spacing w:after="0"/>
              <w:rPr>
                <w:sz w:val="16"/>
                <w:szCs w:val="16"/>
                <w:color w:val="auto"/>
              </w:rPr>
            </w:pPr>
          </w:p>
        </w:tc>
        <w:tc>
          <w:tcPr>
            <w:tcW w:w="496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Transaction advisory fees and expenses</w:t>
            </w: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1"/>
        </w:trPr>
        <w:tc>
          <w:tcPr>
            <w:tcW w:w="320" w:type="dxa"/>
            <w:vAlign w:val="bottom"/>
          </w:tcPr>
          <w:p>
            <w:pPr>
              <w:spacing w:after="0"/>
              <w:rPr>
                <w:sz w:val="15"/>
                <w:szCs w:val="15"/>
                <w:color w:val="auto"/>
              </w:rPr>
            </w:pPr>
          </w:p>
        </w:tc>
        <w:tc>
          <w:tcPr>
            <w:tcW w:w="4960" w:type="dxa"/>
            <w:vAlign w:val="bottom"/>
            <w:gridSpan w:val="3"/>
          </w:tcPr>
          <w:p>
            <w:pPr>
              <w:ind w:left="440"/>
              <w:spacing w:after="0"/>
              <w:rPr>
                <w:sz w:val="20"/>
                <w:szCs w:val="20"/>
                <w:color w:val="auto"/>
              </w:rPr>
            </w:pPr>
            <w:r>
              <w:rPr>
                <w:rFonts w:ascii="Arial" w:cs="Arial" w:eastAsia="Arial" w:hAnsi="Arial"/>
                <w:sz w:val="14"/>
                <w:szCs w:val="14"/>
                <w:color w:val="auto"/>
              </w:rPr>
              <w:t>Termination of office leases</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3,667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4,888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6"/>
        </w:trPr>
        <w:tc>
          <w:tcPr>
            <w:tcW w:w="320" w:type="dxa"/>
            <w:vAlign w:val="bottom"/>
          </w:tcPr>
          <w:p>
            <w:pPr>
              <w:spacing w:after="0"/>
              <w:rPr>
                <w:sz w:val="16"/>
                <w:szCs w:val="16"/>
                <w:color w:val="auto"/>
              </w:rPr>
            </w:pPr>
          </w:p>
        </w:tc>
        <w:tc>
          <w:tcPr>
            <w:tcW w:w="496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Other</w:t>
            </w: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(11,434)</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(5,935)</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1"/>
        </w:trPr>
        <w:tc>
          <w:tcPr>
            <w:tcW w:w="320" w:type="dxa"/>
            <w:vAlign w:val="bottom"/>
          </w:tcPr>
          <w:p>
            <w:pPr>
              <w:spacing w:after="0"/>
              <w:rPr>
                <w:sz w:val="15"/>
                <w:szCs w:val="15"/>
                <w:color w:val="auto"/>
              </w:rPr>
            </w:pPr>
          </w:p>
        </w:tc>
        <w:tc>
          <w:tcPr>
            <w:tcW w:w="4960" w:type="dxa"/>
            <w:vAlign w:val="bottom"/>
            <w:tcBorders>
              <w:bottom w:val="single" w:sz="8" w:color="CCEEFF"/>
            </w:tcBorders>
            <w:gridSpan w:val="3"/>
          </w:tcPr>
          <w:p>
            <w:pPr>
              <w:ind w:left="440"/>
              <w:spacing w:after="0"/>
              <w:rPr>
                <w:sz w:val="20"/>
                <w:szCs w:val="20"/>
                <w:color w:val="auto"/>
              </w:rPr>
            </w:pPr>
            <w:r>
              <w:rPr>
                <w:rFonts w:ascii="Arial" w:cs="Arial" w:eastAsia="Arial" w:hAnsi="Arial"/>
                <w:sz w:val="14"/>
                <w:szCs w:val="14"/>
                <w:color w:val="auto"/>
              </w:rPr>
              <w:t>Share based compensation</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12,552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16,505</w:t>
            </w: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25,330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r>
      <w:tr>
        <w:trPr>
          <w:trHeight w:val="179"/>
        </w:trPr>
        <w:tc>
          <w:tcPr>
            <w:tcW w:w="320" w:type="dxa"/>
            <w:vAlign w:val="bottom"/>
          </w:tcPr>
          <w:p>
            <w:pPr>
              <w:spacing w:after="0"/>
              <w:rPr>
                <w:sz w:val="15"/>
                <w:szCs w:val="15"/>
                <w:color w:val="auto"/>
              </w:rPr>
            </w:pPr>
          </w:p>
        </w:tc>
        <w:tc>
          <w:tcPr>
            <w:tcW w:w="496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Normalized Adjusted Net Income before income taxes</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160,870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447,309</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689,324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973,9</w:t>
            </w:r>
          </w:p>
        </w:tc>
      </w:tr>
      <w:tr>
        <w:trPr>
          <w:trHeight w:val="181"/>
        </w:trPr>
        <w:tc>
          <w:tcPr>
            <w:tcW w:w="320" w:type="dxa"/>
            <w:vAlign w:val="bottom"/>
          </w:tcPr>
          <w:p>
            <w:pPr>
              <w:spacing w:after="0"/>
              <w:rPr>
                <w:sz w:val="15"/>
                <w:szCs w:val="15"/>
                <w:color w:val="auto"/>
              </w:rPr>
            </w:pPr>
          </w:p>
        </w:tc>
        <w:tc>
          <w:tcPr>
            <w:tcW w:w="4960" w:type="dxa"/>
            <w:vAlign w:val="bottom"/>
            <w:tcBorders>
              <w:bottom w:val="single" w:sz="8" w:color="CCEEFF"/>
            </w:tcBorders>
            <w:gridSpan w:val="3"/>
          </w:tcPr>
          <w:p>
            <w:pPr>
              <w:ind w:left="440"/>
              <w:spacing w:after="0"/>
              <w:rPr>
                <w:sz w:val="20"/>
                <w:szCs w:val="20"/>
                <w:color w:val="auto"/>
              </w:rPr>
            </w:pPr>
            <w:r>
              <w:rPr>
                <w:rFonts w:ascii="Arial" w:cs="Arial" w:eastAsia="Arial" w:hAnsi="Arial"/>
                <w:sz w:val="14"/>
                <w:szCs w:val="14"/>
                <w:color w:val="auto"/>
              </w:rPr>
              <w:t>Normalized provision for income taxes (1)</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38,609</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107,354</w:t>
            </w: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165,438</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233,7</w:t>
            </w:r>
          </w:p>
        </w:tc>
      </w:tr>
      <w:tr>
        <w:trPr>
          <w:trHeight w:val="179"/>
        </w:trPr>
        <w:tc>
          <w:tcPr>
            <w:tcW w:w="320" w:type="dxa"/>
            <w:vAlign w:val="bottom"/>
          </w:tcPr>
          <w:p>
            <w:pPr>
              <w:spacing w:after="0"/>
              <w:rPr>
                <w:sz w:val="15"/>
                <w:szCs w:val="15"/>
                <w:color w:val="auto"/>
              </w:rPr>
            </w:pPr>
          </w:p>
        </w:tc>
        <w:tc>
          <w:tcPr>
            <w:tcW w:w="4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Normalized Adjusted Net Income</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122,261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339,955</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523,886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740,2</w:t>
            </w:r>
          </w:p>
        </w:tc>
      </w:tr>
      <w:tr>
        <w:trPr>
          <w:trHeight w:val="262"/>
        </w:trPr>
        <w:tc>
          <w:tcPr>
            <w:tcW w:w="3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83"/>
        </w:trPr>
        <w:tc>
          <w:tcPr>
            <w:tcW w:w="320" w:type="dxa"/>
            <w:vAlign w:val="bottom"/>
          </w:tcPr>
          <w:p>
            <w:pPr>
              <w:spacing w:after="0"/>
              <w:rPr>
                <w:sz w:val="15"/>
                <w:szCs w:val="15"/>
                <w:color w:val="auto"/>
              </w:rPr>
            </w:pPr>
          </w:p>
        </w:tc>
        <w:tc>
          <w:tcPr>
            <w:tcW w:w="4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Weighted Average Adjusted shares outstanding (2)</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194,770,445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197,050,236</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195,861,065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196,049,1</w:t>
            </w:r>
          </w:p>
        </w:tc>
      </w:tr>
      <w:tr>
        <w:trPr>
          <w:trHeight w:val="262"/>
        </w:trPr>
        <w:tc>
          <w:tcPr>
            <w:tcW w:w="3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83"/>
        </w:trPr>
        <w:tc>
          <w:tcPr>
            <w:tcW w:w="320" w:type="dxa"/>
            <w:vAlign w:val="bottom"/>
          </w:tcPr>
          <w:p>
            <w:pPr>
              <w:spacing w:after="0"/>
              <w:rPr>
                <w:sz w:val="15"/>
                <w:szCs w:val="15"/>
                <w:color w:val="auto"/>
              </w:rPr>
            </w:pPr>
          </w:p>
        </w:tc>
        <w:tc>
          <w:tcPr>
            <w:tcW w:w="4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Normalized Adjusted EPS</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31"/>
        </w:trPr>
        <w:tc>
          <w:tcPr>
            <w:tcW w:w="32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r>
    </w:tbl>
    <w:p>
      <w:pPr>
        <w:spacing w:after="0" w:line="134" w:lineRule="exact"/>
        <w:rPr>
          <w:sz w:val="20"/>
          <w:szCs w:val="20"/>
          <w:color w:val="auto"/>
        </w:rPr>
      </w:pPr>
    </w:p>
    <w:p>
      <w:pPr>
        <w:ind w:left="400" w:hanging="395"/>
        <w:spacing w:after="0"/>
        <w:tabs>
          <w:tab w:leader="none" w:pos="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U.S. federal, state, and local income tax rate applicable to corporations of approximately 24% for 2021 and 2020.</w:t>
      </w:r>
    </w:p>
    <w:p>
      <w:pPr>
        <w:spacing w:after="0" w:line="13" w:lineRule="exact"/>
        <w:rPr>
          <w:rFonts w:ascii="Arial" w:cs="Arial" w:eastAsia="Arial" w:hAnsi="Arial"/>
          <w:sz w:val="16"/>
          <w:szCs w:val="16"/>
          <w:color w:val="auto"/>
        </w:rPr>
      </w:pPr>
    </w:p>
    <w:p>
      <w:pPr>
        <w:ind w:left="400" w:right="160" w:hanging="395"/>
        <w:spacing w:after="0" w:line="302" w:lineRule="auto"/>
        <w:tabs>
          <w:tab w:leader="none" w:pos="4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three and six months ended June 30, 2021 and 2020 as well as warrants issued in connection with the Founder Member Loan during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tables reconcile Trading income, net to Adjusted Net Trading Income by segment for the three and six months ended June 30, 2021 and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84"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June 30, 2021</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1060" w:type="dxa"/>
            <w:vAlign w:val="bottom"/>
          </w:tcPr>
          <w:p>
            <w:pPr>
              <w:jc w:val="right"/>
              <w:ind w:right="3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380,644</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4,188</w:t>
            </w:r>
          </w:p>
        </w:tc>
        <w:tc>
          <w:tcPr>
            <w:tcW w:w="100" w:type="dxa"/>
            <w:vAlign w:val="bottom"/>
          </w:tcPr>
          <w:p>
            <w:pPr>
              <w:spacing w:after="0"/>
              <w:rPr>
                <w:sz w:val="15"/>
                <w:szCs w:val="15"/>
                <w:color w:val="auto"/>
              </w:rPr>
            </w:pPr>
          </w:p>
        </w:tc>
        <w:tc>
          <w:tcPr>
            <w:tcW w:w="1060" w:type="dxa"/>
            <w:vAlign w:val="bottom"/>
            <w:tcBorders>
              <w:top w:val="single" w:sz="8" w:color="auto"/>
            </w:tcBorders>
          </w:tcPr>
          <w:p>
            <w:pPr>
              <w:jc w:val="right"/>
              <w:ind w:right="89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384,832</w:t>
            </w: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134,028</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143,115</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9,545</w:t>
            </w:r>
          </w:p>
        </w:tc>
        <w:tc>
          <w:tcPr>
            <w:tcW w:w="0" w:type="dxa"/>
            <w:vAlign w:val="bottom"/>
          </w:tcPr>
          <w:p>
            <w:pPr>
              <w:spacing w:after="0"/>
              <w:rPr>
                <w:sz w:val="1"/>
                <w:szCs w:val="1"/>
                <w:color w:val="auto"/>
              </w:rPr>
            </w:pPr>
          </w:p>
        </w:tc>
      </w:tr>
      <w:tr>
        <w:trPr>
          <w:trHeight w:val="133"/>
        </w:trPr>
        <w:tc>
          <w:tcPr>
            <w:tcW w:w="37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(144,784)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(25,907)</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(170,691)</w:t>
            </w:r>
          </w:p>
        </w:tc>
        <w:tc>
          <w:tcPr>
            <w:tcW w:w="0" w:type="dxa"/>
            <w:vAlign w:val="bottom"/>
          </w:tcPr>
          <w:p>
            <w:pPr>
              <w:spacing w:after="0"/>
              <w:rPr>
                <w:sz w:val="1"/>
                <w:szCs w:val="1"/>
                <w:color w:val="auto"/>
              </w:rPr>
            </w:pPr>
          </w:p>
        </w:tc>
      </w:tr>
      <w:tr>
        <w:trPr>
          <w:trHeight w:val="18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(22,442)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(2,529)</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(24,971)</w:t>
            </w:r>
          </w:p>
        </w:tc>
        <w:tc>
          <w:tcPr>
            <w:tcW w:w="0" w:type="dxa"/>
            <w:vAlign w:val="bottom"/>
          </w:tcPr>
          <w:p>
            <w:pPr>
              <w:spacing w:after="0"/>
              <w:rPr>
                <w:sz w:val="1"/>
                <w:szCs w:val="1"/>
                <w:color w:val="auto"/>
              </w:rPr>
            </w:pPr>
          </w:p>
        </w:tc>
      </w:tr>
      <w:tr>
        <w:trPr>
          <w:trHeight w:val="204"/>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232,074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341,830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June 30, 2020</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1060" w:type="dxa"/>
            <w:vAlign w:val="bottom"/>
          </w:tcPr>
          <w:p>
            <w:pPr>
              <w:jc w:val="right"/>
              <w:ind w:right="3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744,685</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15"/>
                <w:szCs w:val="15"/>
                <w:color w:val="auto"/>
              </w:rPr>
            </w:pPr>
          </w:p>
        </w:tc>
        <w:tc>
          <w:tcPr>
            <w:tcW w:w="1060" w:type="dxa"/>
            <w:vAlign w:val="bottom"/>
            <w:tcBorders>
              <w:top w:val="single" w:sz="8" w:color="auto"/>
            </w:tcBorders>
          </w:tcPr>
          <w:p>
            <w:pPr>
              <w:jc w:val="right"/>
              <w:ind w:right="89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743,996</w:t>
            </w: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148,370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147,736</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9,340</w:t>
            </w:r>
          </w:p>
        </w:tc>
        <w:tc>
          <w:tcPr>
            <w:tcW w:w="0" w:type="dxa"/>
            <w:vAlign w:val="bottom"/>
          </w:tcPr>
          <w:p>
            <w:pPr>
              <w:spacing w:after="0"/>
              <w:rPr>
                <w:sz w:val="1"/>
                <w:szCs w:val="1"/>
                <w:color w:val="auto"/>
              </w:rPr>
            </w:pPr>
          </w:p>
        </w:tc>
      </w:tr>
      <w:tr>
        <w:trPr>
          <w:trHeight w:val="133"/>
        </w:trPr>
        <w:tc>
          <w:tcPr>
            <w:tcW w:w="37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(172,872)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(30,631)</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(203,503)</w:t>
            </w:r>
          </w:p>
        </w:tc>
        <w:tc>
          <w:tcPr>
            <w:tcW w:w="0" w:type="dxa"/>
            <w:vAlign w:val="bottom"/>
          </w:tcPr>
          <w:p>
            <w:pPr>
              <w:spacing w:after="0"/>
              <w:rPr>
                <w:sz w:val="1"/>
                <w:szCs w:val="1"/>
                <w:color w:val="auto"/>
              </w:rPr>
            </w:pPr>
          </w:p>
        </w:tc>
      </w:tr>
      <w:tr>
        <w:trPr>
          <w:trHeight w:val="18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(28,085)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(28,841)</w:t>
            </w:r>
          </w:p>
        </w:tc>
        <w:tc>
          <w:tcPr>
            <w:tcW w:w="0" w:type="dxa"/>
            <w:vAlign w:val="bottom"/>
          </w:tcPr>
          <w:p>
            <w:pPr>
              <w:spacing w:after="0"/>
              <w:rPr>
                <w:sz w:val="1"/>
                <w:szCs w:val="1"/>
                <w:color w:val="auto"/>
              </w:rPr>
            </w:pPr>
          </w:p>
        </w:tc>
      </w:tr>
      <w:tr>
        <w:trPr>
          <w:trHeight w:val="204"/>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552,114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668,728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Six Months Ended June 30, 2021</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1,181,926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15,650</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1,197,576</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23,217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311,547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334,764</w:t>
            </w: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16,541</w:t>
            </w: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(367,978)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(62,045)</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(430,023)</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(48,999)</w:t>
            </w:r>
          </w:p>
        </w:tc>
        <w:tc>
          <w:tcPr>
            <w:tcW w:w="0" w:type="dxa"/>
            <w:vAlign w:val="bottom"/>
          </w:tcPr>
          <w:p>
            <w:pPr>
              <w:spacing w:after="0"/>
              <w:rPr>
                <w:sz w:val="1"/>
                <w:szCs w:val="1"/>
                <w:color w:val="auto"/>
              </w:rPr>
            </w:pPr>
          </w:p>
        </w:tc>
      </w:tr>
      <w:tr>
        <w:trPr>
          <w:trHeight w:val="17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807,198</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262,661</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1,069,859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Six Months Ended June 30, 2020</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1,547,347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1,546,461</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318,345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318,481</w:t>
            </w: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35,856</w:t>
            </w: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(309,476)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(67,845)</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(377,321)</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(70,281)</w:t>
            </w:r>
          </w:p>
        </w:tc>
        <w:tc>
          <w:tcPr>
            <w:tcW w:w="0" w:type="dxa"/>
            <w:vAlign w:val="bottom"/>
          </w:tcPr>
          <w:p>
            <w:pPr>
              <w:spacing w:after="0"/>
              <w:rPr>
                <w:sz w:val="1"/>
                <w:szCs w:val="1"/>
                <w:color w:val="auto"/>
              </w:rPr>
            </w:pPr>
          </w:p>
        </w:tc>
      </w:tr>
      <w:tr>
        <w:trPr>
          <w:trHeight w:val="17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1,204,389</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248,807</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1,453,196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The following table shows our Adjusted Net Trading Income and average daily Adjusted Net Trading Income by segment for the three and six months ended June 30, 2021 and 2020:</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04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w w:val="97"/>
              </w:rPr>
              <w:t>Three Months Ended June 30,</w:t>
            </w:r>
          </w:p>
        </w:tc>
        <w:tc>
          <w:tcPr>
            <w:tcW w:w="1200" w:type="dxa"/>
            <w:vAlign w:val="bottom"/>
            <w:tcBorders>
              <w:bottom w:val="single" w:sz="8" w:color="auto"/>
            </w:tcBorders>
          </w:tcPr>
          <w:p>
            <w:pPr>
              <w:spacing w:after="0"/>
              <w:rPr>
                <w:sz w:val="16"/>
                <w:szCs w:val="16"/>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Adjusted Net Trading Income by Segment (in thousands):</w:t>
            </w:r>
          </w:p>
        </w:tc>
        <w:tc>
          <w:tcPr>
            <w:tcW w:w="34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 Change</w:t>
            </w:r>
          </w:p>
        </w:tc>
      </w:tr>
      <w:tr>
        <w:trPr>
          <w:trHeight w:val="184"/>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232,074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552,114</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170"/>
              <w:spacing w:after="0"/>
              <w:rPr>
                <w:sz w:val="20"/>
                <w:szCs w:val="20"/>
                <w:color w:val="auto"/>
              </w:rPr>
            </w:pPr>
            <w:r>
              <w:rPr>
                <w:rFonts w:ascii="Arial" w:cs="Arial" w:eastAsia="Arial" w:hAnsi="Arial"/>
                <w:sz w:val="14"/>
                <w:szCs w:val="14"/>
                <w:color w:val="auto"/>
                <w:w w:val="89"/>
              </w:rPr>
              <w:t>(58.0)%</w:t>
            </w:r>
          </w:p>
        </w:tc>
      </w:tr>
      <w:tr>
        <w:trPr>
          <w:trHeight w:val="181"/>
        </w:trPr>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Execution Services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109,756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116,614</w:t>
            </w:r>
          </w:p>
        </w:tc>
        <w:tc>
          <w:tcPr>
            <w:tcW w:w="34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jc w:val="center"/>
              <w:ind w:right="170"/>
              <w:spacing w:after="0"/>
              <w:rPr>
                <w:sz w:val="20"/>
                <w:szCs w:val="20"/>
                <w:color w:val="auto"/>
              </w:rPr>
            </w:pPr>
            <w:r>
              <w:rPr>
                <w:rFonts w:ascii="Arial" w:cs="Arial" w:eastAsia="Arial" w:hAnsi="Arial"/>
                <w:sz w:val="14"/>
                <w:szCs w:val="14"/>
                <w:color w:val="auto"/>
                <w:w w:val="96"/>
              </w:rPr>
              <w:t>(5.9)%</w:t>
            </w:r>
          </w:p>
        </w:tc>
      </w:tr>
      <w:tr>
        <w:trPr>
          <w:trHeight w:val="20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341,830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668,728</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4"/>
                <w:szCs w:val="14"/>
                <w:color w:val="auto"/>
                <w:w w:val="89"/>
              </w:rPr>
              <w:t>(48.9)%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74" w:lineRule="exact"/>
        <w:rPr>
          <w:sz w:val="20"/>
          <w:szCs w:val="20"/>
          <w:color w:val="auto"/>
        </w:rPr>
      </w:pPr>
    </w:p>
    <w:tbl>
      <w:tblPr>
        <w:tblLayout w:type="fixed"/>
        <w:tblInd w:w="104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ind w:left="1000"/>
              <w:spacing w:after="0"/>
              <w:rPr>
                <w:sz w:val="20"/>
                <w:szCs w:val="20"/>
                <w:color w:val="auto"/>
              </w:rPr>
            </w:pPr>
            <w:r>
              <w:rPr>
                <w:rFonts w:ascii="Arial" w:cs="Arial" w:eastAsia="Arial" w:hAnsi="Arial"/>
                <w:sz w:val="14"/>
                <w:szCs w:val="14"/>
                <w:b w:val="1"/>
                <w:bCs w:val="1"/>
                <w:color w:val="auto"/>
                <w:w w:val="97"/>
              </w:rPr>
              <w:t>Three Months Ended June 30,</w:t>
            </w:r>
          </w:p>
        </w:tc>
        <w:tc>
          <w:tcPr>
            <w:tcW w:w="1200" w:type="dxa"/>
            <w:vAlign w:val="bottom"/>
            <w:tcBorders>
              <w:bottom w:val="single" w:sz="8" w:color="auto"/>
            </w:tcBorders>
          </w:tcPr>
          <w:p>
            <w:pPr>
              <w:spacing w:after="0"/>
              <w:rPr>
                <w:sz w:val="16"/>
                <w:szCs w:val="16"/>
                <w:color w:val="auto"/>
              </w:rPr>
            </w:pPr>
          </w:p>
        </w:tc>
      </w:tr>
      <w:tr>
        <w:trPr>
          <w:trHeight w:val="18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w w:val="96"/>
              </w:rPr>
              <w:t>Average Daily Adjusted Net Trading Income by Segment (in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r>
      <w:tr>
        <w:trPr>
          <w:trHeight w:val="177"/>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3,684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170"/>
              <w:spacing w:after="0"/>
              <w:rPr>
                <w:sz w:val="20"/>
                <w:szCs w:val="20"/>
                <w:color w:val="auto"/>
              </w:rPr>
            </w:pPr>
            <w:r>
              <w:rPr>
                <w:rFonts w:ascii="Arial" w:cs="Arial" w:eastAsia="Arial" w:hAnsi="Arial"/>
                <w:sz w:val="14"/>
                <w:szCs w:val="14"/>
                <w:color w:val="auto"/>
                <w:w w:val="89"/>
              </w:rPr>
              <w:t>(58.0)%</w:t>
            </w:r>
          </w:p>
        </w:tc>
      </w:tr>
      <w:tr>
        <w:trPr>
          <w:trHeight w:val="181"/>
        </w:trPr>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Execution Services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1,742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jc w:val="center"/>
              <w:ind w:right="170"/>
              <w:spacing w:after="0"/>
              <w:rPr>
                <w:sz w:val="20"/>
                <w:szCs w:val="20"/>
                <w:color w:val="auto"/>
              </w:rPr>
            </w:pPr>
            <w:r>
              <w:rPr>
                <w:rFonts w:ascii="Arial" w:cs="Arial" w:eastAsia="Arial" w:hAnsi="Arial"/>
                <w:sz w:val="14"/>
                <w:szCs w:val="14"/>
                <w:color w:val="auto"/>
                <w:w w:val="96"/>
              </w:rPr>
              <w:t>(5.9)%</w:t>
            </w:r>
          </w:p>
        </w:tc>
      </w:tr>
      <w:tr>
        <w:trPr>
          <w:trHeight w:val="20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Average Daily Adjusted Net Trading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5,426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4"/>
                <w:szCs w:val="14"/>
                <w:color w:val="auto"/>
                <w:w w:val="89"/>
              </w:rPr>
              <w:t>(48.9)%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104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1240" w:type="dxa"/>
            <w:vAlign w:val="bottom"/>
            <w:tcBorders>
              <w:bottom w:val="single" w:sz="8" w:color="auto"/>
            </w:tcBorders>
          </w:tcPr>
          <w:p>
            <w:pPr>
              <w:spacing w:after="0"/>
              <w:rPr>
                <w:sz w:val="16"/>
                <w:szCs w:val="16"/>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Adjusted Net Trading Income by Segment (in thousands):</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1240" w:type="dxa"/>
            <w:vAlign w:val="bottom"/>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175"/>
        </w:trPr>
        <w:tc>
          <w:tcPr>
            <w:tcW w:w="4680" w:type="dxa"/>
            <w:vAlign w:val="bottom"/>
          </w:tcPr>
          <w:p>
            <w:pPr>
              <w:ind w:left="200"/>
              <w:spacing w:after="0"/>
              <w:rPr>
                <w:sz w:val="20"/>
                <w:szCs w:val="20"/>
                <w:color w:val="auto"/>
              </w:rPr>
            </w:pPr>
            <w:r>
              <w:rPr>
                <w:rFonts w:ascii="Arial" w:cs="Arial" w:eastAsia="Arial" w:hAnsi="Arial"/>
                <w:sz w:val="14"/>
                <w:szCs w:val="14"/>
                <w:color w:val="auto"/>
              </w:rPr>
              <w:t>Market Making</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807,198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1,204,389</w:t>
            </w:r>
          </w:p>
        </w:tc>
        <w:tc>
          <w:tcPr>
            <w:tcW w:w="300" w:type="dxa"/>
            <w:vAlign w:val="bottom"/>
          </w:tcPr>
          <w:p>
            <w:pPr>
              <w:spacing w:after="0"/>
              <w:rPr>
                <w:sz w:val="15"/>
                <w:szCs w:val="15"/>
                <w:color w:val="auto"/>
              </w:rPr>
            </w:pPr>
          </w:p>
        </w:tc>
        <w:tc>
          <w:tcPr>
            <w:tcW w:w="1240" w:type="dxa"/>
            <w:vAlign w:val="bottom"/>
          </w:tcPr>
          <w:p>
            <w:pPr>
              <w:jc w:val="center"/>
              <w:ind w:right="130"/>
              <w:spacing w:after="0"/>
              <w:rPr>
                <w:sz w:val="20"/>
                <w:szCs w:val="20"/>
                <w:color w:val="auto"/>
              </w:rPr>
            </w:pPr>
            <w:r>
              <w:rPr>
                <w:rFonts w:ascii="Arial" w:cs="Arial" w:eastAsia="Arial" w:hAnsi="Arial"/>
                <w:sz w:val="14"/>
                <w:szCs w:val="14"/>
                <w:color w:val="auto"/>
                <w:w w:val="89"/>
              </w:rPr>
              <w:t>(33.0)%</w:t>
            </w:r>
          </w:p>
        </w:tc>
      </w:tr>
      <w:tr>
        <w:trPr>
          <w:trHeight w:val="186"/>
        </w:trPr>
        <w:tc>
          <w:tcPr>
            <w:tcW w:w="4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Execution Services</w:t>
            </w: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262,661</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248,807</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ind w:right="130"/>
              <w:spacing w:after="0"/>
              <w:rPr>
                <w:sz w:val="20"/>
                <w:szCs w:val="20"/>
                <w:color w:val="auto"/>
              </w:rPr>
            </w:pPr>
            <w:r>
              <w:rPr>
                <w:rFonts w:ascii="Arial" w:cs="Arial" w:eastAsia="Arial" w:hAnsi="Arial"/>
                <w:sz w:val="14"/>
                <w:szCs w:val="14"/>
                <w:color w:val="auto"/>
                <w:w w:val="87"/>
              </w:rPr>
              <w:t>5.6%</w:t>
            </w:r>
          </w:p>
        </w:tc>
      </w:tr>
      <w:tr>
        <w:trPr>
          <w:trHeight w:val="17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1,069,859</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1,453,196</w:t>
            </w:r>
          </w:p>
        </w:tc>
        <w:tc>
          <w:tcPr>
            <w:tcW w:w="300" w:type="dxa"/>
            <w:vAlign w:val="bottom"/>
          </w:tcPr>
          <w:p>
            <w:pPr>
              <w:spacing w:after="0"/>
              <w:rPr>
                <w:sz w:val="15"/>
                <w:szCs w:val="15"/>
                <w:color w:val="auto"/>
              </w:rPr>
            </w:pPr>
          </w:p>
        </w:tc>
        <w:tc>
          <w:tcPr>
            <w:tcW w:w="1240" w:type="dxa"/>
            <w:vAlign w:val="bottom"/>
          </w:tcPr>
          <w:p>
            <w:pPr>
              <w:jc w:val="center"/>
              <w:ind w:right="130"/>
              <w:spacing w:after="0"/>
              <w:rPr>
                <w:sz w:val="20"/>
                <w:szCs w:val="20"/>
                <w:color w:val="auto"/>
              </w:rPr>
            </w:pPr>
            <w:r>
              <w:rPr>
                <w:rFonts w:ascii="Arial" w:cs="Arial" w:eastAsia="Arial" w:hAnsi="Arial"/>
                <w:sz w:val="14"/>
                <w:szCs w:val="14"/>
                <w:color w:val="auto"/>
                <w:w w:val="89"/>
              </w:rPr>
              <w:t>(26.4)%</w:t>
            </w: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1040" w:type="dxa"/>
        <w:tblCellMar>
          <w:top w:w="0" w:type="dxa"/>
          <w:left w:w="0" w:type="dxa"/>
          <w:bottom w:w="0" w:type="dxa"/>
          <w:right w:w="0" w:type="dxa"/>
        </w:tblCellMar>
      </w:tblPr>
      <w:tr>
        <w:trPr>
          <w:trHeight w:val="188"/>
        </w:trPr>
        <w:tc>
          <w:tcPr>
            <w:tcW w:w="4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1240" w:type="dxa"/>
            <w:vAlign w:val="bottom"/>
            <w:tcBorders>
              <w:bottom w:val="single" w:sz="8" w:color="auto"/>
            </w:tcBorders>
          </w:tcPr>
          <w:p>
            <w:pPr>
              <w:spacing w:after="0"/>
              <w:rPr>
                <w:sz w:val="16"/>
                <w:szCs w:val="16"/>
                <w:color w:val="auto"/>
              </w:rPr>
            </w:pPr>
          </w:p>
        </w:tc>
      </w:tr>
      <w:tr>
        <w:trPr>
          <w:trHeight w:val="182"/>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6"/>
              </w:rPr>
              <w:t>Average Daily Adjusted Net Trading Income by Segment (in thousands):</w:t>
            </w: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174"/>
        </w:trPr>
        <w:tc>
          <w:tcPr>
            <w:tcW w:w="4680" w:type="dxa"/>
            <w:vAlign w:val="bottom"/>
          </w:tcPr>
          <w:p>
            <w:pPr>
              <w:ind w:left="200"/>
              <w:spacing w:after="0"/>
              <w:rPr>
                <w:sz w:val="20"/>
                <w:szCs w:val="20"/>
                <w:color w:val="auto"/>
              </w:rPr>
            </w:pPr>
            <w:r>
              <w:rPr>
                <w:rFonts w:ascii="Arial" w:cs="Arial" w:eastAsia="Arial" w:hAnsi="Arial"/>
                <w:sz w:val="14"/>
                <w:szCs w:val="14"/>
                <w:color w:val="auto"/>
              </w:rPr>
              <w:t>Market Making</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6,510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9,635</w:t>
            </w:r>
          </w:p>
        </w:tc>
        <w:tc>
          <w:tcPr>
            <w:tcW w:w="300" w:type="dxa"/>
            <w:vAlign w:val="bottom"/>
          </w:tcPr>
          <w:p>
            <w:pPr>
              <w:spacing w:after="0"/>
              <w:rPr>
                <w:sz w:val="15"/>
                <w:szCs w:val="15"/>
                <w:color w:val="auto"/>
              </w:rPr>
            </w:pPr>
          </w:p>
        </w:tc>
        <w:tc>
          <w:tcPr>
            <w:tcW w:w="1240" w:type="dxa"/>
            <w:vAlign w:val="bottom"/>
          </w:tcPr>
          <w:p>
            <w:pPr>
              <w:jc w:val="center"/>
              <w:ind w:right="130"/>
              <w:spacing w:after="0"/>
              <w:rPr>
                <w:sz w:val="20"/>
                <w:szCs w:val="20"/>
                <w:color w:val="auto"/>
              </w:rPr>
            </w:pPr>
            <w:r>
              <w:rPr>
                <w:rFonts w:ascii="Arial" w:cs="Arial" w:eastAsia="Arial" w:hAnsi="Arial"/>
                <w:sz w:val="14"/>
                <w:szCs w:val="14"/>
                <w:color w:val="auto"/>
                <w:w w:val="89"/>
              </w:rPr>
              <w:t>(32.4)%</w:t>
            </w:r>
          </w:p>
        </w:tc>
      </w:tr>
      <w:tr>
        <w:trPr>
          <w:trHeight w:val="186"/>
        </w:trPr>
        <w:tc>
          <w:tcPr>
            <w:tcW w:w="4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Execution Services</w:t>
            </w: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ind w:right="130"/>
              <w:spacing w:after="0"/>
              <w:rPr>
                <w:sz w:val="20"/>
                <w:szCs w:val="20"/>
                <w:color w:val="auto"/>
              </w:rPr>
            </w:pPr>
            <w:r>
              <w:rPr>
                <w:rFonts w:ascii="Arial" w:cs="Arial" w:eastAsia="Arial" w:hAnsi="Arial"/>
                <w:sz w:val="14"/>
                <w:szCs w:val="14"/>
                <w:color w:val="auto"/>
                <w:w w:val="87"/>
              </w:rPr>
              <w:t>6.4%</w:t>
            </w:r>
          </w:p>
        </w:tc>
      </w:tr>
      <w:tr>
        <w:trPr>
          <w:trHeight w:val="17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Average Daily Adjusted Net Trading Income</w:t>
            </w: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8,628</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11,625</w:t>
            </w:r>
          </w:p>
        </w:tc>
        <w:tc>
          <w:tcPr>
            <w:tcW w:w="300" w:type="dxa"/>
            <w:vAlign w:val="bottom"/>
          </w:tcPr>
          <w:p>
            <w:pPr>
              <w:spacing w:after="0"/>
              <w:rPr>
                <w:sz w:val="15"/>
                <w:szCs w:val="15"/>
                <w:color w:val="auto"/>
              </w:rPr>
            </w:pPr>
          </w:p>
        </w:tc>
        <w:tc>
          <w:tcPr>
            <w:tcW w:w="1240" w:type="dxa"/>
            <w:vAlign w:val="bottom"/>
          </w:tcPr>
          <w:p>
            <w:pPr>
              <w:jc w:val="center"/>
              <w:ind w:right="130"/>
              <w:spacing w:after="0"/>
              <w:rPr>
                <w:sz w:val="20"/>
                <w:szCs w:val="20"/>
                <w:color w:val="auto"/>
              </w:rPr>
            </w:pPr>
            <w:r>
              <w:rPr>
                <w:rFonts w:ascii="Arial" w:cs="Arial" w:eastAsia="Arial" w:hAnsi="Arial"/>
                <w:sz w:val="14"/>
                <w:szCs w:val="14"/>
                <w:color w:val="auto"/>
                <w:w w:val="89"/>
              </w:rPr>
              <w:t>(25.8)%</w:t>
            </w: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June 30, 2021 Compared to Three Months Ended June 30, 2020</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50" w:lineRule="exact"/>
        <w:rPr>
          <w:sz w:val="20"/>
          <w:szCs w:val="20"/>
          <w:color w:val="auto"/>
        </w:rPr>
      </w:pPr>
    </w:p>
    <w:p>
      <w:pPr>
        <w:ind w:firstLine="629"/>
        <w:spacing w:after="0" w:line="249" w:lineRule="auto"/>
        <w:rPr>
          <w:sz w:val="20"/>
          <w:szCs w:val="20"/>
          <w:color w:val="auto"/>
        </w:rPr>
      </w:pPr>
      <w:r>
        <w:rPr>
          <w:rFonts w:ascii="Arial" w:cs="Arial" w:eastAsia="Arial" w:hAnsi="Arial"/>
          <w:sz w:val="17"/>
          <w:szCs w:val="17"/>
          <w:color w:val="auto"/>
        </w:rPr>
        <w:t>Our total revenues decreased $356.9 million, or 39.4%, to $549.0 million for the three months ended June 30, 2021, compared to $905.9 million for the three months ended June 30, 2020. The decrease was primarily driven by a decrease of $359.2 million in Trading income, net, which was primarily driven by lower market volatility and trading volumes across global markets and major asset categories during the three months ended June 30, 2021 compared to the same period in 2020, which experienced elevated levels of market volatility and trading volumes largely due to the impacts of the COVID-19 pandemic and the governmental and other responses thereto.</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total revenues by segment for the three months ended June 30, 2021 and 2020.</w:t>
      </w:r>
    </w:p>
    <w:p>
      <w:pPr>
        <w:spacing w:after="0" w:line="43"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Three Months Ended June 30,</w:t>
            </w:r>
          </w:p>
        </w:tc>
        <w:tc>
          <w:tcPr>
            <w:tcW w:w="1640" w:type="dxa"/>
            <w:vAlign w:val="bottom"/>
            <w:tcBorders>
              <w:bottom w:val="single" w:sz="8" w:color="auto"/>
            </w:tcBorders>
          </w:tcPr>
          <w:p>
            <w:pPr>
              <w:spacing w:after="0"/>
              <w:rPr>
                <w:sz w:val="16"/>
                <w:szCs w:val="16"/>
                <w:color w:val="auto"/>
              </w:rPr>
            </w:pPr>
          </w:p>
        </w:tc>
      </w:tr>
      <w:tr>
        <w:trPr>
          <w:trHeight w:val="18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r>
      <w:tr>
        <w:trPr>
          <w:trHeight w:val="164"/>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81"/>
        </w:trPr>
        <w:tc>
          <w:tcPr>
            <w:tcW w:w="420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380,644</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744,685</w:t>
            </w: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3"/>
              </w:rPr>
              <w:t>(48.9)%</w:t>
            </w:r>
          </w:p>
        </w:tc>
      </w:tr>
      <w:tr>
        <w:trPr>
          <w:trHeight w:val="186"/>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9,020</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6.1%</w:t>
            </w:r>
          </w:p>
        </w:tc>
      </w:tr>
      <w:tr>
        <w:trPr>
          <w:trHeight w:val="181"/>
        </w:trPr>
        <w:tc>
          <w:tcPr>
            <w:tcW w:w="4200" w:type="dxa"/>
            <w:vAlign w:val="bottom"/>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9,087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186"/>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3,241</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6,046</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(46.4)%</w:t>
            </w:r>
          </w:p>
        </w:tc>
      </w:tr>
      <w:tr>
        <w:trPr>
          <w:trHeight w:val="176"/>
        </w:trPr>
        <w:tc>
          <w:tcPr>
            <w:tcW w:w="4200" w:type="dxa"/>
            <w:vAlign w:val="bottom"/>
          </w:tcPr>
          <w:p>
            <w:pPr>
              <w:ind w:left="140"/>
              <w:spacing w:after="0"/>
              <w:rPr>
                <w:sz w:val="20"/>
                <w:szCs w:val="20"/>
                <w:color w:val="auto"/>
              </w:rPr>
            </w:pPr>
            <w:r>
              <w:rPr>
                <w:rFonts w:ascii="Arial" w:cs="Arial" w:eastAsia="Arial" w:hAnsi="Arial"/>
                <w:sz w:val="14"/>
                <w:szCs w:val="14"/>
                <w:color w:val="auto"/>
              </w:rPr>
              <w:t>Total revenues from Market Making</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402,541</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759,117</w:t>
            </w: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3"/>
              </w:rPr>
              <w:t>(47.0)%</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r>
      <w:tr>
        <w:trPr>
          <w:trHeight w:val="176"/>
        </w:trPr>
        <w:tc>
          <w:tcPr>
            <w:tcW w:w="4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4"/>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4,188</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181"/>
        </w:trPr>
        <w:tc>
          <w:tcPr>
            <w:tcW w:w="4200" w:type="dxa"/>
            <w:vAlign w:val="bottom"/>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186"/>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134,028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148,370</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r>
      <w:tr>
        <w:trPr>
          <w:trHeight w:val="181"/>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NM</w:t>
            </w:r>
          </w:p>
        </w:tc>
      </w:tr>
      <w:tr>
        <w:trPr>
          <w:trHeight w:val="204"/>
        </w:trPr>
        <w:tc>
          <w:tcPr>
            <w:tcW w:w="4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138,130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148,076</w:t>
            </w: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(6.7)%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81"/>
        </w:trPr>
        <w:tc>
          <w:tcPr>
            <w:tcW w:w="420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8,294</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04"/>
        </w:trPr>
        <w:tc>
          <w:tcPr>
            <w:tcW w:w="4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revenues from Corporate</w:t>
            </w:r>
          </w:p>
        </w:tc>
        <w:tc>
          <w:tcPr>
            <w:tcW w:w="3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81"/>
        </w:trPr>
        <w:tc>
          <w:tcPr>
            <w:tcW w:w="420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384,832</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743,996</w:t>
            </w: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3"/>
              </w:rPr>
              <w:t>(48.3)%</w:t>
            </w:r>
          </w:p>
        </w:tc>
      </w:tr>
      <w:tr>
        <w:trPr>
          <w:trHeight w:val="186"/>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9,340</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w:t>
            </w:r>
          </w:p>
        </w:tc>
      </w:tr>
      <w:tr>
        <w:trPr>
          <w:trHeight w:val="181"/>
        </w:trPr>
        <w:tc>
          <w:tcPr>
            <w:tcW w:w="4200" w:type="dxa"/>
            <w:vAlign w:val="bottom"/>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143,115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147,736</w:t>
            </w: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(3.1)%</w:t>
            </w:r>
          </w:p>
        </w:tc>
      </w:tr>
      <w:tr>
        <w:trPr>
          <w:trHeight w:val="186"/>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11,473</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4,831</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137.5</w:t>
            </w:r>
          </w:p>
        </w:tc>
      </w:tr>
      <w:tr>
        <w:trPr>
          <w:trHeight w:val="176"/>
        </w:trPr>
        <w:tc>
          <w:tcPr>
            <w:tcW w:w="4200" w:type="dxa"/>
            <w:vAlign w:val="bottom"/>
          </w:tcPr>
          <w:p>
            <w:pPr>
              <w:ind w:left="140"/>
              <w:spacing w:after="0"/>
              <w:rPr>
                <w:sz w:val="20"/>
                <w:szCs w:val="20"/>
                <w:color w:val="auto"/>
              </w:rPr>
            </w:pPr>
            <w:r>
              <w:rPr>
                <w:rFonts w:ascii="Arial" w:cs="Arial" w:eastAsia="Arial" w:hAnsi="Arial"/>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548,965</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905,903</w:t>
            </w: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3"/>
              </w:rPr>
              <w:t>(39.4)%</w:t>
            </w: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40" w:firstLine="629"/>
        <w:spacing w:after="0" w:line="301" w:lineRule="auto"/>
        <w:rPr>
          <w:sz w:val="20"/>
          <w:szCs w:val="20"/>
          <w:color w:val="auto"/>
        </w:rPr>
      </w:pPr>
      <w:r>
        <w:rPr>
          <w:rFonts w:ascii="Arial" w:cs="Arial" w:eastAsia="Arial" w:hAnsi="Arial"/>
          <w:sz w:val="15"/>
          <w:szCs w:val="15"/>
          <w:b w:val="1"/>
          <w:bCs w:val="1"/>
          <w:i w:val="1"/>
          <w:iCs w:val="1"/>
          <w:color w:val="auto"/>
        </w:rPr>
        <w:t xml:space="preserve">Trading income, net. </w:t>
      </w:r>
      <w:r>
        <w:rPr>
          <w:rFonts w:ascii="Arial" w:cs="Arial" w:eastAsia="Arial" w:hAnsi="Arial"/>
          <w:sz w:val="15"/>
          <w:szCs w:val="15"/>
          <w:color w:val="auto"/>
        </w:rPr>
        <w:t>Trading income, net was primarily earned by our Market Making segment. Trading income, net decreased $359.2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48.3%, to $384.8 million for the three months ended June 30, 2021, compared to $744.0 million for the three months ended June 30, 2020. The decrease was primarily driven by the lower market volatility and trading volumes across global markets and major asset categories during the three months ended June 30, 2021 compared to the same period in 2020, which experienced elevated levels of market volatility and trading volumes largely due to the impacts of the COVID-19 and the governmental and other responses thereto. Average daily realized volatility of the S&amp;P 500 Index decreased 64.8% during the period as compared to the prior period, while average daily U.S. equity consolidated volumes decreased 14.5%.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spacing w:after="0" w:line="182"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was primarily earned by our Market Making segment. Interest and dividends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$0.2 million, or 2.2%, to $9.5 million for the three months ended June 30, 2021, compared to $9.3 million for the three months ended June 30, 2020. This increase was primarily attributable to the higher interest income earned on cash collateral posted as part of securities borrowing transactions driven by a slight increase in balances compared to the same period in 2020. As indicated above, rather than analyzing interest and dividends income in isolation, we evaluate it in the broader context of our Adjusted Net Trading Income.</w:t>
      </w:r>
    </w:p>
    <w:p>
      <w:pPr>
        <w:spacing w:after="0" w:line="204" w:lineRule="exact"/>
        <w:rPr>
          <w:sz w:val="20"/>
          <w:szCs w:val="20"/>
          <w:color w:val="auto"/>
        </w:rPr>
      </w:pPr>
    </w:p>
    <w:p>
      <w:pPr>
        <w:ind w:right="180" w:firstLine="629"/>
        <w:spacing w:after="0" w:line="325" w:lineRule="auto"/>
        <w:rPr>
          <w:sz w:val="20"/>
          <w:szCs w:val="20"/>
          <w:color w:val="auto"/>
        </w:rPr>
      </w:pPr>
      <w:r>
        <w:rPr>
          <w:rFonts w:ascii="Arial" w:cs="Arial" w:eastAsia="Arial" w:hAnsi="Arial"/>
          <w:sz w:val="15"/>
          <w:szCs w:val="15"/>
          <w:b w:val="1"/>
          <w:bCs w:val="1"/>
          <w:i w:val="1"/>
          <w:iCs w:val="1"/>
          <w:color w:val="auto"/>
        </w:rPr>
        <w:t xml:space="preserve">Commissions, net and technology services. </w:t>
      </w:r>
      <w:r>
        <w:rPr>
          <w:rFonts w:ascii="Arial" w:cs="Arial" w:eastAsia="Arial" w:hAnsi="Arial"/>
          <w:sz w:val="15"/>
          <w:szCs w:val="15"/>
          <w:color w:val="auto"/>
        </w:rPr>
        <w:t>Commissions, net and technology services revenues were primarily earned by our Execution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segment. Commissions, net and technology services revenues decreased $4.6 million, or 3.1%, to $143.1 million for the three months ended June 30, 2021, compared to $147.7 million for the three months ended June 30, 2020. The decrease was primarily attributable to lower market volatility and trading volumes.</w:t>
      </w:r>
    </w:p>
    <w:p>
      <w:pPr>
        <w:spacing w:after="0" w:line="164" w:lineRule="exact"/>
        <w:rPr>
          <w:sz w:val="20"/>
          <w:szCs w:val="20"/>
          <w:color w:val="auto"/>
        </w:rPr>
      </w:pPr>
    </w:p>
    <w:p>
      <w:pPr>
        <w:ind w:firstLine="629"/>
        <w:spacing w:after="0" w:line="325" w:lineRule="auto"/>
        <w:rPr>
          <w:sz w:val="20"/>
          <w:szCs w:val="20"/>
          <w:color w:val="auto"/>
        </w:rPr>
      </w:pPr>
      <w:r>
        <w:rPr>
          <w:rFonts w:ascii="Arial" w:cs="Arial" w:eastAsia="Arial" w:hAnsi="Arial"/>
          <w:sz w:val="15"/>
          <w:szCs w:val="15"/>
          <w:b w:val="1"/>
          <w:bCs w:val="1"/>
          <w:i w:val="1"/>
          <w:iCs w:val="1"/>
          <w:color w:val="auto"/>
        </w:rPr>
        <w:t xml:space="preserve">Other, net. </w:t>
      </w:r>
      <w:r>
        <w:rPr>
          <w:rFonts w:ascii="Arial" w:cs="Arial" w:eastAsia="Arial" w:hAnsi="Arial"/>
          <w:sz w:val="15"/>
          <w:szCs w:val="15"/>
          <w:color w:val="auto"/>
        </w:rPr>
        <w:t>Other, net increased $6.6 million, or 137.5%, to $11.5 million for the three months ended June 30, 2021, compared to $4.8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June 30, 2020. The increase was primarily due to a $12.2 million unrealized gain recorded on the minority investment in Japannext Co., Ltd. (see Note 9 "Financial Assets and Liabilities" of Part I Item I "Financial Statements" of this Quarterly Report on Form 10-Q for details on the JNX Investment).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250"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Adjusted Net Trading Income decreased $326.9 million, or 48.9%, to $341.8 million for the three months ended June 30, 2021, compared to $668.7 million for the three months ended June 30, 2020. This decrease was primarily attributable to lower Trading income, net in the Market Making segment driven by lower market volatility and trading volumes across major asset categories during the three months ended June 30, 2021 compared to the same period in 2020. Average daily realized volatility of the S&amp;P 500 Index and average daily CVIX realized volatility decreased 64.8% and 46.4%, respectively, compared to the prior period, while average daily U.S. equity consolidated volumes decreased 14.5%. Adjusted Net Trading Income per day decreased $5.2 million, or 48.9%, to $5.4 million for the three months ended June 30, 2021, compared to $10.6 million for the three months ended June 30, 2020. There were 63 trading days for both the three months ended June 30, 2021 and 2020. Adjusted Net Trading Income is a non-GAAP measure.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50" w:lineRule="exact"/>
        <w:rPr>
          <w:sz w:val="20"/>
          <w:szCs w:val="20"/>
          <w:color w:val="auto"/>
        </w:rPr>
      </w:pPr>
    </w:p>
    <w:p>
      <w:pPr>
        <w:ind w:firstLine="629"/>
        <w:spacing w:after="0" w:line="297" w:lineRule="auto"/>
        <w:rPr>
          <w:sz w:val="20"/>
          <w:szCs w:val="20"/>
          <w:color w:val="auto"/>
        </w:rPr>
      </w:pPr>
      <w:r>
        <w:rPr>
          <w:rFonts w:ascii="Arial" w:cs="Arial" w:eastAsia="Arial" w:hAnsi="Arial"/>
          <w:sz w:val="16"/>
          <w:szCs w:val="16"/>
          <w:color w:val="auto"/>
        </w:rPr>
        <w:t>Our operating expenses decreased $87.4 million, or 17.4%, to $414.0 million for the three months ended June 30, 2021, compared to $501.4 million for the three months ended June 30, 2020. The decrease in operating expenses is primarily due to a decrease in brokerage, exchange, clearance fees and payments for order flow, net and employee compensation and payroll taxes and other operating expenses described in more detail below.</w:t>
      </w:r>
    </w:p>
    <w:p>
      <w:pPr>
        <w:spacing w:after="0" w:line="181"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b w:val="1"/>
          <w:bCs w:val="1"/>
          <w:i w:val="1"/>
          <w:iCs w:val="1"/>
          <w:color w:val="auto"/>
        </w:rPr>
        <w:t xml:space="preserve">Brokerage, exchange, clearance fees and payments for order flow, net. </w:t>
      </w:r>
      <w:r>
        <w:rPr>
          <w:rFonts w:ascii="Arial" w:cs="Arial" w:eastAsia="Arial" w:hAnsi="Arial"/>
          <w:sz w:val="17"/>
          <w:szCs w:val="17"/>
          <w:color w:val="auto"/>
        </w:rPr>
        <w:t>Brokerage exchange, clearance fees and payments for order flow,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$32.8 million, or 16.1%, to $170.7 million for the three months ended June 30, 2021, compared to $203.5 million for the three months ended June 30, 2020. This decrease was primarily attributable to the decrease in market volatility and trading volumes during the three months ended June 30, 2021 compared to the same period in 2020. We evaluate this category representing direct costs associated with transacting business, in the broader context of our Adjusted Net Trading Income.</w:t>
      </w:r>
    </w:p>
    <w:p>
      <w:pPr>
        <w:spacing w:after="0" w:line="204" w:lineRule="exact"/>
        <w:rPr>
          <w:sz w:val="20"/>
          <w:szCs w:val="20"/>
          <w:color w:val="auto"/>
        </w:rPr>
      </w:pPr>
    </w:p>
    <w:p>
      <w:pPr>
        <w:ind w:right="340" w:firstLine="629"/>
        <w:spacing w:after="0" w:line="297"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expense decreased $3.2 million, or 5.7%, to $52.5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2021, compared to $55.7 million for the three months ended June 30, 2020. This decrease was primarily due to reductions in connectivity connections as a result of an on-going effort to consolidate various communication and data processing subscriptions.</w:t>
      </w:r>
    </w:p>
    <w:p>
      <w:pPr>
        <w:spacing w:after="0" w:line="181" w:lineRule="exact"/>
        <w:rPr>
          <w:sz w:val="20"/>
          <w:szCs w:val="20"/>
          <w:color w:val="auto"/>
        </w:rPr>
      </w:pPr>
    </w:p>
    <w:p>
      <w:pPr>
        <w:ind w:right="220" w:firstLine="629"/>
        <w:spacing w:after="0" w:line="289" w:lineRule="auto"/>
        <w:rPr>
          <w:sz w:val="20"/>
          <w:szCs w:val="20"/>
          <w:color w:val="auto"/>
        </w:rPr>
      </w:pPr>
      <w:r>
        <w:rPr>
          <w:rFonts w:ascii="Arial" w:cs="Arial" w:eastAsia="Arial" w:hAnsi="Arial"/>
          <w:sz w:val="16"/>
          <w:szCs w:val="16"/>
          <w:b w:val="1"/>
          <w:bCs w:val="1"/>
          <w:i w:val="1"/>
          <w:iCs w:val="1"/>
          <w:color w:val="auto"/>
        </w:rPr>
        <w:t xml:space="preserve">Employee compensation and payroll taxes. </w:t>
      </w:r>
      <w:r>
        <w:rPr>
          <w:rFonts w:ascii="Arial" w:cs="Arial" w:eastAsia="Arial" w:hAnsi="Arial"/>
          <w:sz w:val="16"/>
          <w:szCs w:val="16"/>
          <w:color w:val="auto"/>
        </w:rPr>
        <w:t>Employee compensation and payroll taxes decreased $37.1 million, or 30.7%, to $83.8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2021, compared to $120.9 million for the three months ended June 30, 2020. The decrease in compensation levels was primarily attributable to a reduction in accrued incentive compensation in the second quarter, which is recorded at management’s discretion and is generally accrued in connection with the overall level of profitability on a year-to-date basis, as well as the anticipated mix of cash and stock-based awards.</w:t>
      </w:r>
    </w:p>
    <w:p>
      <w:pPr>
        <w:spacing w:after="0" w:line="188"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We have capitalized and therefore excluded employee compensation and benefits related to software development of $8.9 million and $11.7 million for the three months ended June 30, 2021, and 2020, respectively.</w:t>
      </w:r>
    </w:p>
    <w:p>
      <w:pPr>
        <w:spacing w:after="0" w:line="184"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decreased $3.9 million, or 13.4%, to $25.0 million for the three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compared to $28.8 million for the three months ended June 30, 2020. This decrease was primarily attributable to lower interest expense incurred on cash collateral received as part of securities lending transactions, as well as a reduction in securities lending transactions for the period compared to the same period during the prior year. As indicated above, rather than analyzing interest and dividends expense in isolation, we evaluate it in the broader context of our Adjusted Net Trading Income.</w:t>
      </w:r>
    </w:p>
    <w:p>
      <w:pPr>
        <w:spacing w:after="0" w:line="204"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remained consistent at $21.8 million for the three months ended June 30,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$21.7 million for the three months ended June 30, 2020.</w:t>
      </w:r>
    </w:p>
    <w:p>
      <w:pPr>
        <w:spacing w:after="0" w:line="184"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decreased $0.4 million, or 2.2%, to $16.3 million for the three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compared to $16.7 million for the three months ended June 30, 2020. This decrease was primarily attributable to certain assets being fully depreciated partially offset by an increase in capital expenditures on telecommunication, networking and other assets.</w:t>
      </w:r>
    </w:p>
    <w:p>
      <w:pPr>
        <w:spacing w:after="0" w:line="197"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$0.9 million, or 4.6%, to $18.1 million for the three months ended June 30, 2021,</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compared to $19.0 million for the three months ended June 30, 2020. This decrease was due to certain technology intangible assets acquired in connection with the KCG Acquisition being fully amortized.</w:t>
      </w:r>
    </w:p>
    <w:p>
      <w:pPr>
        <w:spacing w:after="0" w:line="184" w:lineRule="exact"/>
        <w:rPr>
          <w:sz w:val="20"/>
          <w:szCs w:val="20"/>
          <w:color w:val="auto"/>
        </w:rPr>
      </w:pPr>
    </w:p>
    <w:p>
      <w:pPr>
        <w:ind w:right="120" w:firstLine="629"/>
        <w:spacing w:after="0" w:line="325" w:lineRule="auto"/>
        <w:rPr>
          <w:sz w:val="20"/>
          <w:szCs w:val="20"/>
          <w:color w:val="auto"/>
        </w:rPr>
      </w:pPr>
      <w:r>
        <w:rPr>
          <w:rFonts w:ascii="Arial" w:cs="Arial" w:eastAsia="Arial" w:hAnsi="Arial"/>
          <w:sz w:val="15"/>
          <w:szCs w:val="15"/>
          <w:b w:val="1"/>
          <w:bCs w:val="1"/>
          <w:i w:val="1"/>
          <w:iCs w:val="1"/>
          <w:color w:val="auto"/>
        </w:rPr>
        <w:t xml:space="preserve">Termination of office leases. </w:t>
      </w:r>
      <w:r>
        <w:rPr>
          <w:rFonts w:ascii="Arial" w:cs="Arial" w:eastAsia="Arial" w:hAnsi="Arial"/>
          <w:sz w:val="15"/>
          <w:szCs w:val="15"/>
          <w:color w:val="auto"/>
        </w:rPr>
        <w:t>Termination of office leases was $3.7 million for the three months ended June 30, 2021 due to the impairment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leasehold improvements and fixed assets for certain abandoned office space as part of the effort to integrate and consolidate office space in connection with the Acquisition of KCG and the ITG Acquisition. There were minimal expenses incurred on termination of office leases for the three months ended June 30, 2020.</w:t>
      </w:r>
    </w:p>
    <w:p>
      <w:pPr>
        <w:spacing w:after="0" w:line="164" w:lineRule="exact"/>
        <w:rPr>
          <w:sz w:val="20"/>
          <w:szCs w:val="20"/>
          <w:color w:val="auto"/>
        </w:rPr>
      </w:pPr>
    </w:p>
    <w:p>
      <w:pPr>
        <w:ind w:right="100" w:firstLine="629"/>
        <w:spacing w:after="0" w:line="297" w:lineRule="auto"/>
        <w:rPr>
          <w:sz w:val="20"/>
          <w:szCs w:val="20"/>
          <w:color w:val="auto"/>
        </w:rPr>
      </w:pPr>
      <w:r>
        <w:rPr>
          <w:rFonts w:ascii="Arial" w:cs="Arial" w:eastAsia="Arial" w:hAnsi="Arial"/>
          <w:sz w:val="16"/>
          <w:szCs w:val="16"/>
          <w:b w:val="1"/>
          <w:bCs w:val="1"/>
          <w:i w:val="1"/>
          <w:iCs w:val="1"/>
          <w:color w:val="auto"/>
        </w:rPr>
        <w:t xml:space="preserve">Debt issue cost related to debt refinancing, prepayment and commitment fees. </w:t>
      </w:r>
      <w:r>
        <w:rPr>
          <w:rFonts w:ascii="Arial" w:cs="Arial" w:eastAsia="Arial" w:hAnsi="Arial"/>
          <w:sz w:val="16"/>
          <w:szCs w:val="16"/>
          <w:color w:val="auto"/>
        </w:rPr>
        <w:t>Expense from debt issue costs related to debt refinancing, prepayment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commitment fees decreased $11.2 million, or 84.9%, to $2.0 million for the three months ended June 30, 2021, compared to $13.2 million for the three months ended June 30, 2020. The decrease was primarily driven by the prepayment of $188.5 million made during the second quarter of 2020.</w:t>
      </w:r>
    </w:p>
    <w:p>
      <w:pPr>
        <w:spacing w:after="0" w:line="181" w:lineRule="exact"/>
        <w:rPr>
          <w:sz w:val="20"/>
          <w:szCs w:val="20"/>
          <w:color w:val="auto"/>
        </w:rPr>
      </w:pPr>
    </w:p>
    <w:p>
      <w:pPr>
        <w:ind w:right="360" w:firstLine="629"/>
        <w:spacing w:after="0" w:line="257"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There was minimal expense incurred related to transaction advisory fees and expenses during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2021, compared to $0.1 million during the three months ended June 30, 2020. These expenses were primarily incurred in prior years related to the ITG Acquisition and Acquisition of KCG, for which we incurred significant transaction advisory fees.</w:t>
      </w:r>
    </w:p>
    <w:p>
      <w:pPr>
        <w:spacing w:after="0" w:line="197" w:lineRule="exact"/>
        <w:rPr>
          <w:sz w:val="20"/>
          <w:szCs w:val="20"/>
          <w:color w:val="auto"/>
        </w:rPr>
      </w:pPr>
    </w:p>
    <w:p>
      <w:pPr>
        <w:ind w:right="40" w:firstLine="629"/>
        <w:spacing w:after="0" w:line="325" w:lineRule="auto"/>
        <w:rPr>
          <w:sz w:val="20"/>
          <w:szCs w:val="20"/>
          <w:color w:val="auto"/>
        </w:rPr>
      </w:pPr>
      <w:r>
        <w:rPr>
          <w:rFonts w:ascii="Arial" w:cs="Arial" w:eastAsia="Arial" w:hAnsi="Arial"/>
          <w:sz w:val="15"/>
          <w:szCs w:val="15"/>
          <w:b w:val="1"/>
          <w:bCs w:val="1"/>
          <w:i w:val="1"/>
          <w:iCs w:val="1"/>
          <w:color w:val="auto"/>
        </w:rPr>
        <w:t xml:space="preserve">Financing interest expense on long-term borrowings. </w:t>
      </w:r>
      <w:r>
        <w:rPr>
          <w:rFonts w:ascii="Arial" w:cs="Arial" w:eastAsia="Arial" w:hAnsi="Arial"/>
          <w:sz w:val="15"/>
          <w:szCs w:val="15"/>
          <w:color w:val="auto"/>
        </w:rPr>
        <w:t>Financing interest expense on long-term borrowings decreased $1.6 million, or 7.5%, to $20.1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June 30, 2021, compared to $21.7 million for the three months ended June 30, 2020. This decrease was primarily attributable to the decrease in outstanding principal as a result of the prepayment on the First Lien Term Loan Facility in the second and third quarters of 2020.</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50"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was $26.1 million for the three months ended June 30, 2021, compared to $69.3 million for the three months ended June 30, 2020.</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Months Ended June 30, 2021 Compared to Six Months Ended June 30, 2020</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50"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Our total revenues decreased $345.0 million, or 18.1%, to $1,561.5 million for the six months ended June 30, 2021, compared to $1,906.5 million for the six months ended June 30, 2020. This decrease was primarily attributable to a decrease of $348.9 million in Trading income, net, which was primarily driven by lower market volatility during the six months ended June 30, 2021 compared to the prior period.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total revenues by segment for the six months ended June 30, 2021 and 2020.</w:t>
      </w:r>
    </w:p>
    <w:p>
      <w:pPr>
        <w:spacing w:after="0" w:line="279"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Six Months Ended June 30,</w:t>
            </w: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83"/>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380" w:type="dxa"/>
            <w:vAlign w:val="bottom"/>
          </w:tcPr>
          <w:p>
            <w:pPr>
              <w:spacing w:after="0"/>
              <w:rPr>
                <w:sz w:val="15"/>
                <w:szCs w:val="15"/>
                <w:color w:val="auto"/>
              </w:rPr>
            </w:pPr>
          </w:p>
        </w:tc>
        <w:tc>
          <w:tcPr>
            <w:tcW w:w="1260" w:type="dxa"/>
            <w:vAlign w:val="bottom"/>
          </w:tcPr>
          <w:p>
            <w:pPr>
              <w:jc w:val="right"/>
              <w:ind w:right="6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61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 Change</w:t>
            </w:r>
          </w:p>
        </w:tc>
      </w:tr>
      <w:tr>
        <w:trPr>
          <w:trHeight w:val="177"/>
        </w:trPr>
        <w:tc>
          <w:tcPr>
            <w:tcW w:w="4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1,181,926</w:t>
            </w:r>
          </w:p>
        </w:tc>
        <w:tc>
          <w:tcPr>
            <w:tcW w:w="10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1,547,347</w:t>
            </w:r>
          </w:p>
        </w:tc>
        <w:tc>
          <w:tcPr>
            <w:tcW w:w="1740" w:type="dxa"/>
            <w:vAlign w:val="bottom"/>
            <w:gridSpan w:val="2"/>
          </w:tcPr>
          <w:p>
            <w:pPr>
              <w:jc w:val="center"/>
              <w:ind w:left="50"/>
              <w:spacing w:after="0"/>
              <w:rPr>
                <w:sz w:val="20"/>
                <w:szCs w:val="20"/>
                <w:color w:val="auto"/>
              </w:rPr>
            </w:pPr>
            <w:r>
              <w:rPr>
                <w:rFonts w:ascii="Arial" w:cs="Arial" w:eastAsia="Arial" w:hAnsi="Arial"/>
                <w:sz w:val="14"/>
                <w:szCs w:val="14"/>
                <w:color w:val="auto"/>
                <w:w w:val="93"/>
              </w:rPr>
              <w:t>(23.6)%</w:t>
            </w:r>
          </w:p>
        </w:tc>
      </w:tr>
      <w:tr>
        <w:trPr>
          <w:trHeight w:val="186"/>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35,453</w:t>
            </w:r>
          </w:p>
        </w:tc>
        <w:tc>
          <w:tcPr>
            <w:tcW w:w="1740" w:type="dxa"/>
            <w:vAlign w:val="bottom"/>
            <w:gridSpan w:val="2"/>
            <w:shd w:val="clear" w:color="auto" w:fill="CCEEFF"/>
          </w:tcPr>
          <w:p>
            <w:pPr>
              <w:jc w:val="center"/>
              <w:ind w:left="50"/>
              <w:spacing w:after="0"/>
              <w:rPr>
                <w:sz w:val="20"/>
                <w:szCs w:val="20"/>
                <w:color w:val="auto"/>
              </w:rPr>
            </w:pPr>
            <w:r>
              <w:rPr>
                <w:rFonts w:ascii="Arial" w:cs="Arial" w:eastAsia="Arial" w:hAnsi="Arial"/>
                <w:sz w:val="14"/>
                <w:szCs w:val="14"/>
                <w:color w:val="auto"/>
                <w:w w:val="93"/>
              </w:rPr>
              <w:t>(53.5)%</w:t>
            </w: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23,217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183"/>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6,767</w:t>
            </w:r>
          </w:p>
        </w:tc>
        <w:tc>
          <w:tcPr>
            <w:tcW w:w="1740" w:type="dxa"/>
            <w:vAlign w:val="bottom"/>
            <w:gridSpan w:val="2"/>
            <w:shd w:val="clear" w:color="auto" w:fill="CCEEFF"/>
          </w:tcPr>
          <w:p>
            <w:pPr>
              <w:jc w:val="center"/>
              <w:ind w:left="50"/>
              <w:spacing w:after="0"/>
              <w:rPr>
                <w:sz w:val="20"/>
                <w:szCs w:val="20"/>
                <w:color w:val="auto"/>
              </w:rPr>
            </w:pPr>
            <w:r>
              <w:rPr>
                <w:rFonts w:ascii="Arial" w:cs="Arial" w:eastAsia="Arial" w:hAnsi="Arial"/>
                <w:sz w:val="14"/>
                <w:szCs w:val="14"/>
                <w:color w:val="auto"/>
                <w:w w:val="93"/>
              </w:rPr>
              <w:t>(31.2)%</w:t>
            </w:r>
          </w:p>
        </w:tc>
      </w:tr>
      <w:tr>
        <w:trPr>
          <w:trHeight w:val="179"/>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Total revenues from Market Making</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1,226,265</w:t>
            </w:r>
          </w:p>
        </w:tc>
        <w:tc>
          <w:tcPr>
            <w:tcW w:w="100" w:type="dxa"/>
            <w:vAlign w:val="bottom"/>
          </w:tcPr>
          <w:p>
            <w:pPr>
              <w:spacing w:after="0"/>
              <w:rPr>
                <w:sz w:val="15"/>
                <w:szCs w:val="15"/>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1,589,703</w:t>
            </w:r>
          </w:p>
        </w:tc>
        <w:tc>
          <w:tcPr>
            <w:tcW w:w="1740" w:type="dxa"/>
            <w:vAlign w:val="bottom"/>
            <w:gridSpan w:val="2"/>
          </w:tcPr>
          <w:p>
            <w:pPr>
              <w:jc w:val="center"/>
              <w:ind w:left="50"/>
              <w:spacing w:after="0"/>
              <w:rPr>
                <w:sz w:val="20"/>
                <w:szCs w:val="20"/>
                <w:color w:val="auto"/>
              </w:rPr>
            </w:pPr>
            <w:r>
              <w:rPr>
                <w:rFonts w:ascii="Arial" w:cs="Arial" w:eastAsia="Arial" w:hAnsi="Arial"/>
                <w:sz w:val="14"/>
                <w:szCs w:val="14"/>
                <w:color w:val="auto"/>
                <w:w w:val="93"/>
              </w:rPr>
              <w:t>(22.9)%</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r>
      <w:tr>
        <w:trPr>
          <w:trHeight w:val="176"/>
        </w:trPr>
        <w:tc>
          <w:tcPr>
            <w:tcW w:w="4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83"/>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4"/>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403</w:t>
            </w:r>
          </w:p>
        </w:tc>
        <w:tc>
          <w:tcPr>
            <w:tcW w:w="1740" w:type="dxa"/>
            <w:vAlign w:val="bottom"/>
            <w:gridSpan w:val="2"/>
          </w:tcPr>
          <w:p>
            <w:pPr>
              <w:jc w:val="center"/>
              <w:ind w:left="50"/>
              <w:spacing w:after="0"/>
              <w:rPr>
                <w:sz w:val="20"/>
                <w:szCs w:val="20"/>
                <w:color w:val="auto"/>
              </w:rPr>
            </w:pPr>
            <w:r>
              <w:rPr>
                <w:rFonts w:ascii="Arial" w:cs="Arial" w:eastAsia="Arial" w:hAnsi="Arial"/>
                <w:sz w:val="14"/>
                <w:szCs w:val="14"/>
                <w:color w:val="auto"/>
                <w:w w:val="93"/>
              </w:rPr>
              <w:t>(82.1)%</w:t>
            </w:r>
          </w:p>
        </w:tc>
      </w:tr>
      <w:tr>
        <w:trPr>
          <w:trHeight w:val="186"/>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311,547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318,345</w:t>
            </w:r>
          </w:p>
        </w:tc>
        <w:tc>
          <w:tcPr>
            <w:tcW w:w="1740" w:type="dxa"/>
            <w:vAlign w:val="bottom"/>
            <w:gridSpan w:val="2"/>
            <w:shd w:val="clear" w:color="auto" w:fill="CCEEFF"/>
          </w:tcPr>
          <w:p>
            <w:pPr>
              <w:jc w:val="center"/>
              <w:ind w:left="50"/>
              <w:spacing w:after="0"/>
              <w:rPr>
                <w:sz w:val="20"/>
                <w:szCs w:val="20"/>
                <w:color w:val="auto"/>
              </w:rPr>
            </w:pPr>
            <w:r>
              <w:rPr>
                <w:rFonts w:ascii="Arial" w:cs="Arial" w:eastAsia="Arial" w:hAnsi="Arial"/>
                <w:sz w:val="14"/>
                <w:szCs w:val="14"/>
                <w:color w:val="auto"/>
                <w:w w:val="92"/>
              </w:rPr>
              <w:t>(2.1)%</w:t>
            </w:r>
          </w:p>
        </w:tc>
      </w:tr>
      <w:tr>
        <w:trPr>
          <w:trHeight w:val="181"/>
        </w:trPr>
        <w:tc>
          <w:tcPr>
            <w:tcW w:w="4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740" w:type="dxa"/>
            <w:vAlign w:val="bottom"/>
            <w:tcBorders>
              <w:bottom w:val="single" w:sz="8" w:color="CCEEFF"/>
            </w:tcBorders>
            <w:gridSpan w:val="2"/>
          </w:tcPr>
          <w:p>
            <w:pPr>
              <w:jc w:val="center"/>
              <w:ind w:left="50"/>
              <w:spacing w:after="0"/>
              <w:rPr>
                <w:sz w:val="20"/>
                <w:szCs w:val="20"/>
                <w:color w:val="auto"/>
              </w:rPr>
            </w:pPr>
            <w:r>
              <w:rPr>
                <w:rFonts w:ascii="Arial" w:cs="Arial" w:eastAsia="Arial" w:hAnsi="Arial"/>
                <w:sz w:val="14"/>
                <w:szCs w:val="14"/>
                <w:color w:val="auto"/>
                <w:w w:val="92"/>
              </w:rPr>
              <w:t>27%</w:t>
            </w:r>
          </w:p>
        </w:tc>
      </w:tr>
      <w:tr>
        <w:trPr>
          <w:trHeight w:val="204"/>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327,369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317,941</w:t>
            </w:r>
          </w:p>
        </w:tc>
        <w:tc>
          <w:tcPr>
            <w:tcW w:w="17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4"/>
                <w:szCs w:val="14"/>
                <w:color w:val="auto"/>
                <w:w w:val="93"/>
              </w:rPr>
              <w:t>3.0%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3"/>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81"/>
        </w:trPr>
        <w:tc>
          <w:tcPr>
            <w:tcW w:w="4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NM</w:t>
            </w:r>
          </w:p>
        </w:tc>
      </w:tr>
      <w:tr>
        <w:trPr>
          <w:trHeight w:val="204"/>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revenues from Corporate</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3"/>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1,197,576</w:t>
            </w:r>
          </w:p>
        </w:tc>
        <w:tc>
          <w:tcPr>
            <w:tcW w:w="10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1,546,461</w:t>
            </w:r>
          </w:p>
        </w:tc>
        <w:tc>
          <w:tcPr>
            <w:tcW w:w="1740" w:type="dxa"/>
            <w:vAlign w:val="bottom"/>
            <w:gridSpan w:val="2"/>
          </w:tcPr>
          <w:p>
            <w:pPr>
              <w:jc w:val="center"/>
              <w:ind w:left="50"/>
              <w:spacing w:after="0"/>
              <w:rPr>
                <w:sz w:val="20"/>
                <w:szCs w:val="20"/>
                <w:color w:val="auto"/>
              </w:rPr>
            </w:pPr>
            <w:r>
              <w:rPr>
                <w:rFonts w:ascii="Arial" w:cs="Arial" w:eastAsia="Arial" w:hAnsi="Arial"/>
                <w:sz w:val="14"/>
                <w:szCs w:val="14"/>
                <w:color w:val="auto"/>
                <w:w w:val="93"/>
              </w:rPr>
              <w:t>(22.6)%</w:t>
            </w:r>
          </w:p>
        </w:tc>
      </w:tr>
      <w:tr>
        <w:trPr>
          <w:trHeight w:val="186"/>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35,856</w:t>
            </w:r>
          </w:p>
        </w:tc>
        <w:tc>
          <w:tcPr>
            <w:tcW w:w="1740" w:type="dxa"/>
            <w:vAlign w:val="bottom"/>
            <w:gridSpan w:val="2"/>
            <w:shd w:val="clear" w:color="auto" w:fill="CCEEFF"/>
          </w:tcPr>
          <w:p>
            <w:pPr>
              <w:jc w:val="center"/>
              <w:ind w:left="50"/>
              <w:spacing w:after="0"/>
              <w:rPr>
                <w:sz w:val="20"/>
                <w:szCs w:val="20"/>
                <w:color w:val="auto"/>
              </w:rPr>
            </w:pPr>
            <w:r>
              <w:rPr>
                <w:rFonts w:ascii="Arial" w:cs="Arial" w:eastAsia="Arial" w:hAnsi="Arial"/>
                <w:sz w:val="14"/>
                <w:szCs w:val="14"/>
                <w:color w:val="auto"/>
                <w:w w:val="93"/>
              </w:rPr>
              <w:t>(53.9)%</w:t>
            </w: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334,764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318,481</w:t>
            </w:r>
          </w:p>
        </w:tc>
        <w:tc>
          <w:tcPr>
            <w:tcW w:w="1740" w:type="dxa"/>
            <w:vAlign w:val="bottom"/>
            <w:gridSpan w:val="2"/>
          </w:tcPr>
          <w:p>
            <w:pPr>
              <w:jc w:val="center"/>
              <w:ind w:left="50"/>
              <w:spacing w:after="0"/>
              <w:rPr>
                <w:sz w:val="20"/>
                <w:szCs w:val="20"/>
                <w:color w:val="auto"/>
              </w:rPr>
            </w:pPr>
            <w:r>
              <w:rPr>
                <w:rFonts w:ascii="Arial" w:cs="Arial" w:eastAsia="Arial" w:hAnsi="Arial"/>
                <w:sz w:val="14"/>
                <w:szCs w:val="14"/>
                <w:color w:val="auto"/>
                <w:w w:val="93"/>
              </w:rPr>
              <w:t>5.1%</w:t>
            </w:r>
          </w:p>
        </w:tc>
      </w:tr>
      <w:tr>
        <w:trPr>
          <w:trHeight w:val="183"/>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5,726</w:t>
            </w:r>
          </w:p>
        </w:tc>
        <w:tc>
          <w:tcPr>
            <w:tcW w:w="1740" w:type="dxa"/>
            <w:vAlign w:val="bottom"/>
            <w:gridSpan w:val="2"/>
            <w:shd w:val="clear" w:color="auto" w:fill="CCEEFF"/>
          </w:tcPr>
          <w:p>
            <w:pPr>
              <w:jc w:val="center"/>
              <w:ind w:left="50"/>
              <w:spacing w:after="0"/>
              <w:rPr>
                <w:sz w:val="20"/>
                <w:szCs w:val="20"/>
                <w:color w:val="auto"/>
              </w:rPr>
            </w:pPr>
            <w:r>
              <w:rPr>
                <w:rFonts w:ascii="Arial" w:cs="Arial" w:eastAsia="Arial" w:hAnsi="Arial"/>
                <w:sz w:val="14"/>
                <w:szCs w:val="14"/>
                <w:color w:val="auto"/>
                <w:w w:val="88"/>
              </w:rPr>
              <w:t>121.0%</w:t>
            </w:r>
          </w:p>
        </w:tc>
      </w:tr>
      <w:tr>
        <w:trPr>
          <w:trHeight w:val="179"/>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1,561,537</w:t>
            </w:r>
          </w:p>
        </w:tc>
        <w:tc>
          <w:tcPr>
            <w:tcW w:w="100" w:type="dxa"/>
            <w:vAlign w:val="bottom"/>
          </w:tcPr>
          <w:p>
            <w:pPr>
              <w:spacing w:after="0"/>
              <w:rPr>
                <w:sz w:val="15"/>
                <w:szCs w:val="15"/>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1,906,524</w:t>
            </w:r>
          </w:p>
        </w:tc>
        <w:tc>
          <w:tcPr>
            <w:tcW w:w="1740" w:type="dxa"/>
            <w:vAlign w:val="bottom"/>
            <w:gridSpan w:val="2"/>
          </w:tcPr>
          <w:p>
            <w:pPr>
              <w:jc w:val="center"/>
              <w:ind w:left="50"/>
              <w:spacing w:after="0"/>
              <w:rPr>
                <w:sz w:val="20"/>
                <w:szCs w:val="20"/>
                <w:color w:val="auto"/>
              </w:rPr>
            </w:pPr>
            <w:r>
              <w:rPr>
                <w:rFonts w:ascii="Arial" w:cs="Arial" w:eastAsia="Arial" w:hAnsi="Arial"/>
                <w:sz w:val="14"/>
                <w:szCs w:val="14"/>
                <w:color w:val="auto"/>
                <w:w w:val="93"/>
              </w:rPr>
              <w:t>(18.1)%</w:t>
            </w: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was primarily earned by our Market Making segment. Trading income, net, decreased $348.9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22.6%, to $1,197.6 million for the six months ended June 30, 2021, compared to $1,546.5 million for the six months ended June 30, 2020. The decrease was primarily driven by lower market volatility during the six months ended June 30, 2021 compared to the same period of 2020, which experienced elevated levels of market volatility and trading volumes largely due to the impacts of the COVID-19 and the governmental and other responses thereto. Average daily realized volatility of the S&amp;P 500 Index decreased 69.7% compared to the prior period, and the average daily realized volatility of the CVIX decreased 70.4% compared to prior period.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are described below.</w:t>
      </w:r>
    </w:p>
    <w:p>
      <w:pPr>
        <w:spacing w:after="0" w:line="212"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was primarily earned by our Market Making segment. Interest and dividends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$19.3 million, or 53.9%, to $16.5 million for the six months ended June 30, 2021, compared to $35.9 million for the six months ended June 30, 2020. This decrease was primarily attributable to lower interest income earned on cash collateral posted as part of securities borrowed transactions driven by lower interest rates compared to the prior period. As indicated above, rather than analyzing interest and dividends income in isolation, we evaluate it in the broader context of our Adjusted Net Trading Income.</w:t>
      </w:r>
    </w:p>
    <w:p>
      <w:pPr>
        <w:spacing w:after="0" w:line="204"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b w:val="1"/>
          <w:bCs w:val="1"/>
          <w:i w:val="1"/>
          <w:iCs w:val="1"/>
          <w:color w:val="auto"/>
        </w:rPr>
        <w:t xml:space="preserve">Commissions, net and technology services. </w:t>
      </w:r>
      <w:r>
        <w:rPr>
          <w:rFonts w:ascii="Arial" w:cs="Arial" w:eastAsia="Arial" w:hAnsi="Arial"/>
          <w:sz w:val="16"/>
          <w:szCs w:val="16"/>
          <w:color w:val="auto"/>
        </w:rPr>
        <w:t>Commissions, net and technology services revenues were primarily earned by our Execution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Commissions, net and technology services revenues increased $16.3 million, or 5.1%, to $334.8 million for the six months ended June 30, 2021, compared to $318.5 million for the six months ended June 30, 2020. The increase was primarily attributable to higher trading volumes in U.S. equities. Average daily U.S. equities consolidated volumes increased 8.1% compared to prior period. As indicated above, rather than analyzing commissions, net and technology services in isolation, we evaluate it in the broader context of our Adjusted Net Trading Income.</w:t>
      </w:r>
    </w:p>
    <w:p>
      <w:pPr>
        <w:spacing w:after="0" w:line="191"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increased $6.9 million to $12.7 million for the six months ended June 30, 2021, compared to $5.7 million for the six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June 30, 2020. The increase was primarily due to a $12.2 million unrealized gain</w:t>
      </w: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recorded on the minority investment in JNX (see Note 9 "Financial Assets and Liabilities" of Part I Item 1 “Financial Statements” of this Quarterly Report on Form 10-Q for details on the JNX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Adjusted Net Trading Income decreased $383.3 million, or 26.4%, to $1,069.9 million for the six months ended June 30, 2021, compared to $1,453.2</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million for the six months ended June 30, 2020. This decrease was primarily attributable to higher Brokerage, exchange, clearance fees and payments for order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flow, net (described below) incurred by Market Making and higher Commissions, net and technology services earned, driven by higher trading volumes despite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lower volatility during the six months ended June 30, 2021 compared to the prior period. Average daily realized volatility of the S&amp;P 500 Index and average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daily CVIX realized volatility decreased 69.7% and 70.4%, respectively, compared to the prior period, while average daily U.S. equity consolidated volumes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increased 8.1%. Adjusted Net Trading Income per day decreased $3.0 million, or 25.8%, to $8.6 million for the six months ended June 30, 2021, compared to</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$11.6 million for the six months ended June 30, 2020. The number of trading days was 124 days for the six months ended June 30, 2021 and 125 days for the six</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months ended June 30, 2020. Adjusted Net Trading Income is a non-GAAP measure. For a full description of Adjusted Net Trading Income and a reconciliation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of Adjusted Net Trading Income to trading income, net, see “Non-GAAP Financial Measures and Other Items” in this “Item 2. Management's Discussion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Analysis of Financial Condition and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50" w:lineRule="exact"/>
        <w:rPr>
          <w:sz w:val="20"/>
          <w:szCs w:val="20"/>
          <w:color w:val="auto"/>
        </w:rPr>
      </w:pPr>
    </w:p>
    <w:p>
      <w:pPr>
        <w:jc w:val="both"/>
        <w:ind w:right="80" w:firstLine="629"/>
        <w:spacing w:after="0" w:line="267" w:lineRule="auto"/>
        <w:rPr>
          <w:sz w:val="20"/>
          <w:szCs w:val="20"/>
          <w:color w:val="auto"/>
        </w:rPr>
      </w:pPr>
      <w:r>
        <w:rPr>
          <w:rFonts w:ascii="Arial" w:cs="Arial" w:eastAsia="Arial" w:hAnsi="Arial"/>
          <w:sz w:val="17"/>
          <w:szCs w:val="17"/>
          <w:color w:val="auto"/>
        </w:rPr>
        <w:t>Our operating expenses decreased $99.0 million, or 9.6%, to $936.7 million for the six months ended June 30, 2021, compared to $1,035.8 million for the six months ended June 30, 2020. The decrease in operating expenses was primarily due to lower employee compensation and payroll taxes and interest and dividends expense, offset by an increase in Brokerage, exchange, clearance fees and payments for order flow, net compared to the same period in the prior year, described in more detail below.</w:t>
      </w:r>
    </w:p>
    <w:p>
      <w:pPr>
        <w:spacing w:after="0" w:line="204" w:lineRule="exact"/>
        <w:rPr>
          <w:sz w:val="20"/>
          <w:szCs w:val="20"/>
          <w:color w:val="auto"/>
        </w:rPr>
      </w:pPr>
    </w:p>
    <w:p>
      <w:pPr>
        <w:ind w:right="180" w:firstLine="629"/>
        <w:spacing w:after="0" w:line="265" w:lineRule="auto"/>
        <w:rPr>
          <w:sz w:val="20"/>
          <w:szCs w:val="20"/>
          <w:color w:val="auto"/>
        </w:rPr>
      </w:pPr>
      <w:r>
        <w:rPr>
          <w:rFonts w:ascii="Arial" w:cs="Arial" w:eastAsia="Arial" w:hAnsi="Arial"/>
          <w:sz w:val="17"/>
          <w:szCs w:val="17"/>
          <w:b w:val="1"/>
          <w:bCs w:val="1"/>
          <w:i w:val="1"/>
          <w:iCs w:val="1"/>
          <w:color w:val="auto"/>
        </w:rPr>
        <w:t xml:space="preserve">Brokerage, exchange, clearance fees and payments for order flow, net. </w:t>
      </w:r>
      <w:r>
        <w:rPr>
          <w:rFonts w:ascii="Arial" w:cs="Arial" w:eastAsia="Arial" w:hAnsi="Arial"/>
          <w:sz w:val="17"/>
          <w:szCs w:val="17"/>
          <w:color w:val="auto"/>
        </w:rPr>
        <w:t>Brokerage, exchange, clearance fees and payments for order flow,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$52.7 million, or 14.0%, to $430.0 million for the six months ended June 30, 2021, compared to $377.3 million for the six months ended June 30, 2020. This increase was primarily attributable to increases in volumes from our broker-dealer clients eligible for payments for order flow, driven by higher participation of retail investors in the market during the quarter compared to the prior year. We evaluate this category, representing direct costs associated with transacting our business, in the broader context of our Adjusted Net Trading Income.</w:t>
      </w:r>
    </w:p>
    <w:p>
      <w:pPr>
        <w:spacing w:after="0" w:line="204" w:lineRule="exact"/>
        <w:rPr>
          <w:sz w:val="20"/>
          <w:szCs w:val="20"/>
          <w:color w:val="auto"/>
        </w:rPr>
      </w:pPr>
    </w:p>
    <w:p>
      <w:pPr>
        <w:jc w:val="both"/>
        <w:ind w:right="400" w:firstLine="629"/>
        <w:spacing w:after="0" w:line="325" w:lineRule="auto"/>
        <w:rPr>
          <w:sz w:val="20"/>
          <w:szCs w:val="20"/>
          <w:color w:val="auto"/>
        </w:rPr>
      </w:pPr>
      <w:r>
        <w:rPr>
          <w:rFonts w:ascii="Arial" w:cs="Arial" w:eastAsia="Arial" w:hAnsi="Arial"/>
          <w:sz w:val="15"/>
          <w:szCs w:val="15"/>
          <w:b w:val="1"/>
          <w:bCs w:val="1"/>
          <w:i w:val="1"/>
          <w:iCs w:val="1"/>
          <w:color w:val="auto"/>
        </w:rPr>
        <w:t xml:space="preserve">Communication and data processing. </w:t>
      </w:r>
      <w:r>
        <w:rPr>
          <w:rFonts w:ascii="Arial" w:cs="Arial" w:eastAsia="Arial" w:hAnsi="Arial"/>
          <w:sz w:val="15"/>
          <w:szCs w:val="15"/>
          <w:color w:val="auto"/>
        </w:rPr>
        <w:t>Communication and data processing expense decreased $6.5 million, or 5.9%, to $104.2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2021, compared to $110.7 million for the six months ended June 30, 2020. This decrease was primarily attributable to reductions in connectivity connections as a result of an on-going effort to consolidate various communication and data processing services and subscriptions.</w:t>
      </w:r>
    </w:p>
    <w:p>
      <w:pPr>
        <w:spacing w:after="0" w:line="164"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decreased $102.7 million, or 35.2%, to $188.6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six months ended June 30, 2021, compared to $291.3 million for the six months ended June 30, 2020. The decrease in compensation levels was primarily attributable to a reduction in accrued incentive compensation in the current period, relative to the prior period, which is recorded at management’s discretion and is generally accrued in connection with the overall level of profitability, as well as a result of one-time cash bonuses awarded in the first quarter of 2020 to certain employees to mitigate the effects of the COVID-19 pandemic.</w:t>
      </w:r>
    </w:p>
    <w:p>
      <w:pPr>
        <w:spacing w:after="0" w:line="204"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We have capitalized and therefore excluded employee compensation and benefits related to software development of $18.0 million and $19.5 million for the six months ended June 30, 2021 and 2020, respectively.</w:t>
      </w:r>
    </w:p>
    <w:p>
      <w:pPr>
        <w:spacing w:after="0" w:line="184" w:lineRule="exact"/>
        <w:rPr>
          <w:sz w:val="20"/>
          <w:szCs w:val="20"/>
          <w:color w:val="auto"/>
        </w:rPr>
      </w:pPr>
    </w:p>
    <w:p>
      <w:pPr>
        <w:ind w:right="120" w:firstLine="629"/>
        <w:spacing w:after="0" w:line="267"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decreased $21.3 million, or 30.3%, to $49.0 million for the six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compared to $70.3 million for the six months ended June 30, 2020. This decrease was primarily attributable to lower interest expense incurred on cash collateral received as part of securities lending transactions. As indicated above, rather than analyzing interest and dividends expense in isolation, we generally evaluate it in the broader context of our Adjusted Net Trading Income.</w:t>
      </w:r>
    </w:p>
    <w:p>
      <w:pPr>
        <w:spacing w:after="0" w:line="204"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decreased $1.5 million, or 3.0%, to $47.4 million for the six months ended June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2021, compared to $48.9 million for the six months ended June 30, 2020. The decrease was primarily attributable to decreases in travel and entertainment due to the on-going effects of the COVID-19 pandemic as well the on-going efforts to consolidate office premises and professional services after the ITG Acquisition.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right="280" w:firstLine="629"/>
        <w:spacing w:after="0" w:line="273"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decreased $0.9 million, or 2.8%, to $33.1 million for the six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compared to $34.1 million for the six months ended June 30, 2020. This decrease was primarily attributable to certain assets being fully depreciated in 2020 partially offset by an increase in capital expenditures on telecommunication, networking, and other assets.</w:t>
      </w:r>
    </w:p>
    <w:p>
      <w:pPr>
        <w:spacing w:after="0" w:line="197" w:lineRule="exact"/>
        <w:rPr>
          <w:sz w:val="20"/>
          <w:szCs w:val="20"/>
          <w:color w:val="auto"/>
        </w:rPr>
      </w:pPr>
    </w:p>
    <w:p>
      <w:pPr>
        <w:jc w:val="both"/>
        <w:ind w:right="240" w:firstLine="629"/>
        <w:spacing w:after="0" w:line="273"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$1.8 million, or 4.6%, to $36.2 million for the six months ended June 30, 2021, compared to $37.9 million for the six months ended June 30, 2020. This decrease was primarily attributable to certain intangible assets being fully amortized in 2020.</w:t>
      </w:r>
    </w:p>
    <w:p>
      <w:pPr>
        <w:spacing w:after="0" w:line="197" w:lineRule="exact"/>
        <w:rPr>
          <w:sz w:val="20"/>
          <w:szCs w:val="20"/>
          <w:color w:val="auto"/>
        </w:rPr>
      </w:pPr>
    </w:p>
    <w:p>
      <w:pPr>
        <w:ind w:right="220" w:firstLine="629"/>
        <w:spacing w:after="0" w:line="267"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was $4.9 million for the six months ended June 30, 2021, compared to $0.3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six months ended June 30, 2020. Expense from termination of office leases was due to the impairment of operating lease right-of-use assets and leasehold improvements and fixed assets for certain abandoned office space as part of the efforts to integrate and consolidate office space in connection with the Acquisition of KCG and the ITG Acquisition.</w:t>
      </w:r>
    </w:p>
    <w:p>
      <w:pPr>
        <w:spacing w:after="0" w:line="204"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prepayment and commitment fees. </w:t>
      </w:r>
      <w:r>
        <w:rPr>
          <w:rFonts w:ascii="Arial" w:cs="Arial" w:eastAsia="Arial" w:hAnsi="Arial"/>
          <w:sz w:val="17"/>
          <w:szCs w:val="17"/>
          <w:color w:val="auto"/>
        </w:rPr>
        <w:t>Expense from debt issue costs related to debt refinancing, prepayment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commitment fees decreased $13.6 million, or 78.4%, to $3.7 million for the six months ended June 30, 2021, compared to $17.4 million for the six months ended June 30, 2020. The amount for the six months ended June 30, 2020 was primarily driven by the amortization of debt issue costs related to the addition of the Founder Member Loan Facility in March 2020, which expired as of September 20, 2020, costs incurred related to Amendment No. 2 to the Credit Agreement (as defined below), and the prepayment of $188.5 million made during the second quarter of 2020. See Note 8 "Borrowings" of Part I Item 1 “Financial Statements” of this Quarterly Report on Form 10-Q for additional details.</w:t>
      </w:r>
    </w:p>
    <w:p>
      <w:pPr>
        <w:spacing w:after="0" w:line="208"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were immaterial for the six months ended June 30, 2021,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$0.3 million for the six months ended June 30, 2020. These expenses were primarily incurred in prior years related to the ITG Acquisition and Acquisition of KCG, for which we incurred significant transaction advisory fees.</w:t>
      </w:r>
    </w:p>
    <w:p>
      <w:pPr>
        <w:spacing w:after="0" w:line="197"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b w:val="1"/>
          <w:bCs w:val="1"/>
          <w:i w:val="1"/>
          <w:iCs w:val="1"/>
          <w:color w:val="auto"/>
        </w:rPr>
        <w:t xml:space="preserve">Financing interest expense on long term borrowings. </w:t>
      </w:r>
      <w:r>
        <w:rPr>
          <w:rFonts w:ascii="Arial" w:cs="Arial" w:eastAsia="Arial" w:hAnsi="Arial"/>
          <w:sz w:val="17"/>
          <w:szCs w:val="17"/>
          <w:color w:val="auto"/>
        </w:rPr>
        <w:t>Financing interest expense on long-term borrowings decreased $7.8 million, or 16.5%, to $39.6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six months ended June 30, 2021, compared to $47.4 million for the six months ended June 30, 2020. This decrease was primarily attributable to a decrease in outstanding principal as a result of prepayments made during the year ended December 31, 2020, in addition to lower interest rates, as discussed in Note 8 "Borrowings" of Part I Item 1 “Financial Statements” of this Quarterly Report on Form 10-Q.</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50" w:lineRule="exact"/>
        <w:rPr>
          <w:sz w:val="20"/>
          <w:szCs w:val="20"/>
          <w:color w:val="auto"/>
        </w:rPr>
      </w:pPr>
    </w:p>
    <w:p>
      <w:pPr>
        <w:ind w:right="60" w:firstLine="629"/>
        <w:spacing w:after="0" w:line="325" w:lineRule="auto"/>
        <w:rPr>
          <w:sz w:val="20"/>
          <w:szCs w:val="20"/>
          <w:color w:val="auto"/>
        </w:rPr>
      </w:pPr>
      <w:r>
        <w:rPr>
          <w:rFonts w:ascii="Arial" w:cs="Arial" w:eastAsia="Arial" w:hAnsi="Arial"/>
          <w:sz w:val="15"/>
          <w:szCs w:val="15"/>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was $106.7 million for the six months ended June 30, 2021, compared to a provision for income taxes of $147.2 million for the six months ended June 30, 2020.</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50" w:lineRule="exact"/>
        <w:rPr>
          <w:sz w:val="20"/>
          <w:szCs w:val="20"/>
          <w:color w:val="auto"/>
        </w:rPr>
      </w:pPr>
    </w:p>
    <w:p>
      <w:pPr>
        <w:ind w:right="80" w:firstLine="629"/>
        <w:spacing w:after="0" w:line="267" w:lineRule="auto"/>
        <w:rPr>
          <w:sz w:val="20"/>
          <w:szCs w:val="20"/>
          <w:color w:val="auto"/>
        </w:rPr>
      </w:pPr>
      <w:r>
        <w:rPr>
          <w:rFonts w:ascii="Arial" w:cs="Arial" w:eastAsia="Arial" w:hAnsi="Arial"/>
          <w:sz w:val="17"/>
          <w:szCs w:val="17"/>
          <w:color w:val="auto"/>
        </w:rPr>
        <w:t>As of June 30, 2021, we had $848.1 million in Cash and cash equivalents. This balance is maintained primarily to support operating activities for capital expenditures and for short-term access to liquidity, and for other general corporate purposes. As of June 30, 2021, we had borrowings under our prime brokerage credit facilities of approximately $201.8 million, borrowings under our broker dealer facilities of $198.0 million, short-term bank overdrafts of $18.5 million, and long-term debt outstanding in an aggregate principal amount of approximately $1,631.3 million.</w:t>
      </w:r>
    </w:p>
    <w:p>
      <w:pPr>
        <w:spacing w:after="0" w:line="204" w:lineRule="exact"/>
        <w:rPr>
          <w:sz w:val="20"/>
          <w:szCs w:val="20"/>
          <w:color w:val="auto"/>
        </w:rPr>
      </w:pPr>
    </w:p>
    <w:p>
      <w:pPr>
        <w:ind w:right="160" w:firstLine="629"/>
        <w:spacing w:after="0" w:line="285" w:lineRule="auto"/>
        <w:rPr>
          <w:sz w:val="20"/>
          <w:szCs w:val="20"/>
          <w:color w:val="auto"/>
        </w:rPr>
      </w:pPr>
      <w:r>
        <w:rPr>
          <w:rFonts w:ascii="Arial" w:cs="Arial" w:eastAsia="Arial" w:hAnsi="Arial"/>
          <w:sz w:val="16"/>
          <w:szCs w:val="16"/>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secured by securities in accounts held at the prime brokers. For purposes of providing additional liquidity, we maintain a committed credit facility and an uncommitted credit facility for our wholly-owned broker-dealer subsidiary, as discussed in Note 8 "Borrowings" of Part I Item 1 “Financial Statements” of this Quarterly Report on Form 10-Q.</w:t>
      </w:r>
    </w:p>
    <w:p>
      <w:pPr>
        <w:spacing w:after="0" w:line="197"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 We do not believe that the impacts of COVID-19 or the governmental and other responses thereto to date have adversely impacted our long-term financial condition or long-term capital requirements.</w:t>
      </w:r>
    </w:p>
    <w:p>
      <w:pPr>
        <w:spacing w:after="0" w:line="208"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Agreements</w:t>
      </w:r>
    </w:p>
    <w:p>
      <w:pPr>
        <w:spacing w:after="0" w:line="237" w:lineRule="exact"/>
        <w:rPr>
          <w:sz w:val="20"/>
          <w:szCs w:val="20"/>
          <w:color w:val="auto"/>
        </w:rPr>
      </w:pPr>
    </w:p>
    <w:p>
      <w:pPr>
        <w:ind w:firstLine="629"/>
        <w:spacing w:after="0" w:line="229" w:lineRule="auto"/>
        <w:rPr>
          <w:sz w:val="20"/>
          <w:szCs w:val="20"/>
          <w:color w:val="auto"/>
        </w:rPr>
      </w:pPr>
      <w:r>
        <w:rPr>
          <w:rFonts w:ascii="Arial" w:cs="Arial" w:eastAsia="Arial" w:hAnsi="Arial"/>
          <w:sz w:val="17"/>
          <w:szCs w:val="17"/>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4 "Tax Receivable Agreements" to the condensed consolidated financial statements included in Part I Item 1 “Financial Statements” of this Quarterly Report on Form 10-Q are expected to range from approximately$0.9 million to $21.7 million per year over the next 15 years. Such payments will occur only after we have filed our U.S. federal and state income tax returns and realized the cash tax savings from the favorable tax attributes. We made our first payment of $7.0 million in February 2017, our second payment of $12.4 million in September 2018, our third payment of $13.3 million in March 2020, and our fourth payment of $16.5 million in April 2021. Future payments under the tax receivable agreements in respect of subsequent exchanges would be in addition to these amounts. We currently expect to fund these payments from realized cash tax savings from the favorable tax attributes.</w:t>
      </w:r>
    </w:p>
    <w:p>
      <w:pPr>
        <w:spacing w:after="0" w:line="214" w:lineRule="exact"/>
        <w:rPr>
          <w:sz w:val="20"/>
          <w:szCs w:val="20"/>
          <w:color w:val="auto"/>
        </w:rPr>
      </w:pPr>
    </w:p>
    <w:p>
      <w:pPr>
        <w:ind w:right="120" w:firstLine="629"/>
        <w:spacing w:after="0" w:line="305" w:lineRule="auto"/>
        <w:rPr>
          <w:sz w:val="20"/>
          <w:szCs w:val="20"/>
          <w:color w:val="auto"/>
        </w:rPr>
      </w:pPr>
      <w:r>
        <w:rPr>
          <w:rFonts w:ascii="Arial" w:cs="Arial" w:eastAsia="Arial" w:hAnsi="Arial"/>
          <w:sz w:val="15"/>
          <w:szCs w:val="15"/>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Amended Credit Agreement restricts the ability of our subsidiaries to make distributions to us) such payments will be deferred and will accrue interest until paid.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Capital Requirements</w:t>
      </w:r>
    </w:p>
    <w:p>
      <w:pPr>
        <w:spacing w:after="0" w:line="250"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Our principal U.S. subsidiary is subject to separate regulation and capital requirements in the U.S. and other jurisdictions. Virtu Americas LLC is a registered U.S. broker-dealer, and its primary regulators include the SEC and FINRA.</w:t>
      </w:r>
    </w:p>
    <w:p>
      <w:pPr>
        <w:spacing w:after="0" w:line="184"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Virtu Americas LLC is also subject to rules set forth by NYSE and is required to maintain a certain level of capital in connection with the operation of its designated market maker business.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firstLine="629"/>
        <w:spacing w:after="0" w:line="280" w:lineRule="auto"/>
        <w:rPr>
          <w:sz w:val="20"/>
          <w:szCs w:val="20"/>
          <w:color w:val="auto"/>
        </w:rPr>
      </w:pPr>
      <w:r>
        <w:rPr>
          <w:rFonts w:ascii="Arial" w:cs="Arial" w:eastAsia="Arial" w:hAnsi="Arial"/>
          <w:sz w:val="16"/>
          <w:szCs w:val="16"/>
          <w:color w:val="auto"/>
        </w:rPr>
        <w:t>Our Canadian subsidiaries, Virtu ITG Canada Corp. and Virtu Financial Canada ULC, are subject to regulatory capital requirements and periodic requirements to report their regulatory capital and submit other regulatory reports set forth by the IIROC. VFIL and VIEL are regulated by the CBI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VIEL are required to obtain consent prior to receiving capital contributions or making capital distributions from their regulatory capital. Failure to comply with their regulatory capital requirements could result in regulatory sanction or revocation of their regulatory license. VIUK is regulated by the FCA in the United Kingdom and is subject to similar prudential capital requirements. Virtu ITG Australia Limited, Virtu ITG Hong Kong Limited, and Virtu ITG Singapore Pte Limited are also subject to local regulatory capital requirements and are regulated by the ASIC, the SFC, and the MAS, respectively.</w:t>
      </w:r>
    </w:p>
    <w:p>
      <w:pPr>
        <w:spacing w:after="0" w:line="195"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See Note 19 "Regulatory Requirement" of Part I Item 1 “Financial Statements” of this Quarterly Report on Form 10-Q for a discussion of regulatory capital requirements of our regulated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Broker Dealer Credit Facilities, Short-Term Bank Loans, and Prime Brokerage Credit Facilities</w:t>
      </w:r>
    </w:p>
    <w:p>
      <w:pPr>
        <w:spacing w:after="0" w:line="250"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We maintain various broker-dealer facilities and short-term credit facilities as part of our daily trading operations. See Note 8 "Borrowings" of Part I Item 1 “Financial Statements” of this Quarterly Report on Form 10-Q for details on our various credit facilities. As of June 30, 2021, the outstanding principal balance on our broker-dealer facilities was $198.0 million and the outstanding aggregate short-term credit facilities with various prime brokers and other financial institutions from which the Company receives execution or clearing services was approximately $201.8 million, which was netted within Receivables from broker-dealers and clearing organizations on the Condensed Consolidated Statements of Financial Condition of Part I Item 1 “Financial Statements” of this Quarterly Report on Form 10-Q.</w:t>
      </w:r>
    </w:p>
    <w:p>
      <w:pPr>
        <w:spacing w:after="0" w:line="208"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On March 10, 2020, a broker-dealer subsidiary of the Company entered into a short-term loan arrangement with Jefferies Financial Group, Inc., as lender, for a $20 million demand loan (the "Demand Loan") repayable no later than ninety (90) days after the date of borrowing. The Demand Loan bore interest at a rate of 10% per annum, increased by 2.0% with respect to any principal amounts not paid when due and payable. The Demand Loan was repaid in full as of April 17, 2020.</w:t>
      </w:r>
    </w:p>
    <w:p>
      <w:pPr>
        <w:spacing w:after="0" w:line="204" w:lineRule="exact"/>
        <w:rPr>
          <w:sz w:val="20"/>
          <w:szCs w:val="20"/>
          <w:color w:val="auto"/>
        </w:rPr>
      </w:pPr>
    </w:p>
    <w:p>
      <w:pPr>
        <w:ind w:right="460" w:firstLine="629"/>
        <w:spacing w:after="0" w:line="262" w:lineRule="auto"/>
        <w:rPr>
          <w:sz w:val="20"/>
          <w:szCs w:val="20"/>
          <w:color w:val="auto"/>
        </w:rPr>
      </w:pPr>
      <w:r>
        <w:rPr>
          <w:rFonts w:ascii="Arial" w:cs="Arial" w:eastAsia="Arial" w:hAnsi="Arial"/>
          <w:sz w:val="17"/>
          <w:szCs w:val="17"/>
          <w:color w:val="auto"/>
        </w:rPr>
        <w:t>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during such period, which is now expired. The Founder Member is an affiliate of Mr. Vincent Viola, the Company’s founder and Chairman Emeritus. Upon the execution of and in consideration for the Lender’s commitments under the Founder Member Loan Facility, the Company delivered to the Founder Member a warrant to purchase shares of the Company’s Class A Common Stock, as described below.</w:t>
      </w:r>
    </w:p>
    <w:p>
      <w:pPr>
        <w:spacing w:after="0" w:line="209" w:lineRule="exact"/>
        <w:rPr>
          <w:sz w:val="20"/>
          <w:szCs w:val="20"/>
          <w:color w:val="auto"/>
        </w:rPr>
      </w:pPr>
    </w:p>
    <w:p>
      <w:pPr>
        <w:ind w:right="100" w:firstLine="629"/>
        <w:spacing w:after="0" w:line="261" w:lineRule="auto"/>
        <w:rPr>
          <w:sz w:val="20"/>
          <w:szCs w:val="20"/>
          <w:color w:val="auto"/>
        </w:rPr>
      </w:pPr>
      <w:r>
        <w:rPr>
          <w:rFonts w:ascii="Arial" w:cs="Arial" w:eastAsia="Arial" w:hAnsi="Arial"/>
          <w:sz w:val="17"/>
          <w:szCs w:val="17"/>
          <w:color w:val="auto"/>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may purchase up to 3,000,000 shares of Class A Common Stock. If at any time during the term of the Founder Member Loan Facility, the Founder Member Loans equal to or greater than $100 million had remained outstanding for a certain period of time specified in the Warrant, the number of shares would have increased to 10,000,000. The exercise price per share of the Class A Common Stock issuable pursuant to the Warrant is $22.98, and the Warrant may be exercised to purchase up to 3,000,000 shares of the Company's Class A Common Stock on or after May 22, 2020 up to and including January 15, 2022. The Warrant and Class A Common Stock issuable pursuant to the Warrant were offered, and will be issued and sold, in reliance on the exemption from the registration requirements of the Securities Act, set forth under Section 4(a)(2) of the Securities Act relating to sales by an issuer not involving any public offering.</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250" w:lineRule="exact"/>
        <w:rPr>
          <w:sz w:val="20"/>
          <w:szCs w:val="20"/>
          <w:color w:val="auto"/>
        </w:rPr>
      </w:pPr>
    </w:p>
    <w:p>
      <w:pPr>
        <w:ind w:right="120" w:firstLine="629"/>
        <w:spacing w:after="0" w:line="322" w:lineRule="auto"/>
        <w:rPr>
          <w:sz w:val="20"/>
          <w:szCs w:val="20"/>
          <w:color w:val="auto"/>
        </w:rPr>
      </w:pPr>
      <w:r>
        <w:rPr>
          <w:rFonts w:ascii="Arial" w:cs="Arial" w:eastAsia="Arial" w:hAnsi="Arial"/>
          <w:sz w:val="16"/>
          <w:szCs w:val="16"/>
          <w:color w:val="auto"/>
        </w:rPr>
        <w:t>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Credit Agreement provided (i) a senior secured first lien term loan (the “First Lien Term Loan Facility”) in an aggregate principal amount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$1,500 million, drawn in its entirety on the ITG Closing Date, of which approximately $404.5 million was borrowed by VFH to repay all amounts outstanding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under a previous term loan facility and the remaining</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right="140"/>
        <w:spacing w:after="0" w:line="267" w:lineRule="auto"/>
        <w:rPr>
          <w:sz w:val="20"/>
          <w:szCs w:val="20"/>
          <w:color w:val="auto"/>
        </w:rPr>
      </w:pPr>
      <w:r>
        <w:rPr>
          <w:rFonts w:ascii="Arial" w:cs="Arial" w:eastAsia="Arial" w:hAnsi="Arial"/>
          <w:sz w:val="17"/>
          <w:szCs w:val="17"/>
          <w:color w:val="auto"/>
        </w:rPr>
        <w:t>approximately $1,095 million was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204"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On October 9, 2019, VFH entered into an amendment (“Amendment No. 1”), which amended the Credit Agreement dated as of March 1, 2019, to, among other things, provide for $525.0 million in aggregate principal amount of incremental term loans (the “Incremental Term Loans”), and amend the related collateral agreement.</w:t>
      </w:r>
    </w:p>
    <w:p>
      <w:pPr>
        <w:spacing w:after="0" w:line="197" w:lineRule="exact"/>
        <w:rPr>
          <w:sz w:val="20"/>
          <w:szCs w:val="20"/>
          <w:color w:val="auto"/>
        </w:rPr>
      </w:pPr>
    </w:p>
    <w:p>
      <w:pPr>
        <w:ind w:right="80" w:firstLine="629"/>
        <w:spacing w:after="0" w:line="261" w:lineRule="auto"/>
        <w:rPr>
          <w:sz w:val="20"/>
          <w:szCs w:val="20"/>
          <w:color w:val="auto"/>
        </w:rPr>
      </w:pPr>
      <w:r>
        <w:rPr>
          <w:rFonts w:ascii="Arial" w:cs="Arial" w:eastAsia="Arial" w:hAnsi="Arial"/>
          <w:sz w:val="17"/>
          <w:szCs w:val="17"/>
          <w:color w:val="auto"/>
        </w:rPr>
        <w:t>On March 2, 2020, VFH entered into a second amendment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 the prime rate in effect, (b) the greater of (1) the federal funds effective rate and (2) the overnight bank funding rate, in each case plus 0.50%, (c) an adjusted LIBOR rate for a Eurodollar borrowing with an interest period of one month plus 1.00% and (d) 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209"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Under the Amended Credit Agreement, the term loans will mature on March 1, 2026. The term loans amortize in annual installments equal to 1.0% of the original aggregate principal amount of the term loans. The revolving commitments will terminate on March 1, 2022.</w:t>
      </w:r>
    </w:p>
    <w:p>
      <w:pPr>
        <w:spacing w:after="0" w:line="184" w:lineRule="exact"/>
        <w:rPr>
          <w:sz w:val="20"/>
          <w:szCs w:val="20"/>
          <w:color w:val="auto"/>
        </w:rPr>
      </w:pPr>
    </w:p>
    <w:p>
      <w:pPr>
        <w:ind w:right="220" w:firstLine="629"/>
        <w:spacing w:after="0" w:line="265" w:lineRule="auto"/>
        <w:rPr>
          <w:sz w:val="20"/>
          <w:szCs w:val="20"/>
          <w:color w:val="auto"/>
        </w:rPr>
      </w:pPr>
      <w:r>
        <w:rPr>
          <w:rFonts w:ascii="Arial" w:cs="Arial" w:eastAsia="Arial" w:hAnsi="Arial"/>
          <w:sz w:val="17"/>
          <w:szCs w:val="17"/>
          <w:color w:val="auto"/>
        </w:rPr>
        <w:t>The First Lien Revolving Facility under the Amended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204"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191" w:lineRule="exact"/>
        <w:rPr>
          <w:sz w:val="20"/>
          <w:szCs w:val="20"/>
          <w:color w:val="auto"/>
        </w:rPr>
      </w:pPr>
    </w:p>
    <w:p>
      <w:pPr>
        <w:ind w:firstLine="629"/>
        <w:spacing w:after="0" w:line="231" w:lineRule="auto"/>
        <w:rPr>
          <w:sz w:val="20"/>
          <w:szCs w:val="20"/>
          <w:color w:val="auto"/>
        </w:rPr>
      </w:pPr>
      <w:r>
        <w:rPr>
          <w:rFonts w:ascii="Arial" w:cs="Arial" w:eastAsia="Arial" w:hAnsi="Arial"/>
          <w:sz w:val="17"/>
          <w:szCs w:val="17"/>
          <w:color w:val="auto"/>
        </w:rPr>
        <w:t>In October 2019, we entered into a five-year $525.0 million floating-to-fixed interest rate swap agreement. In January 2020, we entered into a five-year $1,000.0 million floating-to-fixed interest rate swap agreement. These two interest rate swaps met the criteria to be considered and were designated as qualifying cash flow hedges under ASC 815 in the first quarter of 2020, and they effectively fix interest payment obligations on $525.0 million and $1,000.0 million of principal under the First Lien Term Loan Facility at rates of 4.3% and 4.4% through September 2024 and January 2025, respectively, based on the interest rates set forth in the Amended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were in compliance with all applicable covenants under the Amended Credit Agreement as of June 30, 2021.</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50"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Our main sources of liquidity are cash flow from the operations of our subsidiaries, our broker-dealer credit facilities (as described above), margin financing provided by our prime brokers and cash on hand.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our primary sources and uses of cash for the six months ended June 30, 2021 and 2020.</w:t>
      </w:r>
    </w:p>
    <w:p>
      <w:pPr>
        <w:spacing w:after="0" w:line="27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in):</w:t>
            </w:r>
          </w:p>
        </w:tc>
        <w:tc>
          <w:tcPr>
            <w:tcW w:w="360" w:type="dxa"/>
            <w:vAlign w:val="bottom"/>
          </w:tcPr>
          <w:p>
            <w:pPr>
              <w:spacing w:after="0"/>
              <w:rPr>
                <w:sz w:val="15"/>
                <w:szCs w:val="15"/>
                <w:color w:val="auto"/>
              </w:rPr>
            </w:pPr>
          </w:p>
        </w:tc>
        <w:tc>
          <w:tcPr>
            <w:tcW w:w="1160" w:type="dxa"/>
            <w:vAlign w:val="bottom"/>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177"/>
        </w:trPr>
        <w:tc>
          <w:tcPr>
            <w:tcW w:w="55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Operating activities</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355,441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499,277</w:t>
            </w:r>
          </w:p>
        </w:tc>
      </w:tr>
      <w:tr>
        <w:trPr>
          <w:trHeight w:val="181"/>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Investing activities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(42,738)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(36,693)</w:t>
            </w:r>
          </w:p>
        </w:tc>
      </w:tr>
      <w:tr>
        <w:trPr>
          <w:trHeight w:val="186"/>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Financing activities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(400,843)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(483,897)</w:t>
            </w:r>
          </w:p>
        </w:tc>
      </w:tr>
      <w:tr>
        <w:trPr>
          <w:trHeight w:val="181"/>
        </w:trPr>
        <w:tc>
          <w:tcPr>
            <w:tcW w:w="5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(3,952)</w:t>
            </w:r>
          </w:p>
        </w:tc>
      </w:tr>
      <w:tr>
        <w:trPr>
          <w:trHeight w:val="204"/>
        </w:trPr>
        <w:tc>
          <w:tcPr>
            <w:tcW w:w="5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 increase in cash and cash equivalents</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(91,750)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(25,265)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50" w:lineRule="exact"/>
        <w:rPr>
          <w:sz w:val="20"/>
          <w:szCs w:val="20"/>
          <w:color w:val="auto"/>
        </w:rPr>
      </w:pPr>
    </w:p>
    <w:p>
      <w:pPr>
        <w:ind w:firstLine="629"/>
        <w:spacing w:after="0" w:line="297" w:lineRule="auto"/>
        <w:rPr>
          <w:sz w:val="20"/>
          <w:szCs w:val="20"/>
          <w:color w:val="auto"/>
        </w:rPr>
      </w:pPr>
      <w:r>
        <w:rPr>
          <w:rFonts w:ascii="Arial" w:cs="Arial" w:eastAsia="Arial" w:hAnsi="Arial"/>
          <w:sz w:val="16"/>
          <w:szCs w:val="16"/>
          <w:color w:val="auto"/>
        </w:rPr>
        <w:t>Net cash provided by operating activities was $355.4 million for the six months ended June 30, 2021, compared to net cash provided by operating activities of $499.3 million for the six months ended June 30, 2020. The decrease in net cash provided by operating activities was primarily attributable to lower revenues, and an increase in trading assets, at fair value, for the six months ended June 30, 2021 compared to the current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50" w:lineRule="exact"/>
        <w:rPr>
          <w:sz w:val="20"/>
          <w:szCs w:val="20"/>
          <w:color w:val="auto"/>
        </w:rPr>
      </w:pPr>
    </w:p>
    <w:p>
      <w:pPr>
        <w:jc w:val="both"/>
        <w:ind w:right="260" w:firstLine="629"/>
        <w:spacing w:after="0" w:line="325" w:lineRule="auto"/>
        <w:rPr>
          <w:sz w:val="20"/>
          <w:szCs w:val="20"/>
          <w:color w:val="auto"/>
        </w:rPr>
      </w:pPr>
      <w:r>
        <w:rPr>
          <w:rFonts w:ascii="Arial" w:cs="Arial" w:eastAsia="Arial" w:hAnsi="Arial"/>
          <w:sz w:val="15"/>
          <w:szCs w:val="15"/>
          <w:color w:val="auto"/>
        </w:rPr>
        <w:t>Net cash used in investing activities was $42.7 million for the six months ended June 30, 2021, compared to net cash used in investing activities of $36.7 million for the six months ended June 30, 2020. The increase in cash used in investing activities for the six months ended June 30, 2021 was primarily attributable to an increase in development of capitalized development costs, partially offset by a decrease in acquisition of property and equipment.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Net cash used in financing activities was $400.8 million for the six months ended June 30, 2021, while net cash used in financing activities was $483.9</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six months ended June 30, 2020. The cash used in financing activities for the six months ended June 30, 2021 was primarily attributable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$321.9 million in dividends to stockholders and distributions made to noncontrolling interests and $180.8 million in purchases of treasury stock. The cash used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 financing activities of $483.9 million during the same period of 2020 primarily reflects net dividends to stockholders and distributions to noncontrolling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interests and repayment of long term borrowings.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50" w:lineRule="exact"/>
        <w:rPr>
          <w:sz w:val="20"/>
          <w:szCs w:val="20"/>
          <w:color w:val="auto"/>
        </w:rPr>
      </w:pPr>
    </w:p>
    <w:p>
      <w:pPr>
        <w:ind w:right="40" w:firstLine="629"/>
        <w:spacing w:after="0" w:line="280" w:lineRule="auto"/>
        <w:rPr>
          <w:sz w:val="20"/>
          <w:szCs w:val="20"/>
          <w:color w:val="auto"/>
        </w:rPr>
      </w:pPr>
      <w:r>
        <w:rPr>
          <w:rFonts w:ascii="Arial" w:cs="Arial" w:eastAsia="Arial" w:hAnsi="Arial"/>
          <w:sz w:val="16"/>
          <w:szCs w:val="16"/>
          <w:color w:val="auto"/>
        </w:rPr>
        <w:t>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June 30, 2021, the Company repurchased approximately 7.1 million shares of Class A Common Stock and Virtu Financial Units for approximately $198.6 million. As of June 30, 2021, the Company has approximately of $271.4 million remaining capacity for future purchases of shares of Class A Common Stock and Virtu Financial Units under the program.</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6" w:lineRule="exact"/>
        <w:rPr>
          <w:sz w:val="20"/>
          <w:szCs w:val="20"/>
          <w:color w:val="auto"/>
        </w:rPr>
      </w:pPr>
    </w:p>
    <w:p>
      <w:pPr>
        <w:ind w:right="600" w:firstLine="629"/>
        <w:spacing w:after="0" w:line="273" w:lineRule="auto"/>
        <w:rPr>
          <w:sz w:val="20"/>
          <w:szCs w:val="20"/>
          <w:color w:val="auto"/>
        </w:rPr>
      </w:pPr>
      <w:r>
        <w:rPr>
          <w:rFonts w:ascii="Arial" w:cs="Arial" w:eastAsia="Arial" w:hAnsi="Arial"/>
          <w:sz w:val="17"/>
          <w:szCs w:val="17"/>
          <w:color w:val="auto"/>
        </w:rPr>
        <w:t>As of June 30, 2021, we did not have any off-balance sheet arrangements, as defined in Item 303(a)(4)(ii) of Regulation S-K, that have or are reasonably likely to have current or future effects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56" w:lineRule="exact"/>
        <w:rPr>
          <w:sz w:val="20"/>
          <w:szCs w:val="20"/>
          <w:color w:val="auto"/>
        </w:rPr>
      </w:pPr>
    </w:p>
    <w:p>
      <w:pPr>
        <w:ind w:right="760" w:firstLine="629"/>
        <w:spacing w:after="0" w:line="289" w:lineRule="auto"/>
        <w:rPr>
          <w:sz w:val="20"/>
          <w:szCs w:val="20"/>
          <w:color w:val="auto"/>
        </w:rPr>
      </w:pPr>
      <w:r>
        <w:rPr>
          <w:rFonts w:ascii="Arial" w:cs="Arial" w:eastAsia="Arial" w:hAnsi="Arial"/>
          <w:sz w:val="17"/>
          <w:szCs w:val="17"/>
          <w:color w:val="auto"/>
        </w:rPr>
        <w:t>We believe inflation has not had a material effect on our financial condition as of June 30, 2021, and December 31, 2020, or on our results of operations and cash flows for the three and six months ended June 30, 2021 and 2020.</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6"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w:t>
      </w:r>
    </w:p>
    <w:p>
      <w:pPr>
        <w:spacing w:after="0" w:line="204"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While our significant accounting policies are described in more detail in Note 2 "Summary of Significant Accounting Policies" in our consolidated financial statements included in Part II, Item 8 of our Annual Report on Form 10-K for the year ended December 31, 2020,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Financial Instruments</w:t>
      </w:r>
    </w:p>
    <w:p>
      <w:pPr>
        <w:spacing w:after="0" w:line="250" w:lineRule="exact"/>
        <w:rPr>
          <w:sz w:val="20"/>
          <w:szCs w:val="20"/>
          <w:color w:val="auto"/>
        </w:rPr>
      </w:pPr>
    </w:p>
    <w:p>
      <w:pPr>
        <w:ind w:right="60" w:firstLine="629"/>
        <w:spacing w:after="0" w:line="308" w:lineRule="auto"/>
        <w:rPr>
          <w:sz w:val="20"/>
          <w:szCs w:val="20"/>
          <w:color w:val="auto"/>
        </w:rPr>
      </w:pPr>
      <w:r>
        <w:rPr>
          <w:rFonts w:ascii="Arial" w:cs="Arial" w:eastAsia="Arial" w:hAnsi="Arial"/>
          <w:sz w:val="15"/>
          <w:szCs w:val="15"/>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77"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61"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 or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50"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9 "Financial Assets and Liabilities" of Part I Item 1 “Financial Statements” of this Quarterly Report on Form 10-Q for further information about fair value measurements.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Trading Income, Net</w:t>
      </w:r>
    </w:p>
    <w:p>
      <w:pPr>
        <w:spacing w:after="0" w:line="250"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Dividends Income/Interest and Dividends Expense</w:t>
      </w:r>
    </w:p>
    <w:p>
      <w:pPr>
        <w:spacing w:after="0" w:line="250"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Commissions, net and Technology Services</w:t>
      </w:r>
    </w:p>
    <w:p>
      <w:pPr>
        <w:spacing w:after="0" w:line="250"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spacing w:after="0" w:line="204" w:lineRule="exact"/>
        <w:rPr>
          <w:sz w:val="20"/>
          <w:szCs w:val="20"/>
          <w:color w:val="auto"/>
        </w:rPr>
      </w:pPr>
    </w:p>
    <w:p>
      <w:pPr>
        <w:ind w:right="700" w:firstLine="629"/>
        <w:spacing w:after="0" w:line="289" w:lineRule="auto"/>
        <w:rPr>
          <w:sz w:val="20"/>
          <w:szCs w:val="20"/>
          <w:color w:val="auto"/>
        </w:rPr>
      </w:pPr>
      <w:r>
        <w:rPr>
          <w:rFonts w:ascii="Arial" w:cs="Arial" w:eastAsia="Arial" w:hAnsi="Arial"/>
          <w:sz w:val="17"/>
          <w:szCs w:val="17"/>
          <w:color w:val="auto"/>
        </w:rPr>
        <w:t>Workflow technology revenues consist of order and trade execution management and order routing services we provide through our front-end workflow solutions and network capabilities.</w:t>
      </w:r>
    </w:p>
    <w:p>
      <w:pPr>
        <w:spacing w:after="0" w:line="184" w:lineRule="exact"/>
        <w:rPr>
          <w:sz w:val="20"/>
          <w:szCs w:val="20"/>
          <w:color w:val="auto"/>
        </w:rPr>
      </w:pPr>
    </w:p>
    <w:p>
      <w:pPr>
        <w:ind w:firstLine="629"/>
        <w:spacing w:after="0" w:line="289" w:lineRule="auto"/>
        <w:rPr>
          <w:sz w:val="20"/>
          <w:szCs w:val="20"/>
          <w:color w:val="auto"/>
        </w:rPr>
      </w:pPr>
      <w:r>
        <w:rPr>
          <w:rFonts w:ascii="Arial" w:cs="Arial" w:eastAsia="Arial" w:hAnsi="Arial"/>
          <w:sz w:val="16"/>
          <w:szCs w:val="16"/>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88" w:lineRule="exact"/>
        <w:rPr>
          <w:sz w:val="20"/>
          <w:szCs w:val="20"/>
          <w:color w:val="auto"/>
        </w:rPr>
      </w:pPr>
    </w:p>
    <w:p>
      <w:pPr>
        <w:ind w:right="480" w:firstLine="629"/>
        <w:spacing w:after="0" w:line="359" w:lineRule="auto"/>
        <w:rPr>
          <w:sz w:val="20"/>
          <w:szCs w:val="20"/>
          <w:color w:val="auto"/>
        </w:rPr>
      </w:pPr>
      <w:r>
        <w:rPr>
          <w:rFonts w:ascii="Arial" w:cs="Arial" w:eastAsia="Arial" w:hAnsi="Arial"/>
          <w:sz w:val="15"/>
          <w:szCs w:val="15"/>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39"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204"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208"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71" w:lineRule="exact"/>
        <w:rPr>
          <w:sz w:val="20"/>
          <w:szCs w:val="20"/>
          <w:color w:val="auto"/>
        </w:rPr>
      </w:pPr>
    </w:p>
    <w:p>
      <w:pPr>
        <w:ind w:left="1260" w:right="480" w:hanging="626"/>
        <w:spacing w:after="0" w:line="289" w:lineRule="auto"/>
        <w:tabs>
          <w:tab w:leader="none" w:pos="1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commission value for each customer for the products and services it receives, which is priced using the value for similar stand-alone subscription arrangements; and</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260" w:right="540" w:hanging="626"/>
        <w:spacing w:after="0" w:line="289" w:lineRule="auto"/>
        <w:tabs>
          <w:tab w:leader="none" w:pos="1251"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calculated ratio of the commission value for the products and services relative to the total amount of commissions generated from the customer.</w:t>
      </w:r>
    </w:p>
    <w:p>
      <w:pPr>
        <w:spacing w:after="0" w:line="184"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50"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97"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We record as treasury stock shares repurchased from employees for the purpose of settling tax liabilities incurred upon the issuance of common stock, the vesting of RSUs or the exercise of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50"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84" w:lineRule="exact"/>
        <w:rPr>
          <w:sz w:val="20"/>
          <w:szCs w:val="20"/>
          <w:color w:val="auto"/>
        </w:rPr>
      </w:pPr>
    </w:p>
    <w:p>
      <w:pPr>
        <w:ind w:right="100" w:firstLine="629"/>
        <w:spacing w:after="0" w:line="297" w:lineRule="auto"/>
        <w:rPr>
          <w:sz w:val="20"/>
          <w:szCs w:val="20"/>
          <w:color w:val="auto"/>
        </w:rPr>
      </w:pPr>
      <w:r>
        <w:rPr>
          <w:rFonts w:ascii="Arial" w:cs="Arial" w:eastAsia="Arial" w:hAnsi="Arial"/>
          <w:sz w:val="16"/>
          <w:szCs w:val="16"/>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81" w:lineRule="exact"/>
        <w:rPr>
          <w:sz w:val="20"/>
          <w:szCs w:val="20"/>
          <w:color w:val="auto"/>
        </w:rPr>
      </w:pPr>
    </w:p>
    <w:p>
      <w:pPr>
        <w:ind w:right="100" w:firstLine="629"/>
        <w:spacing w:after="0" w:line="278" w:lineRule="auto"/>
        <w:rPr>
          <w:sz w:val="20"/>
          <w:szCs w:val="20"/>
          <w:color w:val="auto"/>
        </w:rPr>
      </w:pPr>
      <w:r>
        <w:rPr>
          <w:rFonts w:ascii="Arial" w:cs="Arial" w:eastAsia="Arial" w:hAnsi="Arial"/>
          <w:sz w:val="16"/>
          <w:szCs w:val="16"/>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Agreements</w:t>
      </w:r>
    </w:p>
    <w:p>
      <w:pPr>
        <w:spacing w:after="0" w:line="250" w:lineRule="exact"/>
        <w:rPr>
          <w:sz w:val="20"/>
          <w:szCs w:val="20"/>
          <w:color w:val="auto"/>
        </w:rPr>
      </w:pPr>
    </w:p>
    <w:p>
      <w:pPr>
        <w:ind w:right="60" w:firstLine="629"/>
        <w:spacing w:after="0" w:line="278" w:lineRule="auto"/>
        <w:rPr>
          <w:sz w:val="20"/>
          <w:szCs w:val="20"/>
          <w:color w:val="auto"/>
        </w:rPr>
      </w:pPr>
      <w:r>
        <w:rPr>
          <w:rFonts w:ascii="Arial" w:cs="Arial" w:eastAsia="Arial" w:hAnsi="Arial"/>
          <w:sz w:val="16"/>
          <w:szCs w:val="16"/>
          <w:color w:val="auto"/>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50" w:lineRule="exact"/>
        <w:rPr>
          <w:sz w:val="20"/>
          <w:szCs w:val="20"/>
          <w:color w:val="auto"/>
        </w:rPr>
      </w:pPr>
    </w:p>
    <w:p>
      <w:pPr>
        <w:ind w:right="360" w:firstLine="629"/>
        <w:spacing w:after="0" w:line="267" w:lineRule="auto"/>
        <w:rPr>
          <w:sz w:val="20"/>
          <w:szCs w:val="20"/>
          <w:color w:val="auto"/>
        </w:rPr>
      </w:pPr>
      <w:r>
        <w:rPr>
          <w:rFonts w:ascii="Arial" w:cs="Arial" w:eastAsia="Arial" w:hAnsi="Arial"/>
          <w:sz w:val="17"/>
          <w:szCs w:val="17"/>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204" w:lineRule="exact"/>
        <w:rPr>
          <w:sz w:val="20"/>
          <w:szCs w:val="20"/>
          <w:color w:val="auto"/>
        </w:rPr>
      </w:pPr>
    </w:p>
    <w:p>
      <w:pPr>
        <w:jc w:val="both"/>
        <w:ind w:right="60" w:firstLine="629"/>
        <w:spacing w:after="0" w:line="325" w:lineRule="auto"/>
        <w:rPr>
          <w:sz w:val="20"/>
          <w:szCs w:val="20"/>
          <w:color w:val="auto"/>
        </w:rPr>
      </w:pPr>
      <w:r>
        <w:rPr>
          <w:rFonts w:ascii="Arial" w:cs="Arial" w:eastAsia="Arial" w:hAnsi="Arial"/>
          <w:sz w:val="15"/>
          <w:szCs w:val="15"/>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33" w:lineRule="exact"/>
        <w:rPr>
          <w:sz w:val="20"/>
          <w:szCs w:val="20"/>
          <w:color w:val="auto"/>
        </w:rPr>
      </w:pPr>
    </w:p>
    <w:p>
      <w:pPr>
        <w:ind w:left="1260" w:hanging="312"/>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general economic conditions;</w:t>
      </w:r>
    </w:p>
    <w:p>
      <w:pPr>
        <w:spacing w:after="0" w:line="26" w:lineRule="exact"/>
        <w:rPr>
          <w:rFonts w:ascii="Arial" w:cs="Arial" w:eastAsia="Arial" w:hAnsi="Arial"/>
          <w:sz w:val="17"/>
          <w:szCs w:val="17"/>
          <w:color w:val="auto"/>
        </w:rPr>
      </w:pPr>
    </w:p>
    <w:p>
      <w:pPr>
        <w:ind w:left="1260" w:hanging="312"/>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limitations on accessing capital;</w:t>
      </w:r>
    </w:p>
    <w:p>
      <w:pPr>
        <w:spacing w:after="0" w:line="14" w:lineRule="exact"/>
        <w:rPr>
          <w:rFonts w:ascii="Arial" w:cs="Arial" w:eastAsia="Arial" w:hAnsi="Arial"/>
          <w:sz w:val="17"/>
          <w:szCs w:val="17"/>
          <w:color w:val="auto"/>
        </w:rPr>
      </w:pPr>
    </w:p>
    <w:p>
      <w:pPr>
        <w:ind w:left="1260" w:hanging="312"/>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fluctuations in foreign exchange rates or other developments in equity and credit markets;</w:t>
      </w:r>
    </w:p>
    <w:p>
      <w:pPr>
        <w:spacing w:after="0" w:line="14" w:lineRule="exact"/>
        <w:rPr>
          <w:rFonts w:ascii="Arial" w:cs="Arial" w:eastAsia="Arial" w:hAnsi="Arial"/>
          <w:sz w:val="17"/>
          <w:szCs w:val="17"/>
          <w:color w:val="auto"/>
        </w:rPr>
      </w:pPr>
    </w:p>
    <w:p>
      <w:pPr>
        <w:ind w:left="640" w:firstLine="308"/>
        <w:spacing w:after="0" w:line="257" w:lineRule="auto"/>
        <w:tabs>
          <w:tab w:leader="none" w:pos="12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ind w:left="1260" w:hanging="312"/>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cost factors such as increases in raw materials, labor, or other costs that have a negative effect on earnings and cash flows;</w:t>
      </w:r>
    </w:p>
    <w:p>
      <w:pPr>
        <w:spacing w:after="0" w:line="14" w:lineRule="exact"/>
        <w:rPr>
          <w:rFonts w:ascii="Arial" w:cs="Arial" w:eastAsia="Arial" w:hAnsi="Arial"/>
          <w:sz w:val="17"/>
          <w:szCs w:val="17"/>
          <w:color w:val="auto"/>
        </w:rPr>
      </w:pPr>
    </w:p>
    <w:p>
      <w:pPr>
        <w:ind w:left="640" w:right="280" w:firstLine="308"/>
        <w:spacing w:after="0" w:line="257" w:lineRule="auto"/>
        <w:tabs>
          <w:tab w:leader="none" w:pos="12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overall financial performance such as negative or declining cash flows or a decline in actual or planned revenue or earnings compared with actual and projected results of relevant prior periods;</w:t>
      </w:r>
    </w:p>
    <w:p>
      <w:pPr>
        <w:ind w:left="640" w:right="220" w:firstLine="308"/>
        <w:spacing w:after="0" w:line="274" w:lineRule="auto"/>
        <w:tabs>
          <w:tab w:leader="none" w:pos="12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relevant entity-specific events such as changes in management, key personnel, strategy, or customers, contemplation of bankruptcy, or litigation.</w:t>
      </w:r>
    </w:p>
    <w:p>
      <w:pPr>
        <w:spacing w:after="0" w:line="197"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84"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w:t>
      </w:r>
    </w:p>
    <w:p>
      <w:pPr>
        <w:spacing w:after="0" w:line="197" w:lineRule="exact"/>
        <w:rPr>
          <w:sz w:val="20"/>
          <w:szCs w:val="20"/>
          <w:color w:val="auto"/>
        </w:rPr>
      </w:pPr>
    </w:p>
    <w:p>
      <w:pPr>
        <w:ind w:right="260" w:firstLine="629"/>
        <w:spacing w:after="0" w:line="273" w:lineRule="auto"/>
        <w:rPr>
          <w:sz w:val="20"/>
          <w:szCs w:val="20"/>
          <w:color w:val="auto"/>
        </w:rPr>
      </w:pPr>
      <w:r>
        <w:rPr>
          <w:rFonts w:ascii="Arial" w:cs="Arial" w:eastAsia="Arial" w:hAnsi="Arial"/>
          <w:sz w:val="17"/>
          <w:szCs w:val="17"/>
          <w:color w:val="auto"/>
        </w:rPr>
        <w:t>We assess goodwill for impairment on an annual basis as of July 1st and on an interim basis when certain events or circumstances exist. In the impairment assessment as of July 1, 2020, we performed a qualitative assessment as described above for each reporting unit. No impairment of goodwill was identified.</w:t>
      </w:r>
    </w:p>
    <w:p>
      <w:pPr>
        <w:spacing w:after="0" w:line="197" w:lineRule="exact"/>
        <w:rPr>
          <w:sz w:val="20"/>
          <w:szCs w:val="20"/>
          <w:color w:val="auto"/>
        </w:rPr>
      </w:pPr>
    </w:p>
    <w:p>
      <w:pPr>
        <w:ind w:right="20" w:firstLine="629"/>
        <w:spacing w:after="0" w:line="251" w:lineRule="auto"/>
        <w:rPr>
          <w:sz w:val="20"/>
          <w:szCs w:val="20"/>
          <w:color w:val="auto"/>
        </w:rPr>
      </w:pPr>
      <w:r>
        <w:rPr>
          <w:rFonts w:ascii="Arial" w:cs="Arial" w:eastAsia="Arial" w:hAnsi="Arial"/>
          <w:sz w:val="17"/>
          <w:szCs w:val="17"/>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We test finite-lived intangible assets for impairment when impairment indicators are present, and if impaired, they are written down to fair value.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6"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56"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84"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195"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97"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97" w:lineRule="exact"/>
        <w:rPr>
          <w:sz w:val="20"/>
          <w:szCs w:val="20"/>
          <w:color w:val="auto"/>
        </w:rPr>
      </w:pPr>
    </w:p>
    <w:p>
      <w:pPr>
        <w:ind w:right="100" w:firstLine="629"/>
        <w:spacing w:after="0" w:line="262" w:lineRule="auto"/>
        <w:rPr>
          <w:sz w:val="20"/>
          <w:szCs w:val="20"/>
          <w:color w:val="auto"/>
        </w:rPr>
      </w:pPr>
      <w:r>
        <w:rPr>
          <w:rFonts w:ascii="Arial" w:cs="Arial" w:eastAsia="Arial" w:hAnsi="Arial"/>
          <w:sz w:val="17"/>
          <w:szCs w:val="17"/>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209"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In the normal course of business, we maintain inventories of exchange-listed and other equity securities, and to a lesser extent, fixed income securities and listed equity options. The fair value of these financial instruments at June 30, 2021 and December 31, 2020 was $3.6 billion and $3.1 billion, respectively, in long positions and $3.1 billion and $2.9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204" w:lineRule="exact"/>
        <w:rPr>
          <w:sz w:val="20"/>
          <w:szCs w:val="20"/>
          <w:color w:val="auto"/>
        </w:rPr>
      </w:pPr>
    </w:p>
    <w:p>
      <w:pPr>
        <w:jc w:val="both"/>
        <w:ind w:right="60" w:firstLine="629"/>
        <w:spacing w:after="0" w:line="267" w:lineRule="auto"/>
        <w:rPr>
          <w:sz w:val="20"/>
          <w:szCs w:val="20"/>
          <w:color w:val="auto"/>
        </w:rPr>
      </w:pPr>
      <w:r>
        <w:rPr>
          <w:rFonts w:ascii="Arial" w:cs="Arial" w:eastAsia="Arial" w:hAnsi="Arial"/>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204"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 Derivative Instruments</w:t>
      </w:r>
    </w:p>
    <w:p>
      <w:pPr>
        <w:spacing w:after="0" w:line="256"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91" w:lineRule="exact"/>
        <w:rPr>
          <w:sz w:val="20"/>
          <w:szCs w:val="20"/>
          <w:color w:val="auto"/>
        </w:rPr>
      </w:pPr>
    </w:p>
    <w:p>
      <w:pPr>
        <w:ind w:right="40" w:firstLine="629"/>
        <w:spacing w:after="0" w:line="278" w:lineRule="auto"/>
        <w:rPr>
          <w:sz w:val="20"/>
          <w:szCs w:val="20"/>
          <w:color w:val="auto"/>
        </w:rPr>
      </w:pPr>
      <w:r>
        <w:rPr>
          <w:rFonts w:ascii="Arial" w:cs="Arial" w:eastAsia="Arial" w:hAnsi="Arial"/>
          <w:sz w:val="16"/>
          <w:szCs w:val="16"/>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200" w:lineRule="exact"/>
        <w:rPr>
          <w:sz w:val="20"/>
          <w:szCs w:val="20"/>
          <w:color w:val="auto"/>
        </w:rPr>
      </w:pPr>
    </w:p>
    <w:p>
      <w:pPr>
        <w:ind w:right="100" w:firstLine="629"/>
        <w:spacing w:after="0" w:line="285" w:lineRule="auto"/>
        <w:rPr>
          <w:sz w:val="20"/>
          <w:szCs w:val="20"/>
          <w:color w:val="auto"/>
        </w:rPr>
      </w:pPr>
      <w:r>
        <w:rPr>
          <w:rFonts w:ascii="Arial" w:cs="Arial" w:eastAsia="Arial" w:hAnsi="Arial"/>
          <w:sz w:val="16"/>
          <w:szCs w:val="16"/>
          <w:i w:val="1"/>
          <w:iCs w:val="1"/>
          <w:color w:val="auto"/>
        </w:rPr>
        <w:t>Futures Contracts</w:t>
      </w:r>
      <w:r>
        <w:rPr>
          <w:rFonts w:ascii="Arial" w:cs="Arial" w:eastAsia="Arial" w:hAnsi="Arial"/>
          <w:sz w:val="16"/>
          <w:szCs w:val="16"/>
          <w:color w:val="auto"/>
        </w:rPr>
        <w:t>. As part of our proprietary market making trading strategies, we use futures contracts to gain exposure to changes in values of</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1"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i w:val="1"/>
          <w:iCs w:val="1"/>
          <w:color w:val="auto"/>
        </w:rPr>
        <w:t>Due from Broker-Dealers and Clearing Organizations</w:t>
      </w:r>
      <w:r>
        <w:rPr>
          <w:rFonts w:ascii="Arial" w:cs="Arial" w:eastAsia="Arial" w:hAnsi="Arial"/>
          <w:sz w:val="17"/>
          <w:szCs w:val="17"/>
          <w:color w:val="auto"/>
        </w:rPr>
        <w:t>. Management periodically evaluates our counterparty credit exposures to various brokers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clearing organizations with a view to limiting potential losses resulting from counterparty insolvency.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256" w:lineRule="exact"/>
        <w:rPr>
          <w:sz w:val="20"/>
          <w:szCs w:val="20"/>
          <w:color w:val="auto"/>
        </w:rPr>
      </w:pPr>
    </w:p>
    <w:p>
      <w:pPr>
        <w:ind w:right="180" w:firstLine="629"/>
        <w:spacing w:after="0" w:line="265" w:lineRule="auto"/>
        <w:rPr>
          <w:sz w:val="20"/>
          <w:szCs w:val="20"/>
          <w:color w:val="auto"/>
        </w:rPr>
      </w:pPr>
      <w:r>
        <w:rPr>
          <w:rFonts w:ascii="Arial" w:cs="Arial" w:eastAsia="Arial" w:hAnsi="Arial"/>
          <w:sz w:val="17"/>
          <w:szCs w:val="17"/>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Approximately 21.7% and 15.3% of our revenues for the three months ended June 30, 2021 and 2020, respectively, and approximately 20.2%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18.1% of our total revenues for the six months ended June 30, 2021 and 2020, respectively, were denominated in non-U.S. dollar currencies. We estimate that a</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hypothetical 10% adverse change in the value of the U.S. dollar relative to our foreign denominated earnings would have resulted in decreases in total revenues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of $11.9 million and $13.8 million for the three months ended June 30, 2021 and 2020 respectively, and $31.6 million and $34.6 million for the six months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ended June 30, 2021 and 2020, respectively.</w:t>
      </w:r>
    </w:p>
    <w:p>
      <w:pPr>
        <w:spacing w:after="0" w:line="238"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with Off Balance Sheet Risk</w:t>
      </w:r>
    </w:p>
    <w:p>
      <w:pPr>
        <w:spacing w:after="0" w:line="256" w:lineRule="exact"/>
        <w:rPr>
          <w:sz w:val="20"/>
          <w:szCs w:val="20"/>
          <w:color w:val="auto"/>
        </w:rPr>
      </w:pPr>
    </w:p>
    <w:p>
      <w:pPr>
        <w:ind w:right="80" w:firstLine="629"/>
        <w:spacing w:after="0" w:line="267" w:lineRule="auto"/>
        <w:rPr>
          <w:sz w:val="20"/>
          <w:szCs w:val="20"/>
          <w:color w:val="auto"/>
        </w:rPr>
      </w:pPr>
      <w:r>
        <w:rPr>
          <w:rFonts w:ascii="Arial" w:cs="Arial" w:eastAsia="Arial" w:hAnsi="Arial"/>
          <w:sz w:val="17"/>
          <w:szCs w:val="17"/>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204"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6"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June 30, 2021. Based upon that evaluation, our Chief Executive Officer and Chief Financial Officer concluded that, as of June 30, 2021,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209" w:lineRule="exact"/>
        <w:rPr>
          <w:sz w:val="20"/>
          <w:szCs w:val="20"/>
          <w:color w:val="auto"/>
        </w:rPr>
      </w:pPr>
    </w:p>
    <w:p>
      <w:pPr>
        <w:ind w:right="60" w:firstLine="629"/>
        <w:spacing w:after="0" w:line="28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95"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to Internal Control over Financial Reporting</w:t>
      </w:r>
    </w:p>
    <w:p>
      <w:pPr>
        <w:spacing w:after="0" w:line="256"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No change in our internal control over financial reporting (as defined in Rule 13a-15(f) under the Exchange Act) occurred during the three months ended June 30, 2021 that has or is reasonably likely to materially affect, our internal control over financial reporting.</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56" w:lineRule="exact"/>
        <w:rPr>
          <w:sz w:val="20"/>
          <w:szCs w:val="20"/>
          <w:color w:val="auto"/>
        </w:rPr>
      </w:pPr>
    </w:p>
    <w:p>
      <w:pPr>
        <w:ind w:right="120" w:firstLine="629"/>
        <w:spacing w:after="0" w:line="322" w:lineRule="auto"/>
        <w:rPr>
          <w:sz w:val="20"/>
          <w:szCs w:val="20"/>
          <w:color w:val="auto"/>
        </w:rPr>
      </w:pPr>
      <w:r>
        <w:rPr>
          <w:rFonts w:ascii="Arial" w:cs="Arial" w:eastAsia="Arial" w:hAnsi="Arial"/>
          <w:sz w:val="16"/>
          <w:szCs w:val="16"/>
          <w:color w:val="auto"/>
        </w:rPr>
        <w:t>The information required by this item is set forth in the “Legal Proceedings” section in Note 14 "Commitments, Contingencies and Guarantees" to the Company’s condensed consolidated financial statements included in Part I Item 1 “Financial Statements”, which is incorporated by reference herein.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have been no material changes to the Risk Factors described in Part I Item 1A. “Risk Factors” in our 2020 Form 10-K.</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6" w:lineRule="exact"/>
        <w:rPr>
          <w:sz w:val="20"/>
          <w:szCs w:val="20"/>
          <w:color w:val="auto"/>
        </w:rPr>
      </w:pPr>
    </w:p>
    <w:p>
      <w:pPr>
        <w:ind w:right="80" w:firstLine="629"/>
        <w:spacing w:after="0" w:line="267" w:lineRule="auto"/>
        <w:rPr>
          <w:sz w:val="20"/>
          <w:szCs w:val="20"/>
          <w:color w:val="auto"/>
        </w:rPr>
      </w:pPr>
      <w:r>
        <w:rPr>
          <w:rFonts w:ascii="Arial" w:cs="Arial" w:eastAsia="Arial" w:hAnsi="Arial"/>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share repurchases for the three months ended June 30, 2021 were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 Number of Shares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4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Value of Shares that</w:t>
            </w: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Average Price Paid</w:t>
            </w:r>
          </w:p>
        </w:tc>
        <w:tc>
          <w:tcPr>
            <w:tcW w:w="156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9"/>
              </w:rPr>
              <w:t>Purchased as Part of</w:t>
            </w:r>
          </w:p>
        </w:tc>
        <w:tc>
          <w:tcPr>
            <w:tcW w:w="14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May Yet Be Purchased</w:t>
            </w:r>
          </w:p>
        </w:tc>
        <w:tc>
          <w:tcPr>
            <w:tcW w:w="0" w:type="dxa"/>
            <w:vAlign w:val="bottom"/>
          </w:tcPr>
          <w:p>
            <w:pPr>
              <w:spacing w:after="0"/>
              <w:rPr>
                <w:sz w:val="1"/>
                <w:szCs w:val="1"/>
                <w:color w:val="auto"/>
              </w:rPr>
            </w:pPr>
          </w:p>
        </w:tc>
      </w:tr>
      <w:tr>
        <w:trPr>
          <w:trHeight w:val="131"/>
        </w:trPr>
        <w:tc>
          <w:tcPr>
            <w:tcW w:w="5240" w:type="dxa"/>
            <w:vAlign w:val="bottom"/>
            <w:gridSpan w:val="2"/>
            <w:vMerge w:val="restart"/>
          </w:tcPr>
          <w:p>
            <w:pPr>
              <w:spacing w:after="0"/>
              <w:rPr>
                <w:sz w:val="20"/>
                <w:szCs w:val="20"/>
                <w:color w:val="auto"/>
              </w:rPr>
            </w:pPr>
            <w:r>
              <w:rPr>
                <w:rFonts w:ascii="Arial" w:cs="Arial" w:eastAsia="Arial" w:hAnsi="Arial"/>
                <w:sz w:val="14"/>
                <w:szCs w:val="14"/>
                <w:color w:val="auto"/>
              </w:rPr>
              <w:t>Period</w:t>
            </w:r>
          </w:p>
        </w:tc>
        <w:tc>
          <w:tcPr>
            <w:tcW w:w="15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56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9"/>
              </w:rPr>
              <w:t>Publicly Announced</w:t>
            </w:r>
          </w:p>
        </w:tc>
        <w:tc>
          <w:tcPr>
            <w:tcW w:w="14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83"/>
        </w:trPr>
        <w:tc>
          <w:tcPr>
            <w:tcW w:w="5240" w:type="dxa"/>
            <w:vAlign w:val="bottom"/>
            <w:gridSpan w:val="2"/>
            <w:vMerge w:val="continue"/>
          </w:tcPr>
          <w:p>
            <w:pPr>
              <w:spacing w:after="0"/>
              <w:rPr>
                <w:sz w:val="15"/>
                <w:szCs w:val="15"/>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Shares Purchased (1)</w:t>
            </w:r>
          </w:p>
        </w:tc>
        <w:tc>
          <w:tcPr>
            <w:tcW w:w="2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per Share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Plans or Programs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177"/>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April 1, 2021 - April 30, 2021</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gridSpan w:val="2"/>
          </w:tcPr>
          <w:p>
            <w:pPr>
              <w:ind w:left="20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tcPr>
          <w:p>
            <w:pPr>
              <w:jc w:val="right"/>
              <w:spacing w:after="0"/>
              <w:rPr>
                <w:sz w:val="20"/>
                <w:szCs w:val="20"/>
                <w:color w:val="auto"/>
              </w:rPr>
            </w:pPr>
            <w:r>
              <w:rPr>
                <w:rFonts w:ascii="Arial" w:cs="Arial" w:eastAsia="Arial" w:hAnsi="Arial"/>
                <w:sz w:val="14"/>
                <w:szCs w:val="14"/>
                <w:color w:val="auto"/>
              </w:rPr>
              <w:t>1,575,000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31.28</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1,575,000</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6"/>
        </w:trPr>
        <w:tc>
          <w:tcPr>
            <w:tcW w:w="52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Class C Common Stock/ Virtu Financial Units repurchases</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May 1, 2021 - May 31, 2021</w:t>
            </w: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gridSpan w:val="2"/>
          </w:tcPr>
          <w:p>
            <w:pPr>
              <w:ind w:left="20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tcPr>
          <w:p>
            <w:pPr>
              <w:jc w:val="right"/>
              <w:spacing w:after="0"/>
              <w:rPr>
                <w:sz w:val="20"/>
                <w:szCs w:val="20"/>
                <w:color w:val="auto"/>
              </w:rPr>
            </w:pPr>
            <w:r>
              <w:rPr>
                <w:rFonts w:ascii="Arial" w:cs="Arial" w:eastAsia="Arial" w:hAnsi="Arial"/>
                <w:sz w:val="14"/>
                <w:szCs w:val="14"/>
                <w:color w:val="auto"/>
              </w:rPr>
              <w:t>868,162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28.93</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6"/>
              </w:rPr>
              <w:t>865,000</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6"/>
        </w:trPr>
        <w:tc>
          <w:tcPr>
            <w:tcW w:w="52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Class C Common Stock/ Virtu Financial Units repurchases</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1, 2021 - June 30, 2021</w:t>
            </w: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gridSpan w:val="2"/>
          </w:tcPr>
          <w:p>
            <w:pPr>
              <w:ind w:left="20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tcPr>
          <w:p>
            <w:pPr>
              <w:jc w:val="right"/>
              <w:spacing w:after="0"/>
              <w:rPr>
                <w:sz w:val="20"/>
                <w:szCs w:val="20"/>
                <w:color w:val="auto"/>
              </w:rPr>
            </w:pPr>
            <w:r>
              <w:rPr>
                <w:rFonts w:ascii="Arial" w:cs="Arial" w:eastAsia="Arial" w:hAnsi="Arial"/>
                <w:sz w:val="14"/>
                <w:szCs w:val="14"/>
                <w:color w:val="auto"/>
              </w:rPr>
              <w:t>920,330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29.42</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6"/>
              </w:rPr>
              <w:t>918,003</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3"/>
        </w:trPr>
        <w:tc>
          <w:tcPr>
            <w:tcW w:w="52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Class C Common Stock/ Virtu Financial Units repurchases</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40" w:type="dxa"/>
            <w:vAlign w:val="bottom"/>
            <w:gridSpan w:val="2"/>
          </w:tcPr>
          <w:p>
            <w:pPr>
              <w:spacing w:after="0"/>
              <w:rPr>
                <w:sz w:val="20"/>
                <w:szCs w:val="20"/>
                <w:color w:val="auto"/>
              </w:rPr>
            </w:pPr>
            <w:r>
              <w:rPr>
                <w:rFonts w:ascii="Arial" w:cs="Arial" w:eastAsia="Arial" w:hAnsi="Arial"/>
                <w:sz w:val="14"/>
                <w:szCs w:val="14"/>
                <w:color w:val="auto"/>
              </w:rPr>
              <w:t>Total Common Stock / Virtu Financial Unit repurchases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3,363,492</w:t>
            </w: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30.16</w:t>
            </w:r>
          </w:p>
        </w:tc>
        <w:tc>
          <w:tcPr>
            <w:tcW w:w="120" w:type="dxa"/>
            <w:vAlign w:val="bottom"/>
          </w:tcPr>
          <w:p>
            <w:pPr>
              <w:spacing w:after="0"/>
              <w:rPr>
                <w:sz w:val="15"/>
                <w:szCs w:val="15"/>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3,358,003</w:t>
            </w:r>
          </w:p>
        </w:tc>
        <w:tc>
          <w:tcPr>
            <w:tcW w:w="10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$271,417,362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(1) Includes the repurchase of 5,489 shares from employees in order to satisfy statutory tax withholding requirements upon the net settlement of equity awards for the three months ended June 30, 2021.</w:t>
      </w:r>
    </w:p>
    <w:p>
      <w:pPr>
        <w:spacing w:after="0" w:line="261" w:lineRule="exact"/>
        <w:rPr>
          <w:sz w:val="20"/>
          <w:szCs w:val="20"/>
          <w:color w:val="auto"/>
        </w:rPr>
      </w:pPr>
    </w:p>
    <w:p>
      <w:pPr>
        <w:ind w:right="80" w:firstLine="629"/>
        <w:spacing w:after="0" w:line="280" w:lineRule="auto"/>
        <w:rPr>
          <w:sz w:val="20"/>
          <w:szCs w:val="20"/>
          <w:color w:val="auto"/>
        </w:rPr>
      </w:pPr>
      <w:r>
        <w:rPr>
          <w:rFonts w:ascii="Arial" w:cs="Arial" w:eastAsia="Arial" w:hAnsi="Arial"/>
          <w:sz w:val="16"/>
          <w:szCs w:val="16"/>
          <w:color w:val="auto"/>
        </w:rPr>
        <w:t>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June 30, 2021, the Company repurchased approximately 7.1 million shares of Class A Common Stock and Virtu Financial Units for approximately $198.6 million. As of June 30, 2021, the Company has approximately of $271.4 million remaining capacity for future purchases of shares of Class A Common Stock and Virtu Financial Units under the program.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540" w:type="dxa"/>
            <w:vAlign w:val="bottom"/>
            <w:tcBorders>
              <w:bottom w:val="single" w:sz="8" w:color="FEFEFE"/>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880" w:type="dxa"/>
            <w:vAlign w:val="bottom"/>
            <w:tcBorders>
              <w:bottom w:val="single" w:sz="8" w:color="auto"/>
            </w:tcBorders>
            <w:gridSpan w:val="8"/>
          </w:tcPr>
          <w:p>
            <w:pPr>
              <w:ind w:left="2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1440" w:type="dxa"/>
            <w:vAlign w:val="bottom"/>
            <w:shd w:val="clear" w:color="auto" w:fill="FEFEFE"/>
          </w:tcPr>
          <w:p>
            <w:pPr>
              <w:ind w:left="20"/>
              <w:spacing w:after="0" w:line="182" w:lineRule="exact"/>
              <w:rPr>
                <w:sz w:val="20"/>
                <w:szCs w:val="20"/>
                <w:color w:val="auto"/>
              </w:rPr>
            </w:pPr>
            <w:r>
              <w:rPr>
                <w:rFonts w:ascii="Arial" w:cs="Arial" w:eastAsia="Arial" w:hAnsi="Arial"/>
                <w:sz w:val="17"/>
                <w:szCs w:val="17"/>
                <w:color w:val="auto"/>
              </w:rPr>
              <w:t>10.1*</w:t>
            </w:r>
          </w:p>
        </w:tc>
        <w:tc>
          <w:tcPr>
            <w:tcW w:w="540" w:type="dxa"/>
            <w:vAlign w:val="bottom"/>
            <w:tcBorders>
              <w:right w:val="single" w:sz="8" w:color="FEFEFE"/>
            </w:tcBorders>
            <w:shd w:val="clear" w:color="auto" w:fill="FEFEFE"/>
          </w:tcPr>
          <w:p>
            <w:pPr>
              <w:spacing w:after="0"/>
              <w:rPr>
                <w:sz w:val="15"/>
                <w:szCs w:val="15"/>
                <w:color w:val="auto"/>
              </w:rPr>
            </w:pPr>
          </w:p>
        </w:tc>
        <w:tc>
          <w:tcPr>
            <w:tcW w:w="9240" w:type="dxa"/>
            <w:vAlign w:val="bottom"/>
            <w:gridSpan w:val="9"/>
            <w:shd w:val="clear" w:color="auto" w:fill="FEFEFE"/>
          </w:tcPr>
          <w:p>
            <w:pPr>
              <w:spacing w:after="0" w:line="182" w:lineRule="exact"/>
              <w:rPr>
                <w:rFonts w:ascii="Arial" w:cs="Arial" w:eastAsia="Arial" w:hAnsi="Arial"/>
                <w:sz w:val="17"/>
                <w:szCs w:val="17"/>
                <w:color w:val="0000FF"/>
                <w:w w:val="93"/>
              </w:rPr>
            </w:pPr>
            <w:hyperlink w:anchor="page82">
              <w:r>
                <w:rPr>
                  <w:rFonts w:ascii="Arial" w:cs="Arial" w:eastAsia="Arial" w:hAnsi="Arial"/>
                  <w:sz w:val="17"/>
                  <w:szCs w:val="17"/>
                  <w:color w:val="0000FF"/>
                  <w:w w:val="93"/>
                </w:rPr>
                <w:t>Virtu Financial, Inc. Amended and Restated 2015 Management Incentive Plan Employee Restricted Stock Award Agreement, dated</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5840" w:type="dxa"/>
            <w:vAlign w:val="bottom"/>
            <w:tcBorders>
              <w:top w:val="single" w:sz="8" w:color="0000FF"/>
              <w:bottom w:val="single" w:sz="8" w:color="0000FF"/>
            </w:tcBorders>
            <w:gridSpan w:val="3"/>
            <w:shd w:val="clear" w:color="auto" w:fill="FEFEFE"/>
          </w:tcPr>
          <w:p>
            <w:pPr>
              <w:spacing w:after="0" w:line="150" w:lineRule="exact"/>
              <w:rPr>
                <w:rFonts w:ascii="Arial" w:cs="Arial" w:eastAsia="Arial" w:hAnsi="Arial"/>
                <w:sz w:val="17"/>
                <w:szCs w:val="17"/>
                <w:color w:val="0000FF"/>
                <w:w w:val="93"/>
              </w:rPr>
            </w:pPr>
            <w:hyperlink w:anchor="page82">
              <w:r>
                <w:rPr>
                  <w:rFonts w:ascii="Arial" w:cs="Arial" w:eastAsia="Arial" w:hAnsi="Arial"/>
                  <w:sz w:val="17"/>
                  <w:szCs w:val="17"/>
                  <w:color w:val="0000FF"/>
                  <w:w w:val="93"/>
                </w:rPr>
                <w:t>as of February 26, 2021, by and between Virtu Financial, Inc. and Douglas A. Cifu.</w:t>
              </w:r>
            </w:hyperlink>
          </w:p>
        </w:tc>
        <w:tc>
          <w:tcPr>
            <w:tcW w:w="3360" w:type="dxa"/>
            <w:vAlign w:val="bottom"/>
            <w:tcBorders>
              <w:top w:val="single" w:sz="8" w:color="0000FF"/>
              <w:bottom w:val="single" w:sz="8" w:color="FEFEFE"/>
            </w:tcBorders>
            <w:gridSpan w:val="5"/>
            <w:shd w:val="clear" w:color="auto" w:fill="FEFEFE"/>
          </w:tcPr>
          <w:p>
            <w:pPr>
              <w:spacing w:after="0"/>
              <w:rPr>
                <w:sz w:val="13"/>
                <w:szCs w:val="13"/>
                <w:color w:val="auto"/>
              </w:rPr>
            </w:pPr>
          </w:p>
        </w:tc>
        <w:tc>
          <w:tcPr>
            <w:tcW w:w="40" w:type="dxa"/>
            <w:vAlign w:val="bottom"/>
            <w:tcBorders>
              <w:top w:val="single" w:sz="8" w:color="FEFEFE"/>
              <w:bottom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31.1*</w:t>
            </w:r>
          </w:p>
        </w:tc>
        <w:tc>
          <w:tcPr>
            <w:tcW w:w="540" w:type="dxa"/>
            <w:vAlign w:val="bottom"/>
            <w:tcBorders>
              <w:right w:val="single" w:sz="8" w:color="FEFEFE"/>
            </w:tcBorders>
            <w:shd w:val="clear" w:color="auto" w:fill="FEFEFE"/>
          </w:tcPr>
          <w:p>
            <w:pPr>
              <w:spacing w:after="0"/>
              <w:rPr>
                <w:sz w:val="17"/>
                <w:szCs w:val="17"/>
                <w:color w:val="auto"/>
              </w:rPr>
            </w:pPr>
          </w:p>
        </w:tc>
        <w:tc>
          <w:tcPr>
            <w:tcW w:w="9240" w:type="dxa"/>
            <w:vAlign w:val="bottom"/>
            <w:gridSpan w:val="9"/>
            <w:shd w:val="clear" w:color="auto" w:fill="FEFEFE"/>
          </w:tcPr>
          <w:p>
            <w:pPr>
              <w:spacing w:after="0"/>
              <w:rPr>
                <w:rFonts w:ascii="Arial" w:cs="Arial" w:eastAsia="Arial" w:hAnsi="Arial"/>
                <w:sz w:val="17"/>
                <w:szCs w:val="17"/>
                <w:color w:val="0000FF"/>
                <w:w w:val="99"/>
              </w:rPr>
            </w:pPr>
            <w:hyperlink w:anchor="page89">
              <w:r>
                <w:rPr>
                  <w:rFonts w:ascii="Arial" w:cs="Arial" w:eastAsia="Arial" w:hAnsi="Arial"/>
                  <w:sz w:val="17"/>
                  <w:szCs w:val="17"/>
                  <w:color w:val="0000FF"/>
                  <w:w w:val="99"/>
                </w:rPr>
                <w:t>Certification of Chief Executive Officer required by Rule 13a-14(a)/15d-14(a) under the Securities Exchange Act of 1934, as</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40" w:type="dxa"/>
            <w:vAlign w:val="bottom"/>
            <w:tcBorders>
              <w:top w:val="single" w:sz="8" w:color="0000FF"/>
            </w:tcBorders>
            <w:gridSpan w:val="5"/>
            <w:shd w:val="clear" w:color="auto" w:fill="FEFEFE"/>
          </w:tcPr>
          <w:p>
            <w:pPr>
              <w:spacing w:after="0" w:line="150" w:lineRule="exact"/>
              <w:rPr>
                <w:rFonts w:ascii="Arial" w:cs="Arial" w:eastAsia="Arial" w:hAnsi="Arial"/>
                <w:sz w:val="17"/>
                <w:szCs w:val="17"/>
                <w:color w:val="0000FF"/>
              </w:rPr>
            </w:pPr>
            <w:hyperlink w:anchor="page89">
              <w:r>
                <w:rPr>
                  <w:rFonts w:ascii="Arial" w:cs="Arial" w:eastAsia="Arial" w:hAnsi="Arial"/>
                  <w:sz w:val="17"/>
                  <w:szCs w:val="17"/>
                  <w:color w:val="0000FF"/>
                </w:rPr>
                <w:t>amended, as adopted pursuant to Section 302 of the Sarbanes-Oxley Act of 2002.</w:t>
              </w:r>
            </w:hyperlink>
          </w:p>
        </w:tc>
        <w:tc>
          <w:tcPr>
            <w:tcW w:w="22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160" w:type="dxa"/>
            <w:vAlign w:val="bottom"/>
            <w:shd w:val="clear" w:color="auto" w:fill="FEFEFE"/>
          </w:tcPr>
          <w:p>
            <w:pPr>
              <w:spacing w:after="0" w:line="20" w:lineRule="exact"/>
              <w:rPr>
                <w:sz w:val="1"/>
                <w:szCs w:val="1"/>
                <w:color w:val="auto"/>
              </w:rPr>
            </w:pPr>
          </w:p>
        </w:tc>
        <w:tc>
          <w:tcPr>
            <w:tcW w:w="286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31.2*</w:t>
            </w:r>
          </w:p>
        </w:tc>
        <w:tc>
          <w:tcPr>
            <w:tcW w:w="540" w:type="dxa"/>
            <w:vAlign w:val="bottom"/>
            <w:tcBorders>
              <w:right w:val="single" w:sz="8" w:color="FEFEFE"/>
            </w:tcBorders>
            <w:shd w:val="clear" w:color="auto" w:fill="FEFEFE"/>
          </w:tcPr>
          <w:p>
            <w:pPr>
              <w:spacing w:after="0"/>
              <w:rPr>
                <w:sz w:val="17"/>
                <w:szCs w:val="17"/>
                <w:color w:val="auto"/>
              </w:rPr>
            </w:pPr>
          </w:p>
        </w:tc>
        <w:tc>
          <w:tcPr>
            <w:tcW w:w="9240" w:type="dxa"/>
            <w:vAlign w:val="bottom"/>
            <w:gridSpan w:val="9"/>
            <w:shd w:val="clear" w:color="auto" w:fill="FEFEFE"/>
          </w:tcPr>
          <w:p>
            <w:pPr>
              <w:spacing w:after="0"/>
              <w:rPr>
                <w:rFonts w:ascii="Arial" w:cs="Arial" w:eastAsia="Arial" w:hAnsi="Arial"/>
                <w:sz w:val="17"/>
                <w:szCs w:val="17"/>
                <w:color w:val="0000FF"/>
              </w:rPr>
            </w:pPr>
            <w:hyperlink w:anchor="page90">
              <w:r>
                <w:rPr>
                  <w:rFonts w:ascii="Arial" w:cs="Arial" w:eastAsia="Arial" w:hAnsi="Arial"/>
                  <w:sz w:val="17"/>
                  <w:szCs w:val="17"/>
                  <w:color w:val="0000FF"/>
                </w:rPr>
                <w:t>Certification of Chief Financial Officer required by Rule 13a-14(a)/15d-14(a) under the Securities Exchange Act of 1934, as</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00" w:type="dxa"/>
            <w:vAlign w:val="bottom"/>
            <w:tcBorders>
              <w:top w:val="single" w:sz="8" w:color="0000FF"/>
            </w:tcBorders>
            <w:gridSpan w:val="4"/>
            <w:shd w:val="clear" w:color="auto" w:fill="FEFEFE"/>
          </w:tcPr>
          <w:p>
            <w:pPr>
              <w:spacing w:after="0" w:line="150" w:lineRule="exact"/>
              <w:rPr>
                <w:rFonts w:ascii="Arial" w:cs="Arial" w:eastAsia="Arial" w:hAnsi="Arial"/>
                <w:sz w:val="17"/>
                <w:szCs w:val="17"/>
                <w:color w:val="0000FF"/>
              </w:rPr>
            </w:pPr>
            <w:hyperlink w:anchor="page90">
              <w:r>
                <w:rPr>
                  <w:rFonts w:ascii="Arial" w:cs="Arial" w:eastAsia="Arial" w:hAnsi="Arial"/>
                  <w:sz w:val="17"/>
                  <w:szCs w:val="17"/>
                  <w:color w:val="0000FF"/>
                </w:rPr>
                <w:t>amended, as adopted pursuant to Section 302 of the Sarbanes-Oxley Act of 2002.</w:t>
              </w:r>
            </w:hyperlink>
          </w:p>
        </w:tc>
        <w:tc>
          <w:tcPr>
            <w:tcW w:w="260" w:type="dxa"/>
            <w:vAlign w:val="bottom"/>
            <w:tcBorders>
              <w:top w:val="single" w:sz="8" w:color="FEFEFE"/>
            </w:tcBorders>
            <w:gridSpan w:val="2"/>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3280" w:type="dxa"/>
            <w:vAlign w:val="bottom"/>
            <w:gridSpan w:val="4"/>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32.1*</w:t>
            </w:r>
          </w:p>
        </w:tc>
        <w:tc>
          <w:tcPr>
            <w:tcW w:w="540" w:type="dxa"/>
            <w:vAlign w:val="bottom"/>
            <w:tcBorders>
              <w:right w:val="single" w:sz="8" w:color="FEFEFE"/>
            </w:tcBorders>
            <w:shd w:val="clear" w:color="auto" w:fill="FEFEFE"/>
          </w:tcPr>
          <w:p>
            <w:pPr>
              <w:spacing w:after="0"/>
              <w:rPr>
                <w:sz w:val="17"/>
                <w:szCs w:val="17"/>
                <w:color w:val="auto"/>
              </w:rPr>
            </w:pPr>
          </w:p>
        </w:tc>
        <w:tc>
          <w:tcPr>
            <w:tcW w:w="9240" w:type="dxa"/>
            <w:vAlign w:val="bottom"/>
            <w:gridSpan w:val="9"/>
            <w:shd w:val="clear" w:color="auto" w:fill="FEFEFE"/>
          </w:tcPr>
          <w:p>
            <w:pPr>
              <w:spacing w:after="0"/>
              <w:rPr>
                <w:rFonts w:ascii="Arial" w:cs="Arial" w:eastAsia="Arial" w:hAnsi="Arial"/>
                <w:sz w:val="17"/>
                <w:szCs w:val="17"/>
                <w:color w:val="0000FF"/>
                <w:w w:val="95"/>
              </w:rPr>
            </w:pPr>
            <w:hyperlink w:anchor="page91">
              <w:r>
                <w:rPr>
                  <w:rFonts w:ascii="Arial" w:cs="Arial" w:eastAsia="Arial" w:hAnsi="Arial"/>
                  <w:sz w:val="17"/>
                  <w:szCs w:val="17"/>
                  <w:color w:val="0000FF"/>
                  <w:w w:val="95"/>
                </w:rPr>
                <w:t>Certification of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rFonts w:ascii="Arial" w:cs="Arial" w:eastAsia="Arial" w:hAnsi="Arial"/>
                <w:sz w:val="17"/>
                <w:szCs w:val="17"/>
                <w:color w:val="0000FF"/>
                <w:w w:val="96"/>
              </w:rPr>
            </w:pPr>
            <w:hyperlink w:anchor="page91">
              <w:r>
                <w:rPr>
                  <w:rFonts w:ascii="Arial" w:cs="Arial" w:eastAsia="Arial" w:hAnsi="Arial"/>
                  <w:sz w:val="17"/>
                  <w:szCs w:val="17"/>
                  <w:color w:val="0000FF"/>
                  <w:w w:val="96"/>
                </w:rPr>
                <w:t>Oxley Act of 2002.</w:t>
              </w:r>
            </w:hyperlink>
          </w:p>
        </w:tc>
        <w:tc>
          <w:tcPr>
            <w:tcW w:w="7660" w:type="dxa"/>
            <w:vAlign w:val="bottom"/>
            <w:tcBorders>
              <w:top w:val="single" w:sz="8" w:color="0000FF"/>
              <w:bottom w:val="single" w:sz="8" w:color="FEFEFE"/>
            </w:tcBorders>
            <w:gridSpan w:val="6"/>
            <w:shd w:val="clear" w:color="auto" w:fill="FEFEFE"/>
          </w:tcPr>
          <w:p>
            <w:pPr>
              <w:spacing w:after="0"/>
              <w:rPr>
                <w:sz w:val="13"/>
                <w:szCs w:val="13"/>
                <w:color w:val="auto"/>
              </w:rPr>
            </w:pPr>
          </w:p>
        </w:tc>
        <w:tc>
          <w:tcPr>
            <w:tcW w:w="22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32.2*</w:t>
            </w:r>
          </w:p>
        </w:tc>
        <w:tc>
          <w:tcPr>
            <w:tcW w:w="540" w:type="dxa"/>
            <w:vAlign w:val="bottom"/>
            <w:tcBorders>
              <w:right w:val="single" w:sz="8" w:color="FEFEFE"/>
            </w:tcBorders>
            <w:shd w:val="clear" w:color="auto" w:fill="FEFEFE"/>
          </w:tcPr>
          <w:p>
            <w:pPr>
              <w:spacing w:after="0"/>
              <w:rPr>
                <w:sz w:val="17"/>
                <w:szCs w:val="17"/>
                <w:color w:val="auto"/>
              </w:rPr>
            </w:pPr>
          </w:p>
        </w:tc>
        <w:tc>
          <w:tcPr>
            <w:tcW w:w="9240" w:type="dxa"/>
            <w:vAlign w:val="bottom"/>
            <w:gridSpan w:val="9"/>
            <w:shd w:val="clear" w:color="auto" w:fill="FEFEFE"/>
          </w:tcPr>
          <w:p>
            <w:pPr>
              <w:spacing w:after="0"/>
              <w:rPr>
                <w:rFonts w:ascii="Arial" w:cs="Arial" w:eastAsia="Arial" w:hAnsi="Arial"/>
                <w:sz w:val="17"/>
                <w:szCs w:val="17"/>
                <w:color w:val="0000FF"/>
                <w:w w:val="95"/>
              </w:rPr>
            </w:pPr>
            <w:hyperlink w:anchor="page92">
              <w:r>
                <w:rPr>
                  <w:rFonts w:ascii="Arial" w:cs="Arial" w:eastAsia="Arial" w:hAnsi="Arial"/>
                  <w:sz w:val="17"/>
                  <w:szCs w:val="17"/>
                  <w:color w:val="0000FF"/>
                  <w:w w:val="95"/>
                </w:rPr>
                <w:t>Certification of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rFonts w:ascii="Arial" w:cs="Arial" w:eastAsia="Arial" w:hAnsi="Arial"/>
                <w:sz w:val="17"/>
                <w:szCs w:val="17"/>
                <w:color w:val="0000FF"/>
                <w:w w:val="96"/>
              </w:rPr>
            </w:pPr>
            <w:hyperlink w:anchor="page92">
              <w:r>
                <w:rPr>
                  <w:rFonts w:ascii="Arial" w:cs="Arial" w:eastAsia="Arial" w:hAnsi="Arial"/>
                  <w:sz w:val="17"/>
                  <w:szCs w:val="17"/>
                  <w:color w:val="0000FF"/>
                  <w:w w:val="96"/>
                </w:rPr>
                <w:t>Oxley Act of 2002.</w:t>
              </w:r>
            </w:hyperlink>
          </w:p>
        </w:tc>
        <w:tc>
          <w:tcPr>
            <w:tcW w:w="7600" w:type="dxa"/>
            <w:vAlign w:val="bottom"/>
            <w:tcBorders>
              <w:top w:val="single" w:sz="8" w:color="0000FF"/>
              <w:bottom w:val="single" w:sz="8" w:color="FEFEFE"/>
            </w:tcBorders>
            <w:gridSpan w:val="5"/>
            <w:shd w:val="clear" w:color="auto" w:fill="FEFEFE"/>
          </w:tcPr>
          <w:p>
            <w:pPr>
              <w:spacing w:after="0"/>
              <w:rPr>
                <w:sz w:val="13"/>
                <w:szCs w:val="13"/>
                <w:color w:val="auto"/>
              </w:rPr>
            </w:pPr>
          </w:p>
        </w:tc>
        <w:tc>
          <w:tcPr>
            <w:tcW w:w="280" w:type="dxa"/>
            <w:vAlign w:val="bottom"/>
            <w:tcBorders>
              <w:top w:val="single" w:sz="8" w:color="FEFEFE"/>
              <w:bottom w:val="single" w:sz="8" w:color="FEFEFE"/>
            </w:tcBorders>
            <w:gridSpan w:val="3"/>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101.INS*</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shd w:val="clear" w:color="auto" w:fill="FEFEFE"/>
          </w:tcPr>
          <w:p>
            <w:pPr>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101.SCH*</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9"/>
            <w:shd w:val="clear" w:color="auto" w:fill="FEFEFE"/>
          </w:tcPr>
          <w:p>
            <w:pPr>
              <w:spacing w:after="0"/>
              <w:rPr>
                <w:sz w:val="20"/>
                <w:szCs w:val="20"/>
                <w:color w:val="auto"/>
              </w:rPr>
            </w:pPr>
            <w:r>
              <w:rPr>
                <w:rFonts w:ascii="Arial" w:cs="Arial" w:eastAsia="Arial" w:hAnsi="Arial"/>
                <w:sz w:val="17"/>
                <w:szCs w:val="17"/>
                <w:color w:val="auto"/>
              </w:rPr>
              <w:t>XBRL Taxonomy Extension Schema</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101.CAL*</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9"/>
            <w:shd w:val="clear" w:color="auto" w:fill="FEFEFE"/>
          </w:tcPr>
          <w:p>
            <w:pPr>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101.LAB*</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9"/>
            <w:shd w:val="clear" w:color="auto" w:fill="FEFEFE"/>
          </w:tcPr>
          <w:p>
            <w:pPr>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101.PRE*</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9"/>
            <w:shd w:val="clear" w:color="auto" w:fill="FEFEFE"/>
          </w:tcPr>
          <w:p>
            <w:pPr>
              <w:spacing w:after="0"/>
              <w:rPr>
                <w:sz w:val="20"/>
                <w:szCs w:val="20"/>
                <w:color w:val="auto"/>
              </w:rPr>
            </w:pPr>
            <w:r>
              <w:rPr>
                <w:rFonts w:ascii="Arial" w:cs="Arial" w:eastAsia="Arial" w:hAnsi="Arial"/>
                <w:sz w:val="17"/>
                <w:szCs w:val="17"/>
                <w:color w:val="auto"/>
              </w:rPr>
              <w:t>XBRL Taxonomy Extension Presentation Linkbase</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101.DEF*</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9"/>
            <w:shd w:val="clear" w:color="auto" w:fill="FEFEFE"/>
          </w:tcPr>
          <w:p>
            <w:pPr>
              <w:spacing w:after="0"/>
              <w:rPr>
                <w:sz w:val="20"/>
                <w:szCs w:val="20"/>
                <w:color w:val="auto"/>
              </w:rPr>
            </w:pPr>
            <w:r>
              <w:rPr>
                <w:rFonts w:ascii="Arial" w:cs="Arial" w:eastAsia="Arial" w:hAnsi="Arial"/>
                <w:sz w:val="17"/>
                <w:szCs w:val="17"/>
                <w:color w:val="auto"/>
              </w:rPr>
              <w:t>XBRL Taxonomy Extension Definition Document</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104</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9"/>
            <w:vMerge w:val="restart"/>
            <w:shd w:val="clear" w:color="auto" w:fill="FEFEFE"/>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7"/>
                <w:szCs w:val="7"/>
                <w:color w:val="auto"/>
              </w:rPr>
            </w:pPr>
          </w:p>
        </w:tc>
        <w:tc>
          <w:tcPr>
            <w:tcW w:w="540" w:type="dxa"/>
            <w:vAlign w:val="bottom"/>
            <w:tcBorders>
              <w:right w:val="single" w:sz="8" w:color="FEFEFE"/>
            </w:tcBorders>
            <w:shd w:val="clear" w:color="auto" w:fill="FEFEFE"/>
          </w:tcPr>
          <w:p>
            <w:pPr>
              <w:spacing w:after="0"/>
              <w:rPr>
                <w:sz w:val="7"/>
                <w:szCs w:val="7"/>
                <w:color w:val="auto"/>
              </w:rPr>
            </w:pPr>
          </w:p>
        </w:tc>
        <w:tc>
          <w:tcPr>
            <w:tcW w:w="9240" w:type="dxa"/>
            <w:vAlign w:val="bottom"/>
            <w:gridSpan w:val="9"/>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440" w:type="dxa"/>
            <w:vAlign w:val="bottom"/>
            <w:shd w:val="clear" w:color="auto" w:fill="FEFEFE"/>
          </w:tcPr>
          <w:p>
            <w:pPr>
              <w:spacing w:after="0"/>
              <w:rPr>
                <w:sz w:val="6"/>
                <w:szCs w:val="6"/>
                <w:color w:val="auto"/>
              </w:rPr>
            </w:pPr>
          </w:p>
        </w:tc>
        <w:tc>
          <w:tcPr>
            <w:tcW w:w="540" w:type="dxa"/>
            <w:vAlign w:val="bottom"/>
            <w:tcBorders>
              <w:right w:val="single" w:sz="8" w:color="FEFEFE"/>
            </w:tcBorders>
            <w:shd w:val="clear" w:color="auto" w:fill="FEFEFE"/>
          </w:tcPr>
          <w:p>
            <w:pPr>
              <w:spacing w:after="0"/>
              <w:rPr>
                <w:sz w:val="6"/>
                <w:szCs w:val="6"/>
                <w:color w:val="auto"/>
              </w:rPr>
            </w:pPr>
          </w:p>
        </w:tc>
        <w:tc>
          <w:tcPr>
            <w:tcW w:w="1360" w:type="dxa"/>
            <w:vAlign w:val="bottom"/>
            <w:shd w:val="clear" w:color="auto" w:fill="FEFEFE"/>
          </w:tcPr>
          <w:p>
            <w:pPr>
              <w:spacing w:after="0"/>
              <w:rPr>
                <w:sz w:val="6"/>
                <w:szCs w:val="6"/>
                <w:color w:val="auto"/>
              </w:rPr>
            </w:pPr>
          </w:p>
        </w:tc>
        <w:tc>
          <w:tcPr>
            <w:tcW w:w="4320" w:type="dxa"/>
            <w:vAlign w:val="bottom"/>
            <w:shd w:val="clear" w:color="auto" w:fill="FEFEFE"/>
          </w:tcPr>
          <w:p>
            <w:pPr>
              <w:spacing w:after="0"/>
              <w:rPr>
                <w:sz w:val="6"/>
                <w:szCs w:val="6"/>
                <w:color w:val="auto"/>
              </w:rPr>
            </w:pPr>
          </w:p>
        </w:tc>
        <w:tc>
          <w:tcPr>
            <w:tcW w:w="160" w:type="dxa"/>
            <w:vAlign w:val="bottom"/>
            <w:shd w:val="clear" w:color="auto" w:fill="FEFEFE"/>
          </w:tcPr>
          <w:p>
            <w:pPr>
              <w:spacing w:after="0"/>
              <w:rPr>
                <w:sz w:val="6"/>
                <w:szCs w:val="6"/>
                <w:color w:val="auto"/>
              </w:rPr>
            </w:pPr>
          </w:p>
        </w:tc>
        <w:tc>
          <w:tcPr>
            <w:tcW w:w="2860" w:type="dxa"/>
            <w:vAlign w:val="bottom"/>
            <w:shd w:val="clear" w:color="auto" w:fill="FEFEFE"/>
          </w:tcPr>
          <w:p>
            <w:pPr>
              <w:spacing w:after="0"/>
              <w:rPr>
                <w:sz w:val="6"/>
                <w:szCs w:val="6"/>
                <w:color w:val="auto"/>
              </w:rPr>
            </w:pPr>
          </w:p>
        </w:tc>
        <w:tc>
          <w:tcPr>
            <w:tcW w:w="40" w:type="dxa"/>
            <w:vAlign w:val="bottom"/>
            <w:shd w:val="clear" w:color="auto" w:fill="FEFEFE"/>
          </w:tcPr>
          <w:p>
            <w:pPr>
              <w:spacing w:after="0"/>
              <w:rPr>
                <w:sz w:val="6"/>
                <w:szCs w:val="6"/>
                <w:color w:val="auto"/>
              </w:rPr>
            </w:pPr>
          </w:p>
        </w:tc>
        <w:tc>
          <w:tcPr>
            <w:tcW w:w="220" w:type="dxa"/>
            <w:vAlign w:val="bottom"/>
            <w:shd w:val="clear" w:color="auto" w:fill="FEFEFE"/>
          </w:tcPr>
          <w:p>
            <w:pPr>
              <w:spacing w:after="0"/>
              <w:rPr>
                <w:sz w:val="6"/>
                <w:szCs w:val="6"/>
                <w:color w:val="auto"/>
              </w:rPr>
            </w:pPr>
          </w:p>
        </w:tc>
        <w:tc>
          <w:tcPr>
            <w:tcW w:w="60" w:type="dxa"/>
            <w:vAlign w:val="bottom"/>
            <w:shd w:val="clear" w:color="auto" w:fill="FEFEFE"/>
          </w:tcPr>
          <w:p>
            <w:pPr>
              <w:spacing w:after="0"/>
              <w:rPr>
                <w:sz w:val="6"/>
                <w:szCs w:val="6"/>
                <w:color w:val="auto"/>
              </w:rPr>
            </w:pPr>
          </w:p>
        </w:tc>
        <w:tc>
          <w:tcPr>
            <w:tcW w:w="180" w:type="dxa"/>
            <w:vAlign w:val="bottom"/>
            <w:shd w:val="clear" w:color="auto" w:fill="FEFEFE"/>
          </w:tcPr>
          <w:p>
            <w:pPr>
              <w:spacing w:after="0"/>
              <w:rPr>
                <w:sz w:val="6"/>
                <w:szCs w:val="6"/>
                <w:color w:val="auto"/>
              </w:rPr>
            </w:pPr>
          </w:p>
        </w:tc>
        <w:tc>
          <w:tcPr>
            <w:tcW w:w="40" w:type="dxa"/>
            <w:vAlign w:val="bottom"/>
            <w:shd w:val="clear" w:color="auto" w:fill="FEFEFE"/>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92" w:lineRule="exact"/>
        <w:rPr>
          <w:sz w:val="20"/>
          <w:szCs w:val="20"/>
          <w:color w:val="auto"/>
        </w:rPr>
      </w:pPr>
    </w:p>
    <w:p>
      <w:pPr>
        <w:ind w:firstLine="629"/>
        <w:spacing w:after="0" w:line="28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22"/>
        </w:trPr>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140" w:type="dxa"/>
            <w:vAlign w:val="bottom"/>
            <w:gridSpan w:val="2"/>
          </w:tcPr>
          <w:p>
            <w:pPr>
              <w:ind w:left="560"/>
              <w:spacing w:after="0"/>
              <w:rPr>
                <w:sz w:val="20"/>
                <w:szCs w:val="20"/>
                <w:color w:val="auto"/>
              </w:rPr>
            </w:pPr>
            <w:r>
              <w:rPr>
                <w:rFonts w:ascii="Arial" w:cs="Arial" w:eastAsia="Arial" w:hAnsi="Arial"/>
                <w:sz w:val="17"/>
                <w:szCs w:val="17"/>
                <w:color w:val="auto"/>
              </w:rPr>
              <w:t>Virtu Financial, Inc.</w:t>
            </w:r>
          </w:p>
        </w:tc>
      </w:tr>
      <w:tr>
        <w:trPr>
          <w:trHeight w:val="747"/>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2360" w:type="dxa"/>
            <w:vAlign w:val="bottom"/>
          </w:tcPr>
          <w:p>
            <w:pPr>
              <w:ind w:left="700"/>
              <w:spacing w:after="0"/>
              <w:rPr>
                <w:sz w:val="20"/>
                <w:szCs w:val="20"/>
                <w:color w:val="auto"/>
              </w:rPr>
            </w:pPr>
            <w:r>
              <w:rPr>
                <w:rFonts w:ascii="Arial" w:cs="Arial" w:eastAsia="Arial" w:hAnsi="Arial"/>
                <w:sz w:val="17"/>
                <w:szCs w:val="17"/>
                <w:color w:val="auto"/>
              </w:rPr>
              <w:t>August 4, 2021</w:t>
            </w:r>
          </w:p>
        </w:tc>
        <w:tc>
          <w:tcPr>
            <w:tcW w:w="1200" w:type="dxa"/>
            <w:vAlign w:val="bottom"/>
          </w:tcPr>
          <w:p>
            <w:pPr>
              <w:ind w:left="56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Douglas A. Cifu</w:t>
            </w:r>
          </w:p>
        </w:tc>
      </w:tr>
      <w:tr>
        <w:trPr>
          <w:trHeight w:val="216"/>
        </w:trPr>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Douglas A. Cifu</w:t>
            </w:r>
          </w:p>
        </w:tc>
      </w:tr>
      <w:tr>
        <w:trPr>
          <w:trHeight w:val="223"/>
        </w:trPr>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747"/>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2360" w:type="dxa"/>
            <w:vAlign w:val="bottom"/>
          </w:tcPr>
          <w:p>
            <w:pPr>
              <w:ind w:left="700"/>
              <w:spacing w:after="0"/>
              <w:rPr>
                <w:sz w:val="20"/>
                <w:szCs w:val="20"/>
                <w:color w:val="auto"/>
              </w:rPr>
            </w:pPr>
            <w:r>
              <w:rPr>
                <w:rFonts w:ascii="Arial" w:cs="Arial" w:eastAsia="Arial" w:hAnsi="Arial"/>
                <w:sz w:val="17"/>
                <w:szCs w:val="17"/>
                <w:color w:val="auto"/>
              </w:rPr>
              <w:t>August 4, 2021</w:t>
            </w:r>
          </w:p>
        </w:tc>
        <w:tc>
          <w:tcPr>
            <w:tcW w:w="1200" w:type="dxa"/>
            <w:vAlign w:val="bottom"/>
          </w:tcPr>
          <w:p>
            <w:pPr>
              <w:ind w:left="56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Sean P. Galvin</w:t>
            </w:r>
          </w:p>
        </w:tc>
      </w:tr>
      <w:tr>
        <w:trPr>
          <w:trHeight w:val="216"/>
        </w:trPr>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Sean P. Galvin</w:t>
            </w:r>
          </w:p>
        </w:tc>
      </w:tr>
      <w:tr>
        <w:trPr>
          <w:trHeight w:val="223"/>
        </w:trPr>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838"/>
        </w:trPr>
        <w:tc>
          <w:tcPr>
            <w:tcW w:w="1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80</w:t>
            </w:r>
          </w:p>
        </w:tc>
      </w:tr>
    </w:tbl>
    <w:p>
      <w:pPr>
        <w:sectPr>
          <w:pgSz w:w="11900" w:h="16838" w:orient="portrait"/>
          <w:cols w:equalWidth="0" w:num="1">
            <w:col w:w="10660"/>
          </w:cols>
          <w:pgMar w:left="320" w:top="127" w:right="919" w:bottom="1440" w:gutter="0" w:footer="0" w:header="0"/>
        </w:sectPr>
      </w:pPr>
    </w:p>
    <w:bookmarkStart w:id="81" w:name="page82"/>
    <w:bookmarkEnd w:id="81"/>
    <w:p>
      <w:pPr>
        <w:jc w:val="center"/>
        <w:ind w:right="-8"/>
        <w:spacing w:after="0"/>
        <w:rPr>
          <w:sz w:val="20"/>
          <w:szCs w:val="20"/>
          <w:color w:val="auto"/>
        </w:rPr>
      </w:pPr>
      <w:r>
        <w:rPr>
          <w:rFonts w:ascii="Arial" w:cs="Arial" w:eastAsia="Arial" w:hAnsi="Arial"/>
          <w:sz w:val="19"/>
          <w:szCs w:val="19"/>
          <w:b w:val="1"/>
          <w:bCs w:val="1"/>
          <w:color w:val="auto"/>
        </w:rPr>
        <w:t>VIRTU FINANCIAL, INC.</w:t>
      </w:r>
    </w:p>
    <w:p>
      <w:pPr>
        <w:spacing w:after="0" w:line="13" w:lineRule="exact"/>
        <w:rPr>
          <w:sz w:val="20"/>
          <w:szCs w:val="20"/>
          <w:color w:val="auto"/>
        </w:rPr>
      </w:pPr>
    </w:p>
    <w:p>
      <w:pPr>
        <w:jc w:val="center"/>
        <w:ind w:right="-8"/>
        <w:spacing w:after="0"/>
        <w:rPr>
          <w:sz w:val="20"/>
          <w:szCs w:val="20"/>
          <w:color w:val="auto"/>
        </w:rPr>
      </w:pPr>
      <w:r>
        <w:rPr>
          <w:rFonts w:ascii="Arial" w:cs="Arial" w:eastAsia="Arial" w:hAnsi="Arial"/>
          <w:sz w:val="19"/>
          <w:szCs w:val="19"/>
          <w:b w:val="1"/>
          <w:bCs w:val="1"/>
          <w:color w:val="auto"/>
        </w:rPr>
        <w:t>AMENDED AND RESTATED 2015 MANAGEMENT INCENTIVE PLAN EMPLOYEE</w:t>
      </w:r>
    </w:p>
    <w:p>
      <w:pPr>
        <w:spacing w:after="0" w:line="4" w:lineRule="exact"/>
        <w:rPr>
          <w:sz w:val="20"/>
          <w:szCs w:val="20"/>
          <w:color w:val="auto"/>
        </w:rPr>
      </w:pPr>
    </w:p>
    <w:p>
      <w:pPr>
        <w:jc w:val="center"/>
        <w:ind w:right="-8"/>
        <w:spacing w:after="0"/>
        <w:rPr>
          <w:sz w:val="20"/>
          <w:szCs w:val="20"/>
          <w:color w:val="auto"/>
        </w:rPr>
      </w:pPr>
      <w:r>
        <w:rPr>
          <w:rFonts w:ascii="Arial" w:cs="Arial" w:eastAsia="Arial" w:hAnsi="Arial"/>
          <w:sz w:val="19"/>
          <w:szCs w:val="19"/>
          <w:b w:val="1"/>
          <w:bCs w:val="1"/>
          <w:u w:val="single" w:color="auto"/>
          <w:color w:val="auto"/>
        </w:rPr>
        <w:t>RESTRICTED STOCK AWARD AGREEMENT</w:t>
      </w:r>
    </w:p>
    <w:p>
      <w:pPr>
        <w:spacing w:after="0" w:line="145" w:lineRule="exact"/>
        <w:rPr>
          <w:sz w:val="20"/>
          <w:szCs w:val="20"/>
          <w:color w:val="auto"/>
        </w:rPr>
      </w:pPr>
    </w:p>
    <w:p>
      <w:pPr>
        <w:ind w:left="9" w:right="540" w:firstLine="628"/>
        <w:spacing w:after="0" w:line="300" w:lineRule="auto"/>
        <w:rPr>
          <w:sz w:val="20"/>
          <w:szCs w:val="20"/>
          <w:color w:val="auto"/>
        </w:rPr>
      </w:pPr>
      <w:r>
        <w:rPr>
          <w:rFonts w:ascii="Arial" w:cs="Arial" w:eastAsia="Arial" w:hAnsi="Arial"/>
          <w:sz w:val="18"/>
          <w:szCs w:val="18"/>
          <w:color w:val="auto"/>
        </w:rPr>
        <w:t>THIS RESTRICTED STOCK AWARD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February 26, 2021 (the “</w:t>
      </w:r>
      <w:r>
        <w:rPr>
          <w:rFonts w:ascii="Arial" w:cs="Arial" w:eastAsia="Arial" w:hAnsi="Arial"/>
          <w:sz w:val="18"/>
          <w:szCs w:val="18"/>
          <w:u w:val="single" w:color="auto"/>
          <w:color w:val="auto"/>
        </w:rPr>
        <w:t>Date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w:t>
      </w:r>
      <w:r>
        <w:rPr>
          <w:rFonts w:ascii="Arial" w:cs="Arial" w:eastAsia="Arial" w:hAnsi="Arial"/>
          <w:sz w:val="18"/>
          <w:szCs w:val="18"/>
          <w:color w:val="auto"/>
        </w:rPr>
        <w:t>”), by and between Virtu Financial,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Douglas A. Cifu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85" w:lineRule="exact"/>
        <w:rPr>
          <w:sz w:val="20"/>
          <w:szCs w:val="20"/>
          <w:color w:val="auto"/>
        </w:rPr>
      </w:pPr>
    </w:p>
    <w:p>
      <w:pPr>
        <w:ind w:left="9" w:right="720" w:firstLine="628"/>
        <w:spacing w:after="0" w:line="271" w:lineRule="auto"/>
        <w:rPr>
          <w:sz w:val="20"/>
          <w:szCs w:val="20"/>
          <w:color w:val="auto"/>
        </w:rPr>
      </w:pPr>
      <w:r>
        <w:rPr>
          <w:rFonts w:ascii="Arial" w:cs="Arial" w:eastAsia="Arial" w:hAnsi="Arial"/>
          <w:sz w:val="19"/>
          <w:szCs w:val="19"/>
          <w:color w:val="auto"/>
        </w:rPr>
        <w:t>WHEREAS, the Company has adopted the Virtu Financial, Inc. Amended and Restated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Restricted Stock (the “</w:t>
      </w:r>
      <w:r>
        <w:rPr>
          <w:rFonts w:ascii="Arial" w:cs="Arial" w:eastAsia="Arial" w:hAnsi="Arial"/>
          <w:sz w:val="19"/>
          <w:szCs w:val="19"/>
          <w:u w:val="single" w:color="auto"/>
          <w:color w:val="auto"/>
        </w:rPr>
        <w:t>Restricted Shares</w:t>
      </w:r>
      <w:r>
        <w:rPr>
          <w:rFonts w:ascii="Arial" w:cs="Arial" w:eastAsia="Arial" w:hAnsi="Arial"/>
          <w:sz w:val="19"/>
          <w:szCs w:val="19"/>
          <w:color w:val="auto"/>
        </w:rPr>
        <w:t>”) may be granted;</w:t>
      </w:r>
    </w:p>
    <w:p>
      <w:pPr>
        <w:spacing w:after="0" w:line="109" w:lineRule="exact"/>
        <w:rPr>
          <w:sz w:val="20"/>
          <w:szCs w:val="20"/>
          <w:color w:val="auto"/>
        </w:rPr>
      </w:pPr>
    </w:p>
    <w:p>
      <w:pPr>
        <w:ind w:left="9" w:firstLine="628"/>
        <w:spacing w:after="0" w:line="258" w:lineRule="auto"/>
        <w:rPr>
          <w:sz w:val="20"/>
          <w:szCs w:val="20"/>
          <w:color w:val="auto"/>
        </w:rPr>
      </w:pPr>
      <w:r>
        <w:rPr>
          <w:rFonts w:ascii="Arial" w:cs="Arial" w:eastAsia="Arial" w:hAnsi="Arial"/>
          <w:sz w:val="19"/>
          <w:szCs w:val="19"/>
          <w:color w:val="auto"/>
        </w:rPr>
        <w:t>WHEREAS, the Company and the Participant entered into that certain Amended and Restated Employment Agreement, dated as of November 15, 2017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pursuant to which the Participant is eligible to receive an equity award at the beginning of each calendar year during the Term (as defined in the Employment Agreement); and</w:t>
      </w:r>
    </w:p>
    <w:p>
      <w:pPr>
        <w:spacing w:after="0" w:line="121" w:lineRule="exact"/>
        <w:rPr>
          <w:sz w:val="20"/>
          <w:szCs w:val="20"/>
          <w:color w:val="auto"/>
        </w:rPr>
      </w:pPr>
    </w:p>
    <w:p>
      <w:pPr>
        <w:ind w:left="9" w:right="540" w:firstLine="628"/>
        <w:spacing w:after="0" w:line="258" w:lineRule="auto"/>
        <w:rPr>
          <w:sz w:val="20"/>
          <w:szCs w:val="20"/>
          <w:color w:val="auto"/>
        </w:rPr>
      </w:pPr>
      <w:r>
        <w:rPr>
          <w:rFonts w:ascii="Arial" w:cs="Arial" w:eastAsia="Arial" w:hAnsi="Arial"/>
          <w:sz w:val="19"/>
          <w:szCs w:val="19"/>
          <w:color w:val="auto"/>
        </w:rPr>
        <w:t>WHEREAS, the Compensation Committee of the Board of Directors of the Company has determined that it is in the best interests of the Company and its stockholders to grant the Restricted Shares provided for herein to the Participant subject to the terms set forth herein.</w:t>
      </w:r>
    </w:p>
    <w:p>
      <w:pPr>
        <w:spacing w:after="0" w:line="121" w:lineRule="exact"/>
        <w:rPr>
          <w:sz w:val="20"/>
          <w:szCs w:val="20"/>
          <w:color w:val="auto"/>
        </w:rPr>
      </w:pPr>
    </w:p>
    <w:p>
      <w:pPr>
        <w:jc w:val="both"/>
        <w:ind w:left="9" w:right="300" w:firstLine="628"/>
        <w:spacing w:after="0" w:line="258"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93" w:lineRule="exact"/>
        <w:rPr>
          <w:sz w:val="20"/>
          <w:szCs w:val="20"/>
          <w:color w:val="auto"/>
        </w:rPr>
      </w:pPr>
    </w:p>
    <w:p>
      <w:pPr>
        <w:ind w:left="629" w:hanging="629"/>
        <w:spacing w:after="0"/>
        <w:tabs>
          <w:tab w:leader="none" w:pos="629"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Grant of Restricted Shares.</w:t>
      </w:r>
    </w:p>
    <w:p>
      <w:pPr>
        <w:spacing w:after="0" w:line="245" w:lineRule="exact"/>
        <w:rPr>
          <w:rFonts w:ascii="Arial" w:cs="Arial" w:eastAsia="Arial" w:hAnsi="Arial"/>
          <w:sz w:val="19"/>
          <w:szCs w:val="19"/>
          <w:b w:val="1"/>
          <w:bCs w:val="1"/>
          <w:color w:val="auto"/>
        </w:rPr>
      </w:pPr>
    </w:p>
    <w:p>
      <w:pPr>
        <w:ind w:left="9" w:right="120" w:firstLine="620"/>
        <w:spacing w:after="0" w:line="331" w:lineRule="auto"/>
        <w:tabs>
          <w:tab w:leader="none" w:pos="1177"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The Company hereby grants to the Participant a total of 150,000 Restricted Shares, on the terms and conditions set forth in this Agreement and as otherwise provided in the Plan. The Restricted Shares shall be earned and vest in accordance with Section 2.</w:t>
      </w:r>
    </w:p>
    <w:p>
      <w:pPr>
        <w:spacing w:after="0" w:line="155" w:lineRule="exact"/>
        <w:rPr>
          <w:rFonts w:ascii="Arial" w:cs="Arial" w:eastAsia="Arial" w:hAnsi="Arial"/>
          <w:sz w:val="17"/>
          <w:szCs w:val="17"/>
          <w:color w:val="auto"/>
        </w:rPr>
      </w:pPr>
    </w:p>
    <w:p>
      <w:pPr>
        <w:ind w:left="9" w:right="160" w:firstLine="620"/>
        <w:spacing w:after="0" w:line="283" w:lineRule="auto"/>
        <w:tabs>
          <w:tab w:leader="none" w:pos="1175"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75" w:lineRule="exact"/>
        <w:rPr>
          <w:rFonts w:ascii="Arial" w:cs="Arial" w:eastAsia="Arial" w:hAnsi="Arial"/>
          <w:sz w:val="17"/>
          <w:szCs w:val="17"/>
          <w:color w:val="auto"/>
        </w:rPr>
      </w:pPr>
    </w:p>
    <w:p>
      <w:pPr>
        <w:ind w:left="629" w:hanging="629"/>
        <w:spacing w:after="0"/>
        <w:tabs>
          <w:tab w:leader="none" w:pos="629"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Vesting.</w:t>
      </w:r>
    </w:p>
    <w:p>
      <w:pPr>
        <w:spacing w:after="0" w:line="245" w:lineRule="exact"/>
        <w:rPr>
          <w:rFonts w:ascii="Arial" w:cs="Arial" w:eastAsia="Arial" w:hAnsi="Arial"/>
          <w:sz w:val="19"/>
          <w:szCs w:val="19"/>
          <w:b w:val="1"/>
          <w:bCs w:val="1"/>
          <w:color w:val="auto"/>
        </w:rPr>
      </w:pPr>
    </w:p>
    <w:p>
      <w:pPr>
        <w:ind w:left="9" w:right="80" w:firstLine="620"/>
        <w:spacing w:after="0" w:line="251" w:lineRule="auto"/>
        <w:tabs>
          <w:tab w:leader="none" w:pos="1177" w:val="left"/>
        </w:tabs>
        <w:numPr>
          <w:ilvl w:val="1"/>
          <w:numId w:val="25"/>
        </w:numPr>
        <w:rPr>
          <w:rFonts w:ascii="Arial" w:cs="Arial" w:eastAsia="Arial" w:hAnsi="Arial"/>
          <w:sz w:val="19"/>
          <w:szCs w:val="19"/>
          <w:color w:val="auto"/>
        </w:rPr>
      </w:pPr>
      <w:r>
        <w:rPr>
          <w:rFonts w:ascii="Arial" w:cs="Arial" w:eastAsia="Arial" w:hAnsi="Arial"/>
          <w:sz w:val="19"/>
          <w:szCs w:val="19"/>
          <w:color w:val="auto"/>
        </w:rPr>
        <w:t>Subject to the Participant’s continued employment or service with the Company or an Affiliate, except as may otherwise be provided herein or in the Employment Agreement, the number of Restricted Shares earned pursuant to Section 2(b) hereof shall vest in two (2) equal installments on each of December 31, 2021 and December 31, 2022 (each such date, a “</w:t>
      </w:r>
      <w:r>
        <w:rPr>
          <w:rFonts w:ascii="Arial" w:cs="Arial" w:eastAsia="Arial" w:hAnsi="Arial"/>
          <w:sz w:val="19"/>
          <w:szCs w:val="19"/>
          <w:u w:val="single" w:color="auto"/>
          <w:color w:val="auto"/>
        </w:rPr>
        <w:t>Vesting Date</w:t>
      </w:r>
      <w:r>
        <w:rPr>
          <w:rFonts w:ascii="Arial" w:cs="Arial" w:eastAsia="Arial" w:hAnsi="Arial"/>
          <w:sz w:val="19"/>
          <w:szCs w:val="19"/>
          <w:color w:val="auto"/>
        </w:rPr>
        <w:t>”). Upon each Vesting Date, such portion of the Restricted Shares that vest on such date shall no longer be subject to the transfer restrictions pursuant to Section 8(a) hereof or cancellation pursuant to Section 4 hereof. Any fractional</w:t>
      </w:r>
    </w:p>
    <w:p>
      <w:pPr>
        <w:sectPr>
          <w:pgSz w:w="11900" w:h="16838" w:orient="portrait"/>
          <w:cols w:equalWidth="0" w:num="1">
            <w:col w:w="11049"/>
          </w:cols>
          <w:pgMar w:left="411" w:top="1374" w:right="439" w:bottom="1440" w:gutter="0" w:footer="0" w:header="0"/>
        </w:sectPr>
      </w:pPr>
    </w:p>
    <w:bookmarkStart w:id="82" w:name="page83"/>
    <w:bookmarkEnd w:id="82"/>
    <w:p>
      <w:pPr>
        <w:ind w:left="8" w:right="420"/>
        <w:spacing w:after="0" w:line="271" w:lineRule="auto"/>
        <w:rPr>
          <w:sz w:val="20"/>
          <w:szCs w:val="20"/>
          <w:color w:val="auto"/>
        </w:rPr>
      </w:pPr>
      <w:r>
        <w:rPr>
          <w:rFonts w:ascii="Arial" w:cs="Arial" w:eastAsia="Arial" w:hAnsi="Arial"/>
          <w:sz w:val="19"/>
          <w:szCs w:val="19"/>
          <w:color w:val="auto"/>
        </w:rPr>
        <w:t>Restricted Shares resulting from the application of the vesting schedule shall be aggregated and the Restricted Shares resulting from such aggregation shall vest on the final Vesting Date.</w:t>
      </w:r>
    </w:p>
    <w:p>
      <w:pPr>
        <w:spacing w:after="0" w:line="188" w:lineRule="exact"/>
        <w:rPr>
          <w:sz w:val="20"/>
          <w:szCs w:val="20"/>
          <w:color w:val="auto"/>
        </w:rPr>
      </w:pPr>
    </w:p>
    <w:p>
      <w:pPr>
        <w:ind w:left="8" w:right="160" w:firstLine="620"/>
        <w:spacing w:after="0" w:line="258" w:lineRule="auto"/>
        <w:tabs>
          <w:tab w:leader="none" w:pos="1174"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number of Restricted Shares earned under this Agreement shall be determined based on the percentage of the Company’s Adjusted EBITDA target as set forth in the Company’s approved annual budget (“</w:t>
      </w:r>
      <w:r>
        <w:rPr>
          <w:rFonts w:ascii="Arial" w:cs="Arial" w:eastAsia="Arial" w:hAnsi="Arial"/>
          <w:sz w:val="19"/>
          <w:szCs w:val="19"/>
          <w:u w:val="single" w:color="auto"/>
          <w:color w:val="auto"/>
        </w:rPr>
        <w:t>Budgeted EBITDA</w:t>
      </w:r>
      <w:r>
        <w:rPr>
          <w:rFonts w:ascii="Arial" w:cs="Arial" w:eastAsia="Arial" w:hAnsi="Arial"/>
          <w:sz w:val="19"/>
          <w:szCs w:val="19"/>
          <w:color w:val="auto"/>
        </w:rPr>
        <w:t>”) achieved in calendar year 2021 in accordance with the table below.</w:t>
      </w:r>
    </w:p>
    <w:p>
      <w:pPr>
        <w:spacing w:after="0" w:line="235" w:lineRule="exact"/>
        <w:rPr>
          <w:sz w:val="20"/>
          <w:szCs w:val="20"/>
          <w:color w:val="auto"/>
        </w:rPr>
      </w:pPr>
    </w:p>
    <w:tbl>
      <w:tblPr>
        <w:tblLayout w:type="fixed"/>
        <w:tblInd w:w="1738" w:type="dxa"/>
        <w:tblCellMar>
          <w:top w:w="0" w:type="dxa"/>
          <w:left w:w="0" w:type="dxa"/>
          <w:bottom w:w="0" w:type="dxa"/>
          <w:right w:w="0" w:type="dxa"/>
        </w:tblCellMar>
      </w:tblPr>
      <w:tr>
        <w:trPr>
          <w:trHeight w:val="239"/>
        </w:trPr>
        <w:tc>
          <w:tcPr>
            <w:tcW w:w="3040" w:type="dxa"/>
            <w:vAlign w:val="bottom"/>
            <w:tcBorders>
              <w:top w:val="single" w:sz="8" w:color="auto"/>
              <w:left w:val="single" w:sz="8" w:color="auto"/>
              <w:right w:val="single" w:sz="8" w:color="auto"/>
            </w:tcBorders>
          </w:tcPr>
          <w:p>
            <w:pPr>
              <w:jc w:val="right"/>
              <w:ind w:right="604"/>
              <w:spacing w:after="0"/>
              <w:rPr>
                <w:sz w:val="20"/>
                <w:szCs w:val="20"/>
                <w:color w:val="auto"/>
              </w:rPr>
            </w:pPr>
            <w:r>
              <w:rPr>
                <w:rFonts w:ascii="Arial" w:cs="Arial" w:eastAsia="Arial" w:hAnsi="Arial"/>
                <w:sz w:val="19"/>
                <w:szCs w:val="19"/>
                <w:b w:val="1"/>
                <w:bCs w:val="1"/>
                <w:color w:val="auto"/>
              </w:rPr>
              <w:t>Percentage of Budgeted</w:t>
            </w:r>
          </w:p>
        </w:tc>
        <w:tc>
          <w:tcPr>
            <w:tcW w:w="286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9"/>
                <w:szCs w:val="19"/>
                <w:b w:val="1"/>
                <w:bCs w:val="1"/>
                <w:color w:val="auto"/>
              </w:rPr>
              <w:t>Number of Shares Earned</w:t>
            </w:r>
          </w:p>
        </w:tc>
      </w:tr>
      <w:tr>
        <w:trPr>
          <w:trHeight w:val="249"/>
        </w:trPr>
        <w:tc>
          <w:tcPr>
            <w:tcW w:w="3040" w:type="dxa"/>
            <w:vAlign w:val="bottom"/>
            <w:tcBorders>
              <w:left w:val="single" w:sz="8" w:color="auto"/>
              <w:right w:val="single" w:sz="8" w:color="auto"/>
            </w:tcBorders>
          </w:tcPr>
          <w:p>
            <w:pPr>
              <w:jc w:val="right"/>
              <w:ind w:right="804"/>
              <w:spacing w:after="0"/>
              <w:rPr>
                <w:sz w:val="20"/>
                <w:szCs w:val="20"/>
                <w:color w:val="auto"/>
              </w:rPr>
            </w:pPr>
            <w:r>
              <w:rPr>
                <w:rFonts w:ascii="Arial" w:cs="Arial" w:eastAsia="Arial" w:hAnsi="Arial"/>
                <w:sz w:val="19"/>
                <w:szCs w:val="19"/>
                <w:b w:val="1"/>
                <w:bCs w:val="1"/>
                <w:color w:val="auto"/>
              </w:rPr>
              <w:t>EBITDA Achieved</w:t>
            </w:r>
          </w:p>
        </w:tc>
        <w:tc>
          <w:tcPr>
            <w:tcW w:w="2860" w:type="dxa"/>
            <w:vAlign w:val="bottom"/>
            <w:tcBorders>
              <w:right w:val="single" w:sz="8" w:color="auto"/>
            </w:tcBorders>
          </w:tcPr>
          <w:p>
            <w:pPr>
              <w:spacing w:after="0"/>
              <w:rPr>
                <w:sz w:val="21"/>
                <w:szCs w:val="21"/>
                <w:color w:val="auto"/>
              </w:rPr>
            </w:pPr>
          </w:p>
        </w:tc>
      </w:tr>
      <w:tr>
        <w:trPr>
          <w:trHeight w:val="23"/>
        </w:trPr>
        <w:tc>
          <w:tcPr>
            <w:tcW w:w="3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040" w:type="dxa"/>
            <w:vAlign w:val="bottom"/>
            <w:tcBorders>
              <w:left w:val="single" w:sz="8" w:color="auto"/>
              <w:bottom w:val="single" w:sz="8" w:color="auto"/>
              <w:right w:val="single" w:sz="8" w:color="auto"/>
            </w:tcBorders>
          </w:tcPr>
          <w:p>
            <w:pPr>
              <w:jc w:val="right"/>
              <w:ind w:right="764"/>
              <w:spacing w:after="0"/>
              <w:rPr>
                <w:sz w:val="20"/>
                <w:szCs w:val="20"/>
                <w:color w:val="auto"/>
              </w:rPr>
            </w:pPr>
            <w:r>
              <w:rPr>
                <w:rFonts w:ascii="Arial" w:cs="Arial" w:eastAsia="Arial" w:hAnsi="Arial"/>
                <w:sz w:val="19"/>
                <w:szCs w:val="19"/>
                <w:color w:val="auto"/>
              </w:rPr>
              <w:t>75% or more</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150,000</w:t>
            </w:r>
          </w:p>
        </w:tc>
      </w:tr>
      <w:tr>
        <w:trPr>
          <w:trHeight w:val="255"/>
        </w:trPr>
        <w:tc>
          <w:tcPr>
            <w:tcW w:w="3040" w:type="dxa"/>
            <w:vAlign w:val="bottom"/>
            <w:tcBorders>
              <w:left w:val="single" w:sz="8" w:color="auto"/>
              <w:bottom w:val="single" w:sz="8" w:color="auto"/>
              <w:right w:val="single" w:sz="8" w:color="auto"/>
            </w:tcBorders>
          </w:tcPr>
          <w:p>
            <w:pPr>
              <w:jc w:val="right"/>
              <w:ind w:right="1244"/>
              <w:spacing w:after="0"/>
              <w:rPr>
                <w:sz w:val="20"/>
                <w:szCs w:val="20"/>
                <w:color w:val="auto"/>
              </w:rPr>
            </w:pPr>
            <w:r>
              <w:rPr>
                <w:rFonts w:ascii="Arial" w:cs="Arial" w:eastAsia="Arial" w:hAnsi="Arial"/>
                <w:sz w:val="19"/>
                <w:szCs w:val="19"/>
                <w:color w:val="auto"/>
              </w:rPr>
              <w:t>74%</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135,000</w:t>
            </w:r>
          </w:p>
        </w:tc>
      </w:tr>
      <w:tr>
        <w:trPr>
          <w:trHeight w:val="255"/>
        </w:trPr>
        <w:tc>
          <w:tcPr>
            <w:tcW w:w="3040" w:type="dxa"/>
            <w:vAlign w:val="bottom"/>
            <w:tcBorders>
              <w:left w:val="single" w:sz="8" w:color="auto"/>
              <w:bottom w:val="single" w:sz="8" w:color="auto"/>
              <w:right w:val="single" w:sz="8" w:color="auto"/>
            </w:tcBorders>
          </w:tcPr>
          <w:p>
            <w:pPr>
              <w:jc w:val="right"/>
              <w:ind w:right="1244"/>
              <w:spacing w:after="0"/>
              <w:rPr>
                <w:sz w:val="20"/>
                <w:szCs w:val="20"/>
                <w:color w:val="auto"/>
              </w:rPr>
            </w:pPr>
            <w:r>
              <w:rPr>
                <w:rFonts w:ascii="Arial" w:cs="Arial" w:eastAsia="Arial" w:hAnsi="Arial"/>
                <w:sz w:val="19"/>
                <w:szCs w:val="19"/>
                <w:color w:val="auto"/>
              </w:rPr>
              <w:t>73%</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120,000</w:t>
            </w:r>
          </w:p>
        </w:tc>
      </w:tr>
      <w:tr>
        <w:trPr>
          <w:trHeight w:val="255"/>
        </w:trPr>
        <w:tc>
          <w:tcPr>
            <w:tcW w:w="3040" w:type="dxa"/>
            <w:vAlign w:val="bottom"/>
            <w:tcBorders>
              <w:left w:val="single" w:sz="8" w:color="auto"/>
              <w:bottom w:val="single" w:sz="8" w:color="auto"/>
              <w:right w:val="single" w:sz="8" w:color="auto"/>
            </w:tcBorders>
          </w:tcPr>
          <w:p>
            <w:pPr>
              <w:jc w:val="right"/>
              <w:ind w:right="1244"/>
              <w:spacing w:after="0"/>
              <w:rPr>
                <w:sz w:val="20"/>
                <w:szCs w:val="20"/>
                <w:color w:val="auto"/>
              </w:rPr>
            </w:pPr>
            <w:r>
              <w:rPr>
                <w:rFonts w:ascii="Arial" w:cs="Arial" w:eastAsia="Arial" w:hAnsi="Arial"/>
                <w:sz w:val="19"/>
                <w:szCs w:val="19"/>
                <w:color w:val="auto"/>
              </w:rPr>
              <w:t>72%</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105,000</w:t>
            </w:r>
          </w:p>
        </w:tc>
      </w:tr>
      <w:tr>
        <w:trPr>
          <w:trHeight w:val="255"/>
        </w:trPr>
        <w:tc>
          <w:tcPr>
            <w:tcW w:w="3040" w:type="dxa"/>
            <w:vAlign w:val="bottom"/>
            <w:tcBorders>
              <w:left w:val="single" w:sz="8" w:color="auto"/>
              <w:bottom w:val="single" w:sz="8" w:color="auto"/>
              <w:right w:val="single" w:sz="8" w:color="auto"/>
            </w:tcBorders>
          </w:tcPr>
          <w:p>
            <w:pPr>
              <w:jc w:val="right"/>
              <w:ind w:right="1244"/>
              <w:spacing w:after="0"/>
              <w:rPr>
                <w:sz w:val="20"/>
                <w:szCs w:val="20"/>
                <w:color w:val="auto"/>
              </w:rPr>
            </w:pPr>
            <w:r>
              <w:rPr>
                <w:rFonts w:ascii="Arial" w:cs="Arial" w:eastAsia="Arial" w:hAnsi="Arial"/>
                <w:sz w:val="19"/>
                <w:szCs w:val="19"/>
                <w:color w:val="auto"/>
              </w:rPr>
              <w:t>71%</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2"/>
              </w:rPr>
              <w:t>90,000</w:t>
            </w:r>
          </w:p>
        </w:tc>
      </w:tr>
      <w:tr>
        <w:trPr>
          <w:trHeight w:val="255"/>
        </w:trPr>
        <w:tc>
          <w:tcPr>
            <w:tcW w:w="3040" w:type="dxa"/>
            <w:vAlign w:val="bottom"/>
            <w:tcBorders>
              <w:left w:val="single" w:sz="8" w:color="auto"/>
              <w:bottom w:val="single" w:sz="8" w:color="auto"/>
              <w:right w:val="single" w:sz="8" w:color="auto"/>
            </w:tcBorders>
          </w:tcPr>
          <w:p>
            <w:pPr>
              <w:jc w:val="right"/>
              <w:ind w:right="1244"/>
              <w:spacing w:after="0"/>
              <w:rPr>
                <w:sz w:val="20"/>
                <w:szCs w:val="20"/>
                <w:color w:val="auto"/>
              </w:rPr>
            </w:pPr>
            <w:r>
              <w:rPr>
                <w:rFonts w:ascii="Arial" w:cs="Arial" w:eastAsia="Arial" w:hAnsi="Arial"/>
                <w:sz w:val="19"/>
                <w:szCs w:val="19"/>
                <w:color w:val="auto"/>
              </w:rPr>
              <w:t>70%</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2"/>
              </w:rPr>
              <w:t>75,000</w:t>
            </w:r>
          </w:p>
        </w:tc>
      </w:tr>
      <w:tr>
        <w:trPr>
          <w:trHeight w:val="255"/>
        </w:trPr>
        <w:tc>
          <w:tcPr>
            <w:tcW w:w="3040" w:type="dxa"/>
            <w:vAlign w:val="bottom"/>
            <w:tcBorders>
              <w:left w:val="single" w:sz="8" w:color="auto"/>
              <w:bottom w:val="single" w:sz="8" w:color="auto"/>
              <w:right w:val="single" w:sz="8" w:color="auto"/>
            </w:tcBorders>
          </w:tcPr>
          <w:p>
            <w:pPr>
              <w:jc w:val="right"/>
              <w:ind w:right="704"/>
              <w:spacing w:after="0"/>
              <w:rPr>
                <w:sz w:val="20"/>
                <w:szCs w:val="20"/>
                <w:color w:val="auto"/>
              </w:rPr>
            </w:pPr>
            <w:r>
              <w:rPr>
                <w:rFonts w:ascii="Arial" w:cs="Arial" w:eastAsia="Arial" w:hAnsi="Arial"/>
                <w:sz w:val="19"/>
                <w:szCs w:val="19"/>
                <w:color w:val="auto"/>
              </w:rPr>
              <w:t>Less than 70%</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0</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 w:right="260" w:firstLine="1256"/>
        <w:spacing w:after="0" w:line="271" w:lineRule="auto"/>
        <w:rPr>
          <w:sz w:val="20"/>
          <w:szCs w:val="20"/>
          <w:color w:val="auto"/>
        </w:rPr>
      </w:pPr>
      <w:r>
        <w:rPr>
          <w:rFonts w:ascii="Arial" w:cs="Arial" w:eastAsia="Arial" w:hAnsi="Arial"/>
          <w:sz w:val="19"/>
          <w:szCs w:val="19"/>
          <w:color w:val="auto"/>
        </w:rPr>
        <w:t>If the percentage of the Company’s Budgeted EBITDA achieved is greater than 70% but less than 75%, then the amount of earned shares in the table above will be determined based on linear interpolation.</w:t>
      </w:r>
    </w:p>
    <w:p>
      <w:pPr>
        <w:spacing w:after="0" w:line="182" w:lineRule="exact"/>
        <w:rPr>
          <w:sz w:val="20"/>
          <w:szCs w:val="20"/>
          <w:color w:val="auto"/>
        </w:rPr>
      </w:pPr>
    </w:p>
    <w:p>
      <w:pPr>
        <w:ind w:left="8" w:right="120" w:hanging="8"/>
        <w:spacing w:after="0" w:line="255" w:lineRule="auto"/>
        <w:tabs>
          <w:tab w:leader="none" w:pos="545"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Dividends. </w:t>
      </w:r>
      <w:r>
        <w:rPr>
          <w:rFonts w:ascii="Arial" w:cs="Arial" w:eastAsia="Arial" w:hAnsi="Arial"/>
          <w:sz w:val="19"/>
          <w:szCs w:val="19"/>
          <w:color w:val="auto"/>
        </w:rPr>
        <w:t>In the event of any issuance of a cash dividend on the shares of Class A Common Stock (a “</w:t>
      </w:r>
      <w:r>
        <w:rPr>
          <w:rFonts w:ascii="Arial" w:cs="Arial" w:eastAsia="Arial" w:hAnsi="Arial"/>
          <w:sz w:val="19"/>
          <w:szCs w:val="19"/>
          <w:u w:val="single" w:color="auto"/>
          <w:color w:val="auto"/>
        </w:rPr>
        <w:t>Dividend</w:t>
      </w:r>
      <w:r>
        <w:rPr>
          <w:rFonts w:ascii="Arial" w:cs="Arial" w:eastAsia="Arial" w:hAnsi="Arial"/>
          <w:sz w:val="19"/>
          <w:szCs w:val="19"/>
          <w:color w:val="auto"/>
        </w:rPr>
        <w:t>”),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entitled to receive, with respect to each Restricted Share granted pursuant to this Agreement and outstanding as of the record date for such Dividend, payment of an amount equal to the Dividend at the same time as the Dividend is paid to holders of shares of Class A Common Stock generally.</w:t>
      </w:r>
    </w:p>
    <w:p>
      <w:pPr>
        <w:spacing w:after="0" w:line="210" w:lineRule="exact"/>
        <w:rPr>
          <w:rFonts w:ascii="Arial" w:cs="Arial" w:eastAsia="Arial" w:hAnsi="Arial"/>
          <w:sz w:val="19"/>
          <w:szCs w:val="19"/>
          <w:b w:val="1"/>
          <w:bCs w:val="1"/>
          <w:color w:val="auto"/>
        </w:rPr>
      </w:pPr>
    </w:p>
    <w:p>
      <w:pPr>
        <w:jc w:val="both"/>
        <w:ind w:left="8" w:hanging="8"/>
        <w:spacing w:after="0" w:line="261" w:lineRule="auto"/>
        <w:tabs>
          <w:tab w:leader="none" w:pos="545"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Employment or Service. </w:t>
      </w:r>
      <w:r>
        <w:rPr>
          <w:rFonts w:ascii="Arial" w:cs="Arial" w:eastAsia="Arial" w:hAnsi="Arial"/>
          <w:sz w:val="19"/>
          <w:szCs w:val="19"/>
          <w:color w:val="auto"/>
        </w:rPr>
        <w:t>If the Participant’s employment or service with the Company and its Affiliates terminates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reason, any unearned and unvested Restricted Shares shall be accelerated, remain eligible to be earned or cancelled in accordance with the terms of the Employment Agreement.</w:t>
      </w:r>
    </w:p>
    <w:p>
      <w:pPr>
        <w:spacing w:after="0" w:line="190" w:lineRule="exact"/>
        <w:rPr>
          <w:rFonts w:ascii="Arial" w:cs="Arial" w:eastAsia="Arial" w:hAnsi="Arial"/>
          <w:sz w:val="19"/>
          <w:szCs w:val="19"/>
          <w:b w:val="1"/>
          <w:bCs w:val="1"/>
          <w:color w:val="auto"/>
        </w:rPr>
      </w:pPr>
    </w:p>
    <w:p>
      <w:pPr>
        <w:jc w:val="both"/>
        <w:ind w:left="8" w:right="180" w:hanging="8"/>
        <w:spacing w:after="0" w:line="252" w:lineRule="auto"/>
        <w:tabs>
          <w:tab w:leader="none" w:pos="545"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Issuance</w:t>
      </w:r>
      <w:r>
        <w:rPr>
          <w:rFonts w:ascii="Arial" w:cs="Arial" w:eastAsia="Arial" w:hAnsi="Arial"/>
          <w:sz w:val="19"/>
          <w:szCs w:val="19"/>
          <w:color w:val="auto"/>
        </w:rPr>
        <w:t>. The Restricted Shares shall be issued by the Company and shall be registered in the Participant’s name on the stock</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books of the Company promptly after the date hereof in book- entry form, subject to the Company’s directions at all times prior to the date the Restricted Shares vest.</w:t>
      </w:r>
    </w:p>
    <w:p>
      <w:pPr>
        <w:spacing w:after="0" w:line="1" w:lineRule="exact"/>
        <w:rPr>
          <w:rFonts w:ascii="Arial" w:cs="Arial" w:eastAsia="Arial" w:hAnsi="Arial"/>
          <w:sz w:val="19"/>
          <w:szCs w:val="19"/>
          <w:b w:val="1"/>
          <w:bCs w:val="1"/>
          <w:color w:val="auto"/>
        </w:rPr>
      </w:pPr>
    </w:p>
    <w:p>
      <w:pPr>
        <w:ind w:left="8" w:right="60"/>
        <w:spacing w:after="0" w:line="246" w:lineRule="auto"/>
        <w:rPr>
          <w:rFonts w:ascii="Arial" w:cs="Arial" w:eastAsia="Arial" w:hAnsi="Arial"/>
          <w:sz w:val="19"/>
          <w:szCs w:val="19"/>
          <w:b w:val="1"/>
          <w:bCs w:val="1"/>
          <w:color w:val="auto"/>
        </w:rPr>
      </w:pPr>
      <w:r>
        <w:rPr>
          <w:rFonts w:ascii="Arial" w:cs="Arial" w:eastAsia="Arial" w:hAnsi="Arial"/>
          <w:sz w:val="19"/>
          <w:szCs w:val="19"/>
          <w:color w:val="auto"/>
        </w:rPr>
        <w:t>As a condition of the award of Restricted Shares, Participant shall deliver to the Company a stock power, endorsed in blank, relating to such Restricted Shares. The Committee or the Company may cause a legend or legends to be put on the certificate to make appropriate reference to such restrictions as the Committee or the Company may deem advisable under the Plan or as may be required by the rules, regulations, and other requirements of the Securities and Exchange Commission, NASDAQ or any other securities exchange or inter-dealer quotation system on which the Class A Common Stock is listed or quoted, and any applicable federal, state or local laws. To the extent allowable by applicable law, neither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419735</wp:posOffset>
            </wp:positionV>
            <wp:extent cx="141605" cy="166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1605" cy="166370"/>
                    </a:xfrm>
                    <a:prstGeom prst="rect">
                      <a:avLst/>
                    </a:prstGeom>
                    <a:noFill/>
                  </pic:spPr>
                </pic:pic>
              </a:graphicData>
            </a:graphic>
          </wp:anchor>
        </w:drawing>
      </w:r>
    </w:p>
    <w:p>
      <w:pPr>
        <w:sectPr>
          <w:pgSz w:w="11900" w:h="16838" w:orient="portrait"/>
          <w:cols w:equalWidth="0" w:num="1">
            <w:col w:w="10968"/>
          </w:cols>
          <w:pgMar w:left="412" w:top="1380" w:right="519" w:bottom="1440" w:gutter="0" w:footer="0" w:header="0"/>
        </w:sectPr>
      </w:pPr>
    </w:p>
    <w:bookmarkStart w:id="83" w:name="page84"/>
    <w:bookmarkEnd w:id="83"/>
    <w:p>
      <w:pPr>
        <w:ind w:left="9" w:right="440"/>
        <w:spacing w:after="0" w:line="292" w:lineRule="auto"/>
        <w:rPr>
          <w:sz w:val="20"/>
          <w:szCs w:val="20"/>
          <w:color w:val="auto"/>
        </w:rPr>
      </w:pPr>
      <w:r>
        <w:rPr>
          <w:rFonts w:ascii="Arial" w:cs="Arial" w:eastAsia="Arial" w:hAnsi="Arial"/>
          <w:sz w:val="18"/>
          <w:szCs w:val="18"/>
          <w:color w:val="auto"/>
        </w:rPr>
        <w:t>the Committee, the Company, nor their respective designees, as applicable, shall be liable for any act it or they may do or omit to do with respect to holding the Restricted Shares in escrow and while acting in good faith in the exercise of its or their judgment.</w:t>
      </w:r>
    </w:p>
    <w:p>
      <w:pPr>
        <w:spacing w:after="0" w:line="1" w:lineRule="exact"/>
        <w:rPr>
          <w:sz w:val="20"/>
          <w:szCs w:val="20"/>
          <w:color w:val="auto"/>
        </w:rPr>
      </w:pPr>
    </w:p>
    <w:p>
      <w:pPr>
        <w:ind w:left="9" w:right="140" w:hanging="8"/>
        <w:spacing w:after="0" w:line="278" w:lineRule="auto"/>
        <w:tabs>
          <w:tab w:leader="none" w:pos="546"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be, and shall have the rights or privileges of, a stockholder of the Company,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any voting rights, in respect of the Restricted Shares.</w:t>
      </w:r>
    </w:p>
    <w:p>
      <w:pPr>
        <w:spacing w:after="0" w:line="174" w:lineRule="exact"/>
        <w:rPr>
          <w:rFonts w:ascii="Arial" w:cs="Arial" w:eastAsia="Arial" w:hAnsi="Arial"/>
          <w:sz w:val="19"/>
          <w:szCs w:val="19"/>
          <w:b w:val="1"/>
          <w:bCs w:val="1"/>
          <w:color w:val="auto"/>
        </w:rPr>
      </w:pPr>
    </w:p>
    <w:p>
      <w:pPr>
        <w:ind w:left="629" w:hanging="629"/>
        <w:spacing w:after="0"/>
        <w:tabs>
          <w:tab w:leader="none" w:pos="629"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45" w:lineRule="exact"/>
        <w:rPr>
          <w:rFonts w:ascii="Arial" w:cs="Arial" w:eastAsia="Arial" w:hAnsi="Arial"/>
          <w:sz w:val="19"/>
          <w:szCs w:val="19"/>
          <w:b w:val="1"/>
          <w:bCs w:val="1"/>
          <w:color w:val="auto"/>
        </w:rPr>
      </w:pPr>
    </w:p>
    <w:p>
      <w:pPr>
        <w:ind w:left="9" w:right="180" w:firstLine="620"/>
        <w:spacing w:after="0" w:line="268" w:lineRule="auto"/>
        <w:tabs>
          <w:tab w:leader="none" w:pos="117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and settlement of the Restricted Shares,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206" w:lineRule="exact"/>
        <w:rPr>
          <w:rFonts w:ascii="Arial" w:cs="Arial" w:eastAsia="Arial" w:hAnsi="Arial"/>
          <w:sz w:val="18"/>
          <w:szCs w:val="18"/>
          <w:color w:val="auto"/>
        </w:rPr>
      </w:pPr>
    </w:p>
    <w:p>
      <w:pPr>
        <w:ind w:left="1169" w:hanging="540"/>
        <w:spacing w:after="0"/>
        <w:tabs>
          <w:tab w:leader="none" w:pos="1169"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Taxes and Withholding</w:t>
      </w:r>
      <w:r>
        <w:rPr>
          <w:rFonts w:ascii="Arial" w:cs="Arial" w:eastAsia="Arial" w:hAnsi="Arial"/>
          <w:sz w:val="18"/>
          <w:szCs w:val="18"/>
          <w:color w:val="auto"/>
        </w:rPr>
        <w:t>. The vesting of the Restricted Shares shall be subject to the Participant satisfying any applicable</w:t>
      </w:r>
    </w:p>
    <w:p>
      <w:pPr>
        <w:spacing w:after="0" w:line="32" w:lineRule="exact"/>
        <w:rPr>
          <w:sz w:val="20"/>
          <w:szCs w:val="20"/>
          <w:color w:val="auto"/>
        </w:rPr>
      </w:pPr>
    </w:p>
    <w:p>
      <w:pPr>
        <w:ind w:left="9"/>
        <w:spacing w:after="0"/>
        <w:rPr>
          <w:sz w:val="20"/>
          <w:szCs w:val="20"/>
          <w:color w:val="auto"/>
        </w:rPr>
      </w:pPr>
      <w:r>
        <w:rPr>
          <w:rFonts w:ascii="Arial" w:cs="Arial" w:eastAsia="Arial" w:hAnsi="Arial"/>
          <w:sz w:val="19"/>
          <w:szCs w:val="19"/>
          <w:color w:val="auto"/>
        </w:rPr>
        <w:t>U.S. federal, state and local tax withholding obligations and non-</w:t>
      </w:r>
    </w:p>
    <w:p>
      <w:pPr>
        <w:spacing w:after="0" w:line="4" w:lineRule="exact"/>
        <w:rPr>
          <w:sz w:val="20"/>
          <w:szCs w:val="20"/>
          <w:color w:val="auto"/>
        </w:rPr>
      </w:pPr>
    </w:p>
    <w:p>
      <w:pPr>
        <w:ind w:left="9"/>
        <w:spacing w:after="0" w:line="245" w:lineRule="auto"/>
        <w:rPr>
          <w:sz w:val="20"/>
          <w:szCs w:val="20"/>
          <w:color w:val="auto"/>
        </w:rPr>
      </w:pPr>
      <w:r>
        <w:rPr>
          <w:rFonts w:ascii="Arial" w:cs="Arial" w:eastAsia="Arial" w:hAnsi="Arial"/>
          <w:sz w:val="19"/>
          <w:szCs w:val="19"/>
          <w:color w:val="auto"/>
        </w:rPr>
        <w:t>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Restricted Shares or any payment or transfer of the Restricted Shares,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vesting of the Restricted Shares with a Fair Market Value equal to such withholding liability.</w:t>
      </w:r>
    </w:p>
    <w:p>
      <w:pPr>
        <w:spacing w:after="0" w:line="211" w:lineRule="exact"/>
        <w:rPr>
          <w:sz w:val="20"/>
          <w:szCs w:val="20"/>
          <w:color w:val="auto"/>
        </w:rPr>
      </w:pPr>
    </w:p>
    <w:p>
      <w:pPr>
        <w:ind w:left="629" w:hanging="629"/>
        <w:spacing w:after="0"/>
        <w:tabs>
          <w:tab w:leader="none" w:pos="629"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Restrictive Covenants.</w:t>
      </w:r>
    </w:p>
    <w:p>
      <w:pPr>
        <w:spacing w:after="0" w:line="245" w:lineRule="exact"/>
        <w:rPr>
          <w:rFonts w:ascii="Arial" w:cs="Arial" w:eastAsia="Arial" w:hAnsi="Arial"/>
          <w:sz w:val="19"/>
          <w:szCs w:val="19"/>
          <w:b w:val="1"/>
          <w:bCs w:val="1"/>
          <w:color w:val="auto"/>
        </w:rPr>
      </w:pPr>
    </w:p>
    <w:p>
      <w:pPr>
        <w:ind w:left="9" w:right="360" w:firstLine="620"/>
        <w:spacing w:after="0" w:line="279" w:lineRule="auto"/>
        <w:tabs>
          <w:tab w:leader="none" w:pos="117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Participant acknowledges and agrees that the Participant remains bound by the confidentiality and restrictive covenant provisions set forth in Sections 9.04 and 12.11 of the Third Amended and Restated Limited Liability Company Agreement of Virtu Financial, LLC, dated as of the Date of Grant (or any successor provisions) as a “Member” thereof.</w:t>
      </w:r>
    </w:p>
    <w:p>
      <w:pPr>
        <w:spacing w:after="0" w:line="195" w:lineRule="exact"/>
        <w:rPr>
          <w:rFonts w:ascii="Arial" w:cs="Arial" w:eastAsia="Arial" w:hAnsi="Arial"/>
          <w:sz w:val="18"/>
          <w:szCs w:val="18"/>
          <w:color w:val="auto"/>
        </w:rPr>
      </w:pPr>
    </w:p>
    <w:p>
      <w:pPr>
        <w:ind w:left="9" w:firstLine="620"/>
        <w:spacing w:after="0" w:line="268" w:lineRule="auto"/>
        <w:tabs>
          <w:tab w:leader="none" w:pos="11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event that the Participant violates any of the restrictive covenants referred to in this Section 8, in addition to any other remedy which may be available at law or in equity, the Restricted Shares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87" w:lineRule="exact"/>
        <w:rPr>
          <w:rFonts w:ascii="Arial" w:cs="Arial" w:eastAsia="Arial" w:hAnsi="Arial"/>
          <w:sz w:val="18"/>
          <w:szCs w:val="18"/>
          <w:color w:val="auto"/>
        </w:rPr>
      </w:pPr>
    </w:p>
    <w:p>
      <w:pPr>
        <w:ind w:left="629" w:hanging="629"/>
        <w:spacing w:after="0"/>
        <w:tabs>
          <w:tab w:leader="none" w:pos="629"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59" w:lineRule="exact"/>
        <w:rPr>
          <w:rFonts w:ascii="Arial" w:cs="Arial" w:eastAsia="Arial" w:hAnsi="Arial"/>
          <w:sz w:val="19"/>
          <w:szCs w:val="19"/>
          <w:b w:val="1"/>
          <w:bCs w:val="1"/>
          <w:color w:val="auto"/>
        </w:rPr>
      </w:pPr>
    </w:p>
    <w:p>
      <w:pPr>
        <w:ind w:left="9" w:right="320" w:firstLine="620"/>
        <w:spacing w:after="0" w:line="258" w:lineRule="auto"/>
        <w:tabs>
          <w:tab w:leader="none" w:pos="1177"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Restricted Shares may not be assigned, alienated, pledged, attached, sold or otherwise transferred or encumbered (a “</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403225</wp:posOffset>
            </wp:positionV>
            <wp:extent cx="141605" cy="166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1605" cy="166370"/>
                    </a:xfrm>
                    <a:prstGeom prst="rect">
                      <a:avLst/>
                    </a:prstGeom>
                    <a:noFill/>
                  </pic:spPr>
                </pic:pic>
              </a:graphicData>
            </a:graphic>
          </wp:anchor>
        </w:drawing>
      </w:r>
    </w:p>
    <w:p>
      <w:pPr>
        <w:sectPr>
          <w:pgSz w:w="11900" w:h="16838" w:orient="portrait"/>
          <w:cols w:equalWidth="0" w:num="1">
            <w:col w:w="10969"/>
          </w:cols>
          <w:pgMar w:left="411" w:top="1314" w:right="519" w:bottom="1440" w:gutter="0" w:footer="0" w:header="0"/>
        </w:sectPr>
      </w:pPr>
    </w:p>
    <w:bookmarkStart w:id="84" w:name="page85"/>
    <w:bookmarkEnd w:id="84"/>
    <w:p>
      <w:pPr>
        <w:ind w:right="700"/>
        <w:spacing w:after="0" w:line="271" w:lineRule="auto"/>
        <w:rPr>
          <w:sz w:val="20"/>
          <w:szCs w:val="20"/>
          <w:color w:val="auto"/>
        </w:rPr>
      </w:pPr>
      <w:r>
        <w:rPr>
          <w:rFonts w:ascii="Arial" w:cs="Arial" w:eastAsia="Arial" w:hAnsi="Arial"/>
          <w:sz w:val="19"/>
          <w:szCs w:val="19"/>
          <w:color w:val="auto"/>
        </w:rPr>
        <w:t>under Section 15(b) of the Plan. Any attempted Transfer of the Restricted Shares contrary to the provisions hereof, and the levy of any execution, attachment or similar process upon the Restricted Shares, shall be null and void and without effect.</w:t>
      </w:r>
    </w:p>
    <w:p>
      <w:pPr>
        <w:spacing w:after="0" w:line="17" w:lineRule="exact"/>
        <w:rPr>
          <w:sz w:val="20"/>
          <w:szCs w:val="20"/>
          <w:color w:val="auto"/>
        </w:rPr>
      </w:pPr>
    </w:p>
    <w:p>
      <w:pPr>
        <w:ind w:right="100" w:firstLine="620"/>
        <w:spacing w:after="0" w:line="253" w:lineRule="auto"/>
        <w:tabs>
          <w:tab w:leader="none" w:pos="1166"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205" w:lineRule="exact"/>
        <w:rPr>
          <w:rFonts w:ascii="Arial" w:cs="Arial" w:eastAsia="Arial" w:hAnsi="Arial"/>
          <w:sz w:val="19"/>
          <w:szCs w:val="19"/>
          <w:color w:val="auto"/>
        </w:rPr>
      </w:pPr>
    </w:p>
    <w:p>
      <w:pPr>
        <w:ind w:right="100" w:firstLine="620"/>
        <w:spacing w:after="0" w:line="247" w:lineRule="auto"/>
        <w:tabs>
          <w:tab w:leader="none" w:pos="1168"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Restricted Shares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10(c) does not create an obligation on the part of the Company to modify the Plan or this Agreement and does not guarantee that the Restricted Shares will not be subject to interest and penalties under Section 409A.</w:t>
      </w:r>
    </w:p>
    <w:p>
      <w:pPr>
        <w:spacing w:after="0" w:line="229" w:lineRule="exact"/>
        <w:rPr>
          <w:rFonts w:ascii="Arial" w:cs="Arial" w:eastAsia="Arial" w:hAnsi="Arial"/>
          <w:sz w:val="19"/>
          <w:szCs w:val="19"/>
          <w:color w:val="auto"/>
        </w:rPr>
      </w:pPr>
    </w:p>
    <w:p>
      <w:pPr>
        <w:ind w:right="300" w:firstLine="620"/>
        <w:spacing w:after="0" w:line="251" w:lineRule="auto"/>
        <w:tabs>
          <w:tab w:leader="none" w:pos="1166"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219" w:lineRule="exact"/>
        <w:rPr>
          <w:rFonts w:ascii="Arial" w:cs="Arial" w:eastAsia="Arial" w:hAnsi="Arial"/>
          <w:sz w:val="19"/>
          <w:szCs w:val="19"/>
          <w:color w:val="auto"/>
        </w:rPr>
      </w:pPr>
    </w:p>
    <w:p>
      <w:pPr>
        <w:ind w:firstLine="620"/>
        <w:spacing w:after="0" w:line="258" w:lineRule="auto"/>
        <w:tabs>
          <w:tab w:leader="none" w:pos="1168"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99" w:lineRule="exact"/>
        <w:rPr>
          <w:rFonts w:ascii="Arial" w:cs="Arial" w:eastAsia="Arial" w:hAnsi="Arial"/>
          <w:sz w:val="19"/>
          <w:szCs w:val="19"/>
          <w:color w:val="auto"/>
        </w:rPr>
      </w:pPr>
    </w:p>
    <w:p>
      <w:pPr>
        <w:ind w:right="140" w:firstLine="620"/>
        <w:spacing w:after="0" w:line="253" w:lineRule="auto"/>
        <w:tabs>
          <w:tab w:leader="none" w:pos="116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205" w:lineRule="exact"/>
        <w:rPr>
          <w:rFonts w:ascii="Arial" w:cs="Arial" w:eastAsia="Arial" w:hAnsi="Arial"/>
          <w:sz w:val="19"/>
          <w:szCs w:val="19"/>
          <w:color w:val="auto"/>
        </w:rPr>
      </w:pPr>
    </w:p>
    <w:p>
      <w:pPr>
        <w:ind w:left="1160" w:hanging="540"/>
        <w:spacing w:after="0"/>
        <w:tabs>
          <w:tab w:leader="none" w:pos="116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w:t>
      </w:r>
    </w:p>
    <w:p>
      <w:pPr>
        <w:spacing w:after="0" w:line="20" w:lineRule="exact"/>
        <w:rPr>
          <w:sz w:val="20"/>
          <w:szCs w:val="20"/>
          <w:color w:val="auto"/>
        </w:rPr>
      </w:pPr>
    </w:p>
    <w:p>
      <w:pPr>
        <w:ind w:right="320"/>
        <w:spacing w:after="0" w:line="254" w:lineRule="auto"/>
        <w:rPr>
          <w:sz w:val="20"/>
          <w:szCs w:val="20"/>
          <w:color w:val="auto"/>
        </w:rPr>
      </w:pPr>
      <w:r>
        <w:rPr>
          <w:rFonts w:ascii="Arial" w:cs="Arial" w:eastAsia="Arial" w:hAnsi="Arial"/>
          <w:sz w:val="19"/>
          <w:szCs w:val="19"/>
          <w:color w:val="auto"/>
        </w:rPr>
        <w:t>Restricted Shares pursuant to Section 12 of the Plan or otherwise, the Company shall be entitled to pay to the Participant an amount in cash equal to the Fair Market Value of such fractional share.</w:t>
      </w:r>
    </w:p>
    <w:p>
      <w:pPr>
        <w:spacing w:after="0" w:line="216" w:lineRule="exact"/>
        <w:rPr>
          <w:sz w:val="20"/>
          <w:szCs w:val="20"/>
          <w:color w:val="auto"/>
        </w:rPr>
      </w:pPr>
    </w:p>
    <w:p>
      <w:pPr>
        <w:ind w:right="660" w:firstLine="620"/>
        <w:spacing w:after="0" w:line="271" w:lineRule="auto"/>
        <w:tabs>
          <w:tab w:leader="none" w:pos="116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554355</wp:posOffset>
            </wp:positionV>
            <wp:extent cx="141605" cy="166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1605" cy="166370"/>
                    </a:xfrm>
                    <a:prstGeom prst="rect">
                      <a:avLst/>
                    </a:prstGeom>
                    <a:noFill/>
                  </pic:spPr>
                </pic:pic>
              </a:graphicData>
            </a:graphic>
          </wp:anchor>
        </w:drawing>
      </w:r>
    </w:p>
    <w:p>
      <w:pPr>
        <w:sectPr>
          <w:pgSz w:w="11900" w:h="16838" w:orient="portrait"/>
          <w:cols w:equalWidth="0" w:num="1">
            <w:col w:w="11020"/>
          </w:cols>
          <w:pgMar w:left="420" w:top="1314" w:right="459" w:bottom="1440" w:gutter="0" w:footer="0" w:header="0"/>
        </w:sectPr>
      </w:pPr>
    </w:p>
    <w:bookmarkStart w:id="85" w:name="page86"/>
    <w:bookmarkEnd w:id="85"/>
    <w:p>
      <w:pPr>
        <w:ind w:left="-620" w:right="160" w:firstLine="620"/>
        <w:spacing w:after="0" w:line="296" w:lineRule="auto"/>
        <w:tabs>
          <w:tab w:leader="none" w:pos="54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of the Participant and the beneficiaries, executors, administrators, heirs and successors of the Participant.</w:t>
      </w:r>
    </w:p>
    <w:p>
      <w:pPr>
        <w:ind w:left="-620" w:right="180" w:firstLine="620"/>
        <w:spacing w:after="0" w:line="272" w:lineRule="auto"/>
        <w:tabs>
          <w:tab w:leader="none" w:pos="54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88" w:lineRule="exact"/>
        <w:rPr>
          <w:rFonts w:ascii="Arial" w:cs="Arial" w:eastAsia="Arial" w:hAnsi="Arial"/>
          <w:sz w:val="18"/>
          <w:szCs w:val="18"/>
          <w:color w:val="auto"/>
        </w:rPr>
      </w:pPr>
    </w:p>
    <w:p>
      <w:pPr>
        <w:ind w:left="-620" w:firstLine="620"/>
        <w:spacing w:after="0" w:line="258" w:lineRule="auto"/>
        <w:tabs>
          <w:tab w:leader="none" w:pos="546"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99" w:lineRule="exact"/>
        <w:rPr>
          <w:rFonts w:ascii="Arial" w:cs="Arial" w:eastAsia="Arial" w:hAnsi="Arial"/>
          <w:sz w:val="19"/>
          <w:szCs w:val="19"/>
          <w:color w:val="auto"/>
        </w:rPr>
      </w:pPr>
    </w:p>
    <w:p>
      <w:pPr>
        <w:ind w:right="240" w:firstLine="629"/>
        <w:spacing w:after="0" w:line="277" w:lineRule="auto"/>
        <w:tabs>
          <w:tab w:leader="none" w:pos="1164" w:val="left"/>
        </w:tabs>
        <w:numPr>
          <w:ilvl w:val="2"/>
          <w:numId w:val="32"/>
        </w:numPr>
        <w:rPr>
          <w:rFonts w:ascii="Arial" w:cs="Arial" w:eastAsia="Arial" w:hAnsi="Arial"/>
          <w:sz w:val="17"/>
          <w:szCs w:val="17"/>
          <w:color w:val="auto"/>
        </w:rPr>
      </w:pPr>
      <w:r>
        <w:rPr>
          <w:rFonts w:ascii="Arial" w:cs="Arial" w:eastAsia="Arial" w:hAnsi="Arial"/>
          <w:sz w:val="17"/>
          <w:szCs w:val="17"/>
          <w:u w:val="single" w:color="auto"/>
          <w:color w:val="auto"/>
        </w:rPr>
        <w:t>Dispute Resolution; Consent to Jurisdiction</w:t>
      </w:r>
      <w:r>
        <w:rPr>
          <w:rFonts w:ascii="Arial" w:cs="Arial" w:eastAsia="Arial" w:hAnsi="Arial"/>
          <w:sz w:val="17"/>
          <w:szCs w:val="17"/>
          <w:color w:val="auto"/>
        </w:rPr>
        <w:t>. All disputes between or among any Persons arising out of or in any way connected with the Plan, this Agreement, the Restricted Shares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w:t>
      </w:r>
    </w:p>
    <w:p>
      <w:pPr>
        <w:spacing w:after="0" w:line="1" w:lineRule="exact"/>
        <w:rPr>
          <w:rFonts w:ascii="Arial" w:cs="Arial" w:eastAsia="Arial" w:hAnsi="Arial"/>
          <w:sz w:val="17"/>
          <w:szCs w:val="17"/>
          <w:color w:val="auto"/>
        </w:rPr>
      </w:pPr>
    </w:p>
    <w:p>
      <w:pPr>
        <w:ind w:right="240"/>
        <w:spacing w:after="0" w:line="286" w:lineRule="auto"/>
        <w:rPr>
          <w:rFonts w:ascii="Arial" w:cs="Arial" w:eastAsia="Arial" w:hAnsi="Arial"/>
          <w:sz w:val="17"/>
          <w:szCs w:val="17"/>
          <w:color w:val="auto"/>
        </w:rPr>
      </w:pPr>
      <w:r>
        <w:rPr>
          <w:rFonts w:ascii="Arial" w:cs="Arial" w:eastAsia="Arial" w:hAnsi="Arial"/>
          <w:sz w:val="17"/>
          <w:szCs w:val="17"/>
          <w:color w:val="auto"/>
        </w:rPr>
        <w:t>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91" w:lineRule="exact"/>
        <w:rPr>
          <w:rFonts w:ascii="Arial" w:cs="Arial" w:eastAsia="Arial" w:hAnsi="Arial"/>
          <w:sz w:val="17"/>
          <w:szCs w:val="17"/>
          <w:color w:val="auto"/>
        </w:rPr>
      </w:pPr>
    </w:p>
    <w:p>
      <w:pPr>
        <w:ind w:right="120" w:firstLine="629"/>
        <w:spacing w:after="0" w:line="248" w:lineRule="auto"/>
        <w:tabs>
          <w:tab w:leader="none" w:pos="1165" w:val="left"/>
        </w:tabs>
        <w:numPr>
          <w:ilvl w:val="2"/>
          <w:numId w:val="32"/>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ind w:right="560" w:firstLine="1"/>
        <w:spacing w:after="0" w:line="254" w:lineRule="auto"/>
        <w:tabs>
          <w:tab w:leader="none" w:pos="304" w:val="left"/>
        </w:tabs>
        <w:numPr>
          <w:ilvl w:val="1"/>
          <w:numId w:val="32"/>
        </w:numPr>
        <w:rPr>
          <w:rFonts w:ascii="Arial" w:cs="Arial" w:eastAsia="Arial" w:hAnsi="Arial"/>
          <w:sz w:val="19"/>
          <w:szCs w:val="19"/>
          <w:color w:val="auto"/>
        </w:rPr>
      </w:pPr>
      <w:r>
        <w:rPr>
          <w:rFonts w:ascii="Arial" w:cs="Arial" w:eastAsia="Arial" w:hAnsi="Arial"/>
          <w:sz w:val="19"/>
          <w:szCs w:val="19"/>
          <w:color w:val="auto"/>
        </w:rPr>
        <w:t>acknowledges that it and the other parties hereto have been induced to enter into this Agreement by, among other things, the mutual waivers and certifications in this section.</w:t>
      </w:r>
    </w:p>
    <w:p>
      <w:pPr>
        <w:spacing w:after="0" w:line="202" w:lineRule="exact"/>
        <w:rPr>
          <w:rFonts w:ascii="Arial" w:cs="Arial" w:eastAsia="Arial" w:hAnsi="Arial"/>
          <w:sz w:val="19"/>
          <w:szCs w:val="19"/>
          <w:color w:val="auto"/>
        </w:rPr>
      </w:pPr>
    </w:p>
    <w:p>
      <w:pPr>
        <w:ind w:left="-620" w:firstLine="620"/>
        <w:spacing w:after="0" w:line="258" w:lineRule="auto"/>
        <w:tabs>
          <w:tab w:leader="none" w:pos="543"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99" w:lineRule="exact"/>
        <w:rPr>
          <w:rFonts w:ascii="Arial" w:cs="Arial" w:eastAsia="Arial" w:hAnsi="Arial"/>
          <w:sz w:val="19"/>
          <w:szCs w:val="19"/>
          <w:color w:val="auto"/>
        </w:rPr>
      </w:pPr>
    </w:p>
    <w:p>
      <w:pPr>
        <w:ind w:left="-620" w:firstLine="620"/>
        <w:spacing w:after="0" w:line="279" w:lineRule="auto"/>
        <w:tabs>
          <w:tab w:leader="none" w:pos="54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95" w:lineRule="exact"/>
        <w:rPr>
          <w:rFonts w:ascii="Arial" w:cs="Arial" w:eastAsia="Arial" w:hAnsi="Arial"/>
          <w:sz w:val="18"/>
          <w:szCs w:val="18"/>
          <w:color w:val="auto"/>
        </w:rPr>
      </w:pPr>
    </w:p>
    <w:p>
      <w:pPr>
        <w:ind w:left="-620" w:right="160" w:firstLine="620"/>
        <w:spacing w:after="0" w:line="258" w:lineRule="auto"/>
        <w:tabs>
          <w:tab w:leader="none" w:pos="546"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Electronic Signature and Delivery</w:t>
      </w:r>
      <w:r>
        <w:rPr>
          <w:rFonts w:ascii="Arial" w:cs="Arial" w:eastAsia="Arial" w:hAnsi="Arial"/>
          <w:sz w:val="19"/>
          <w:szCs w:val="19"/>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411480</wp:posOffset>
            </wp:positionV>
            <wp:extent cx="141605" cy="166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1605" cy="166370"/>
                    </a:xfrm>
                    <a:prstGeom prst="rect">
                      <a:avLst/>
                    </a:prstGeom>
                    <a:noFill/>
                  </pic:spPr>
                </pic:pic>
              </a:graphicData>
            </a:graphic>
          </wp:anchor>
        </w:drawing>
      </w:r>
    </w:p>
    <w:p>
      <w:pPr>
        <w:sectPr>
          <w:pgSz w:w="11900" w:h="16838" w:orient="portrait"/>
          <w:cols w:equalWidth="0" w:num="1">
            <w:col w:w="10400"/>
          </w:cols>
          <w:pgMar w:left="1040" w:top="1315" w:right="459" w:bottom="1440" w:gutter="0" w:footer="0" w:header="0"/>
        </w:sectPr>
      </w:pPr>
    </w:p>
    <w:bookmarkStart w:id="86" w:name="page87"/>
    <w:bookmarkEnd w:id="86"/>
    <w:p>
      <w:pPr>
        <w:jc w:val="both"/>
        <w:ind w:right="60"/>
        <w:spacing w:after="0" w:line="313" w:lineRule="auto"/>
        <w:rPr>
          <w:sz w:val="20"/>
          <w:szCs w:val="20"/>
          <w:color w:val="auto"/>
        </w:rPr>
      </w:pPr>
      <w:r>
        <w:rPr>
          <w:rFonts w:ascii="Arial" w:cs="Arial" w:eastAsia="Arial" w:hAnsi="Arial"/>
          <w:sz w:val="17"/>
          <w:szCs w:val="17"/>
          <w:color w:val="auto"/>
        </w:rPr>
        <w:t>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 w:lineRule="exact"/>
        <w:rPr>
          <w:sz w:val="20"/>
          <w:szCs w:val="20"/>
          <w:color w:val="auto"/>
        </w:rPr>
      </w:pPr>
    </w:p>
    <w:p>
      <w:pPr>
        <w:ind w:firstLine="620"/>
        <w:spacing w:after="0" w:line="253" w:lineRule="auto"/>
        <w:tabs>
          <w:tab w:leader="none" w:pos="116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587375</wp:posOffset>
            </wp:positionV>
            <wp:extent cx="141605" cy="166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1605" cy="166370"/>
                    </a:xfrm>
                    <a:prstGeom prst="rect">
                      <a:avLst/>
                    </a:prstGeom>
                    <a:noFill/>
                  </pic:spPr>
                </pic:pic>
              </a:graphicData>
            </a:graphic>
          </wp:anchor>
        </w:drawing>
      </w:r>
    </w:p>
    <w:p>
      <w:pPr>
        <w:sectPr>
          <w:pgSz w:w="11900" w:h="16838" w:orient="portrait"/>
          <w:cols w:equalWidth="0" w:num="1">
            <w:col w:w="10900"/>
          </w:cols>
          <w:pgMar w:left="420" w:top="1315" w:right="579" w:bottom="1440" w:gutter="0" w:footer="0" w:header="0"/>
        </w:sectPr>
      </w:pPr>
    </w:p>
    <w:bookmarkStart w:id="87" w:name="page88"/>
    <w:bookmarkEnd w:id="87"/>
    <w:p>
      <w:pPr>
        <w:spacing w:after="0" w:line="5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IN WITNESS WHEREOF, this Agreement has been executed by the Company and the Participant as of the day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above.</w:t>
      </w:r>
    </w:p>
    <w:p>
      <w:pPr>
        <w:spacing w:after="0" w:line="237"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VIRTU FINANCIAL, INC.</w:t>
      </w:r>
    </w:p>
    <w:p>
      <w:pPr>
        <w:spacing w:after="0" w:line="208"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-6985</wp:posOffset>
            </wp:positionV>
            <wp:extent cx="10356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9"/>
          <w:szCs w:val="19"/>
          <w:color w:val="auto"/>
        </w:rPr>
        <w:t>Name: Robert Greifeld Title: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-10795</wp:posOffset>
            </wp:positionV>
            <wp:extent cx="10699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69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0"/>
        <w:spacing w:after="0"/>
        <w:rPr>
          <w:sz w:val="20"/>
          <w:szCs w:val="20"/>
          <w:color w:val="auto"/>
        </w:rPr>
      </w:pPr>
      <w:r>
        <w:rPr>
          <w:rFonts w:ascii="Arial" w:cs="Arial" w:eastAsia="Arial" w:hAnsi="Arial"/>
          <w:sz w:val="17"/>
          <w:szCs w:val="17"/>
          <w:i w:val="1"/>
          <w:iCs w:val="1"/>
          <w:color w:val="auto"/>
        </w:rPr>
        <w:t>[Signature Page to Restricted Stock Award Agreement]</w:t>
      </w:r>
    </w:p>
    <w:p>
      <w:pPr>
        <w:sectPr>
          <w:pgSz w:w="11900" w:h="16838" w:orient="portrait"/>
          <w:cols w:equalWidth="0" w:num="1">
            <w:col w:w="10380"/>
          </w:cols>
          <w:pgMar w:left="420" w:top="1440" w:right="1099" w:bottom="1440" w:gutter="0" w:footer="0" w:header="0"/>
        </w:sectPr>
      </w:pPr>
    </w:p>
    <w:bookmarkStart w:id="88" w:name="page89"/>
    <w:bookmarkEnd w:id="88"/>
    <w:p>
      <w:pPr>
        <w:jc w:val="right"/>
        <w:spacing w:after="0"/>
        <w:rPr>
          <w:sz w:val="20"/>
          <w:szCs w:val="20"/>
          <w:color w:val="auto"/>
        </w:rPr>
      </w:pPr>
      <w:r>
        <w:rPr>
          <w:rFonts w:ascii="Arial" w:cs="Arial" w:eastAsia="Arial" w:hAnsi="Arial"/>
          <w:sz w:val="17"/>
          <w:szCs w:val="17"/>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Douglas A. Cifu, certify that:</w:t>
      </w:r>
    </w:p>
    <w:p>
      <w:pPr>
        <w:spacing w:after="0" w:line="250" w:lineRule="exact"/>
        <w:rPr>
          <w:sz w:val="20"/>
          <w:szCs w:val="20"/>
          <w:color w:val="auto"/>
        </w:rPr>
      </w:pPr>
    </w:p>
    <w:p>
      <w:pPr>
        <w:ind w:left="640" w:right="360" w:hanging="321"/>
        <w:spacing w:after="0" w:line="289"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June 30, 2021 of Virtu Financial, Inc. (the “registrant”) as filed with the Securities and Exchange Commission on the date hereof;</w:t>
      </w:r>
    </w:p>
    <w:p>
      <w:pPr>
        <w:spacing w:after="0" w:line="184" w:lineRule="exact"/>
        <w:rPr>
          <w:rFonts w:ascii="Arial" w:cs="Arial" w:eastAsia="Arial" w:hAnsi="Arial"/>
          <w:sz w:val="17"/>
          <w:szCs w:val="17"/>
          <w:color w:val="auto"/>
        </w:rPr>
      </w:pPr>
    </w:p>
    <w:p>
      <w:pPr>
        <w:jc w:val="both"/>
        <w:ind w:left="640" w:right="460" w:hanging="321"/>
        <w:spacing w:after="0" w:line="273"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640" w:right="420" w:hanging="321"/>
        <w:spacing w:after="0" w:line="289"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40" w:hanging="321"/>
        <w:spacing w:after="0" w:line="273"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7"/>
          <w:szCs w:val="17"/>
          <w:color w:val="auto"/>
        </w:rPr>
      </w:pPr>
    </w:p>
    <w:p>
      <w:pPr>
        <w:ind w:left="1100" w:right="240" w:hanging="466"/>
        <w:spacing w:after="0" w:line="273" w:lineRule="auto"/>
        <w:tabs>
          <w:tab w:leader="none" w:pos="1097"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100" w:right="540" w:hanging="466"/>
        <w:spacing w:after="0" w:line="273" w:lineRule="auto"/>
        <w:tabs>
          <w:tab w:leader="none" w:pos="1094"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100" w:right="700" w:hanging="466"/>
        <w:spacing w:after="0" w:line="359" w:lineRule="auto"/>
        <w:tabs>
          <w:tab w:leader="none" w:pos="1097"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100" w:right="240" w:hanging="466"/>
        <w:spacing w:after="0" w:line="273" w:lineRule="auto"/>
        <w:tabs>
          <w:tab w:leader="none" w:pos="1094"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7"/>
          <w:szCs w:val="17"/>
          <w:color w:val="auto"/>
        </w:rPr>
      </w:pPr>
    </w:p>
    <w:p>
      <w:pPr>
        <w:ind w:left="640" w:right="340" w:hanging="321"/>
        <w:spacing w:after="0" w:line="322"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1100" w:right="140" w:hanging="466"/>
        <w:spacing w:after="0" w:line="289" w:lineRule="auto"/>
        <w:tabs>
          <w:tab w:leader="none" w:pos="1097"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100" w:right="100" w:hanging="466"/>
        <w:spacing w:after="0" w:line="281" w:lineRule="auto"/>
        <w:tabs>
          <w:tab w:leader="none" w:pos="1094"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7"/>
                <w:szCs w:val="17"/>
                <w:color w:val="auto"/>
              </w:rPr>
              <w:t>Date: August 4, 2021</w:t>
            </w:r>
          </w:p>
        </w:tc>
        <w:tc>
          <w:tcPr>
            <w:tcW w:w="2640" w:type="dxa"/>
            <w:vAlign w:val="bottom"/>
          </w:tcPr>
          <w:p>
            <w:pPr>
              <w:ind w:left="2040"/>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Douglas A. Cifu</w:t>
            </w:r>
          </w:p>
        </w:tc>
      </w:tr>
      <w:tr>
        <w:trPr>
          <w:trHeight w:val="216"/>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Douglas A. Cifu</w:t>
            </w:r>
          </w:p>
        </w:tc>
      </w:tr>
      <w:tr>
        <w:trPr>
          <w:trHeight w:val="223"/>
        </w:trPr>
        <w:tc>
          <w:tcPr>
            <w:tcW w:w="3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40"/>
          </w:cols>
          <w:pgMar w:left="320" w:top="86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CFO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Sean Galvin, certify that:</w:t>
      </w:r>
    </w:p>
    <w:p>
      <w:pPr>
        <w:spacing w:after="0" w:line="224" w:lineRule="exact"/>
        <w:rPr>
          <w:sz w:val="20"/>
          <w:szCs w:val="20"/>
          <w:color w:val="auto"/>
        </w:rPr>
      </w:pPr>
    </w:p>
    <w:p>
      <w:pPr>
        <w:ind w:left="640" w:right="360" w:hanging="321"/>
        <w:spacing w:after="0" w:line="289"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June 30, 2021 of Virtu Financial, Inc. (the “registrant”) as filed with the Securities and Exchange Commission on the date hereof;</w:t>
      </w:r>
    </w:p>
    <w:p>
      <w:pPr>
        <w:spacing w:after="0" w:line="184" w:lineRule="exact"/>
        <w:rPr>
          <w:rFonts w:ascii="Arial" w:cs="Arial" w:eastAsia="Arial" w:hAnsi="Arial"/>
          <w:sz w:val="17"/>
          <w:szCs w:val="17"/>
          <w:color w:val="auto"/>
        </w:rPr>
      </w:pPr>
    </w:p>
    <w:p>
      <w:pPr>
        <w:jc w:val="both"/>
        <w:ind w:left="640" w:right="460" w:hanging="321"/>
        <w:spacing w:after="0" w:line="273"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640" w:right="420" w:hanging="321"/>
        <w:spacing w:after="0" w:line="289"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40" w:hanging="321"/>
        <w:spacing w:after="0" w:line="273"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1100" w:right="240" w:hanging="466"/>
        <w:spacing w:after="0" w:line="273" w:lineRule="auto"/>
        <w:tabs>
          <w:tab w:leader="none" w:pos="1097"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100" w:right="540" w:hanging="466"/>
        <w:spacing w:after="0" w:line="273" w:lineRule="auto"/>
        <w:tabs>
          <w:tab w:leader="none" w:pos="1094"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100" w:right="700" w:hanging="466"/>
        <w:spacing w:after="0" w:line="359" w:lineRule="auto"/>
        <w:tabs>
          <w:tab w:leader="none" w:pos="1097" w:val="left"/>
        </w:tabs>
        <w:numPr>
          <w:ilvl w:val="1"/>
          <w:numId w:val="3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100" w:right="240" w:hanging="466"/>
        <w:spacing w:after="0" w:line="273" w:lineRule="auto"/>
        <w:tabs>
          <w:tab w:leader="none" w:pos="1094"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7"/>
          <w:szCs w:val="17"/>
          <w:color w:val="auto"/>
        </w:rPr>
      </w:pPr>
    </w:p>
    <w:p>
      <w:pPr>
        <w:ind w:left="640" w:right="340" w:hanging="321"/>
        <w:spacing w:after="0" w:line="322" w:lineRule="auto"/>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1100" w:right="140" w:hanging="466"/>
        <w:spacing w:after="0" w:line="289" w:lineRule="auto"/>
        <w:tabs>
          <w:tab w:leader="none" w:pos="1097"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100" w:right="100" w:hanging="466"/>
        <w:spacing w:after="0" w:line="281" w:lineRule="auto"/>
        <w:tabs>
          <w:tab w:leader="none" w:pos="1094"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7"/>
                <w:szCs w:val="17"/>
                <w:color w:val="auto"/>
              </w:rPr>
              <w:t>Date: August 4, 2021</w:t>
            </w:r>
          </w:p>
        </w:tc>
        <w:tc>
          <w:tcPr>
            <w:tcW w:w="2640" w:type="dxa"/>
            <w:vAlign w:val="bottom"/>
          </w:tcPr>
          <w:p>
            <w:pPr>
              <w:ind w:left="2060"/>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P. Galvin</w:t>
            </w:r>
          </w:p>
        </w:tc>
      </w:tr>
      <w:tr>
        <w:trPr>
          <w:trHeight w:val="216"/>
        </w:trPr>
        <w:tc>
          <w:tcPr>
            <w:tcW w:w="3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Sean Galvin</w:t>
            </w:r>
          </w:p>
        </w:tc>
      </w:tr>
      <w:tr>
        <w:trPr>
          <w:trHeight w:val="223"/>
        </w:trPr>
        <w:tc>
          <w:tcPr>
            <w:tcW w:w="35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6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connection with the Quarterly Report on Form 10-Q of Virtu Financial, Inc. (the “Company”) for the period ended June 30, 2021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97" w:lineRule="exact"/>
        <w:rPr>
          <w:sz w:val="20"/>
          <w:szCs w:val="20"/>
          <w:color w:val="auto"/>
        </w:rPr>
      </w:pPr>
    </w:p>
    <w:p>
      <w:pPr>
        <w:ind w:left="1280" w:hanging="175"/>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235" w:lineRule="exact"/>
        <w:rPr>
          <w:rFonts w:ascii="Arial" w:cs="Arial" w:eastAsia="Arial" w:hAnsi="Arial"/>
          <w:sz w:val="16"/>
          <w:szCs w:val="16"/>
          <w:color w:val="auto"/>
        </w:rPr>
      </w:pPr>
    </w:p>
    <w:p>
      <w:pPr>
        <w:ind w:left="1100" w:right="580" w:firstLine="5"/>
        <w:spacing w:after="0" w:line="289" w:lineRule="auto"/>
        <w:tabs>
          <w:tab w:leader="none" w:pos="127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16510</wp:posOffset>
            </wp:positionV>
            <wp:extent cx="34766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Douglas A. Cifu</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pacing w:after="0" w:line="25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Date: August 4, 2021</w:t>
      </w:r>
    </w:p>
    <w:p>
      <w:pPr>
        <w:sectPr>
          <w:pgSz w:w="11900" w:h="16838" w:orient="portrait"/>
          <w:cols w:equalWidth="0" w:num="1">
            <w:col w:w="11240"/>
          </w:cols>
          <w:pgMar w:left="320" w:top="86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2"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In connection with the Quarterly Report on Form 10-Q of Virtu Financial, Inc. (the “Company”) for the period ended June 30, 2021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spacing w:after="0" w:line="171" w:lineRule="exact"/>
        <w:rPr>
          <w:sz w:val="20"/>
          <w:szCs w:val="20"/>
          <w:color w:val="auto"/>
        </w:rPr>
      </w:pPr>
    </w:p>
    <w:p>
      <w:pPr>
        <w:ind w:left="1280" w:hanging="175"/>
        <w:spacing w:after="0"/>
        <w:tabs>
          <w:tab w:leader="none" w:pos="1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235" w:lineRule="exact"/>
        <w:rPr>
          <w:rFonts w:ascii="Arial" w:cs="Arial" w:eastAsia="Arial" w:hAnsi="Arial"/>
          <w:sz w:val="16"/>
          <w:szCs w:val="16"/>
          <w:color w:val="auto"/>
        </w:rPr>
      </w:pPr>
    </w:p>
    <w:p>
      <w:pPr>
        <w:ind w:left="1100" w:right="580" w:firstLine="5"/>
        <w:spacing w:after="0" w:line="289" w:lineRule="auto"/>
        <w:tabs>
          <w:tab w:leader="none" w:pos="127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16510</wp:posOffset>
            </wp:positionV>
            <wp:extent cx="34931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9313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Sean Galvin</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p>
      <w:pPr>
        <w:spacing w:after="0" w:line="25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Date: August 4, 2021</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lvl w:ilvl="1">
      <w:lvlJc w:val="left"/>
      <w:lvlText w:val="(%2)"/>
      <w:numFmt w:val="decimal"/>
      <w:start w:val="1"/>
    </w:lvl>
  </w:abstractNum>
  <w:abstractNum w:abstractNumId="13">
    <w:nsid w:val="4353D0CD"/>
    <w:multiLevelType w:val="hybridMultilevel"/>
    <w:lvl w:ilvl="0">
      <w:lvlJc w:val="left"/>
      <w:lvlText w:val="%1."/>
      <w:numFmt w:val="decimal"/>
      <w:start w:val="18"/>
    </w:lvl>
    <w:lvl w:ilvl="1">
      <w:lvlJc w:val="left"/>
      <w:lvlText w:val="%2"/>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lowerRoman"/>
      <w:start w:val="1"/>
    </w:lvl>
  </w:abstractNum>
  <w:abstractNum w:abstractNumId="22">
    <w:nsid w:val="8138641"/>
    <w:multiLevelType w:val="hybridMultilevel"/>
    <w:lvl w:ilvl="0">
      <w:lvlJc w:val="left"/>
      <w:lvlText w:val="(%1)"/>
      <w:numFmt w:val="lowerRoman"/>
      <w:start w:val="2"/>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lvl w:ilvl="1">
      <w:lvlJc w:val="left"/>
      <w:lvlText w:val="(%2)"/>
      <w:numFmt w:val="lowerLetter"/>
      <w:start w:val="1"/>
    </w:lvl>
  </w:abstractNum>
  <w:abstractNum w:abstractNumId="25">
    <w:nsid w:val="737B8DDC"/>
    <w:multiLevelType w:val="hybridMultilevel"/>
    <w:lvl w:ilvl="0">
      <w:lvlJc w:val="left"/>
      <w:lvlText w:val="(%1)"/>
      <w:numFmt w:val="lowerLetter"/>
      <w:start w:val="2"/>
    </w:lvl>
  </w:abstractNum>
  <w:abstractNum w:abstractNumId="26">
    <w:nsid w:val="6CEAF087"/>
    <w:multiLevelType w:val="hybridMultilevel"/>
    <w:lvl w:ilvl="0">
      <w:lvlJc w:val="left"/>
      <w:lvlText w:val="%1."/>
      <w:numFmt w:val="decimal"/>
      <w:start w:val="3"/>
    </w:lvl>
  </w:abstractNum>
  <w:abstractNum w:abstractNumId="27">
    <w:nsid w:val="22221A70"/>
    <w:multiLevelType w:val="hybridMultilevel"/>
    <w:lvl w:ilvl="0">
      <w:lvlJc w:val="left"/>
      <w:lvlText w:val="%1."/>
      <w:numFmt w:val="decimal"/>
      <w:start w:val="6"/>
    </w:lvl>
    <w:lvl w:ilvl="1">
      <w:lvlJc w:val="left"/>
      <w:lvlText w:val="(%2)"/>
      <w:numFmt w:val="lowerLetter"/>
      <w:start w:val="1"/>
    </w:lvl>
  </w:abstractNum>
  <w:abstractNum w:abstractNumId="28">
    <w:nsid w:val="4516DDE9"/>
    <w:multiLevelType w:val="hybridMultilevel"/>
    <w:lvl w:ilvl="0">
      <w:lvlJc w:val="left"/>
      <w:lvlText w:val="%1."/>
      <w:numFmt w:val="decimal"/>
      <w:start w:val="8"/>
    </w:lvl>
    <w:lvl w:ilvl="1">
      <w:lvlJc w:val="left"/>
      <w:lvlText w:val="(%2)"/>
      <w:numFmt w:val="lowerLetter"/>
      <w:start w:val="1"/>
    </w:lvl>
  </w:abstractNum>
  <w:abstractNum w:abstractNumId="29">
    <w:nsid w:val="3006C83E"/>
    <w:multiLevelType w:val="hybridMultilevel"/>
    <w:lvl w:ilvl="0">
      <w:lvlJc w:val="left"/>
      <w:lvlText w:val="(%1)"/>
      <w:numFmt w:val="lowerLetter"/>
      <w:start w:val="2"/>
    </w:lvl>
  </w:abstractNum>
  <w:abstractNum w:abstractNumId="30">
    <w:nsid w:val="614FD4A1"/>
    <w:multiLevelType w:val="hybridMultilevel"/>
    <w:lvl w:ilvl="0">
      <w:lvlJc w:val="left"/>
      <w:lvlText w:val="(%1)"/>
      <w:numFmt w:val="lowerLetter"/>
      <w:start w:val="8"/>
    </w:lvl>
  </w:abstractNum>
  <w:abstractNum w:abstractNumId="31">
    <w:nsid w:val="419AC241"/>
    <w:multiLevelType w:val="hybridMultilevel"/>
    <w:lvl w:ilvl="0">
      <w:lvlJc w:val="left"/>
      <w:lvlText w:val="(%1)"/>
      <w:numFmt w:val="lowerLetter"/>
      <w:start w:val="9"/>
    </w:lvl>
    <w:lvl w:ilvl="1">
      <w:lvlJc w:val="left"/>
      <w:lvlText w:val="(%2)"/>
      <w:numFmt w:val="upperLetter"/>
      <w:start w:val="1"/>
    </w:lvl>
    <w:lvl w:ilvl="2">
      <w:lvlJc w:val="left"/>
      <w:lvlText w:val="(%3)"/>
      <w:numFmt w:val="lowerRoman"/>
      <w:start w:val="1"/>
    </w:lvl>
  </w:abstractNum>
  <w:abstractNum w:abstractNumId="32">
    <w:nsid w:val="5577F8E1"/>
    <w:multiLevelType w:val="hybridMultilevel"/>
    <w:lvl w:ilvl="0">
      <w:lvlJc w:val="left"/>
      <w:lvlText w:val="(%1)"/>
      <w:numFmt w:val="lowerLetter"/>
      <w:start w:val="15"/>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2021-08-04T10:44:47Z</dcterms:created>
  <dcterms:modified xsi:type="dcterms:W3CDTF">2021-08-04T10:44:47Z</dcterms:modified>
</cp:coreProperties>
</file>