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240" w:after="283"/>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July 30, 2026</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VIRTU FINANCIAL,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893" w:type="dxa"/>
        <w:jc w:val="left"/>
        <w:tblInd w:w="0" w:type="dxa"/>
        <w:tblLayout w:type="fixed"/>
        <w:tblCellMar>
          <w:top w:w="28" w:type="dxa"/>
          <w:left w:w="28" w:type="dxa"/>
          <w:bottom w:w="28" w:type="dxa"/>
          <w:right w:w="28" w:type="dxa"/>
        </w:tblCellMar>
      </w:tblPr>
      <w:tblGrid>
        <w:gridCol w:w="815"/>
        <w:gridCol w:w="716"/>
        <w:gridCol w:w="718"/>
        <w:gridCol w:w="644"/>
        <w:gridCol w:w="644"/>
        <w:gridCol w:w="646"/>
        <w:gridCol w:w="501"/>
        <w:gridCol w:w="501"/>
        <w:gridCol w:w="708"/>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Delaware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0"/>
              </w:rPr>
              <w:t>of incorporation)</w:t>
            </w:r>
          </w:p>
        </w:tc>
        <w:tc>
          <w:tcPr>
            <w:tcW w:w="19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001-37352</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No.)</w:t>
            </w:r>
          </w:p>
        </w:tc>
        <w:tc>
          <w:tcPr>
            <w:tcW w:w="17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32-0420206</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0"/>
              </w:rPr>
              <w:t>Identification No.)</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1633 Broadway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NY 10019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(212) 418-0100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40"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28"/>
        <w:gridCol w:w="1322"/>
        <w:gridCol w:w="1340"/>
        <w:gridCol w:w="109"/>
        <w:gridCol w:w="109"/>
        <w:gridCol w:w="109"/>
        <w:gridCol w:w="546"/>
        <w:gridCol w:w="546"/>
        <w:gridCol w:w="548"/>
        <w:gridCol w:w="109"/>
        <w:gridCol w:w="109"/>
        <w:gridCol w:w="109"/>
        <w:gridCol w:w="1086"/>
        <w:gridCol w:w="1086"/>
        <w:gridCol w:w="1549"/>
      </w:tblGrid>
      <w:tr>
        <w:trPr/>
        <w:tc>
          <w:tcPr>
            <w:tcW w:w="152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ind w:left="0" w:right="0" w:hanging="144"/>
              <w:jc w:val="left"/>
              <w:rPr>
                <w:sz w:val="4"/>
                <w:szCs w:val="4"/>
              </w:rPr>
            </w:pPr>
            <w:r>
              <w:rPr>
                <w:sz w:val="4"/>
                <w:szCs w:val="4"/>
              </w:rPr>
            </w:r>
          </w:p>
        </w:tc>
      </w:tr>
      <w:tr>
        <w:trPr/>
        <w:tc>
          <w:tcPr>
            <w:tcW w:w="41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VIRT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30, 2026, Virtu Financial, Inc. (the “Company”) issued a press release setting forth its financial results for its quarter ended June 30, 2026. A copy of the Company's press release is attached as Exhibit 99.1 to this report. The Company does not intend for this Item 2.02 or Exhibit 99.1 to be deemed “filed” for purposes of Section 18 of the Securities Exchange Act of 1934, as amended, or to be incorporated by reference into filings under the Securities Act of 1933, as amended.</w:t>
      </w:r>
    </w:p>
    <w:p>
      <w:pPr>
        <w:pStyle w:val="TextBody"/>
        <w:bidi w:val="0"/>
        <w:spacing w:before="24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358"/>
        <w:gridCol w:w="315"/>
        <w:gridCol w:w="316"/>
        <w:gridCol w:w="109"/>
        <w:gridCol w:w="109"/>
        <w:gridCol w:w="109"/>
        <w:gridCol w:w="2596"/>
        <w:gridCol w:w="2596"/>
        <w:gridCol w:w="3697"/>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3697"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hibit991q226.htm">
              <w:r>
                <w:rPr>
                  <w:rStyle w:val="InternetLink"/>
                  <w:rFonts w:ascii="Times New Roman;serif" w:hAnsi="Times New Roman;serif"/>
                  <w:b w:val="false"/>
                  <w:color w:val="0000FF"/>
                  <w:sz w:val="20"/>
                  <w:u w:val="single"/>
                </w:rPr>
                <w:t>Press release of Virtu Financial, Inc., dated July 30, 2026 and furnished pursuant to Item 2.02, “Results of Operations and Financial Condition.”</w:t>
              </w:r>
            </w:hyperlink>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58"/>
        <w:gridCol w:w="315"/>
        <w:gridCol w:w="316"/>
        <w:gridCol w:w="109"/>
        <w:gridCol w:w="109"/>
        <w:gridCol w:w="109"/>
        <w:gridCol w:w="2596"/>
        <w:gridCol w:w="2596"/>
        <w:gridCol w:w="3697"/>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3697"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hibit991q226.htm">
              <w:r>
                <w:rPr>
                  <w:rStyle w:val="InternetLink"/>
                  <w:rFonts w:ascii="Times New Roman;serif" w:hAnsi="Times New Roman;serif"/>
                  <w:b w:val="false"/>
                  <w:color w:val="0000FF"/>
                  <w:sz w:val="20"/>
                  <w:u w:val="single"/>
                </w:rPr>
                <w:t>Press release of Virtu Financial, Inc., dated July 30, 2026 and furnished pursuant to Item 2.02, “Results of Operations and Financial Condition.”</w:t>
              </w:r>
            </w:hyperlink>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6510" w:type="dxa"/>
        <w:jc w:val="left"/>
        <w:tblInd w:w="0" w:type="dxa"/>
        <w:tblLayout w:type="fixed"/>
        <w:tblCellMar>
          <w:top w:w="28" w:type="dxa"/>
          <w:left w:w="28" w:type="dxa"/>
          <w:bottom w:w="28" w:type="dxa"/>
          <w:right w:w="28" w:type="dxa"/>
        </w:tblCellMar>
      </w:tblPr>
      <w:tblGrid>
        <w:gridCol w:w="124"/>
        <w:gridCol w:w="109"/>
        <w:gridCol w:w="109"/>
        <w:gridCol w:w="250"/>
        <w:gridCol w:w="250"/>
        <w:gridCol w:w="250"/>
        <w:gridCol w:w="281"/>
        <w:gridCol w:w="281"/>
        <w:gridCol w:w="281"/>
        <w:gridCol w:w="1323"/>
        <w:gridCol w:w="1323"/>
        <w:gridCol w:w="19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VIRTU FINANCIAL,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54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JUSTIN WALDIE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5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Justin Waldie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Secretary and General Counsel</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Dated: July 30,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drawing>
          <wp:inline distT="0" distB="0" distL="0" distR="0">
            <wp:extent cx="1952625" cy="6667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952625" cy="6667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before="0" w:after="0"/>
        <w:jc w:val="center"/>
        <w:rPr>
          <w:rFonts w:ascii="Arial;sans-serif" w:hAnsi="Arial;sans-serif"/>
          <w:b/>
          <w:color w:val="000000"/>
          <w:sz w:val="28"/>
        </w:rPr>
      </w:pPr>
      <w:r>
        <w:rPr>
          <w:rFonts w:ascii="Arial;sans-serif" w:hAnsi="Arial;sans-serif"/>
          <w:b/>
          <w:color w:val="000000"/>
          <w:sz w:val="28"/>
        </w:rPr>
        <w:t>Virtu Announces Second Quarter 2026 Results</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NEW YORK, NY, July 30, 2026 - Virtu Financial, Inc. (NYSE: VIRT), a leading provider of financial services and products that leverages cutting edge technology to deliver innovative, transparent trading solutions to its clients and liquidity to the global markets, today reported results for the second quarter ended June 30, 2026.</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0"/>
        </w:rPr>
      </w:pPr>
      <w:r>
        <w:rPr>
          <w:rFonts w:ascii="Arial;sans-serif" w:hAnsi="Arial;sans-serif"/>
          <w:b w:val="false"/>
          <w:i/>
          <w:color w:val="000000"/>
          <w:sz w:val="20"/>
        </w:rPr>
        <w:t>Second Quarter 2026:</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Net income of $284.9 million; Normalized Adjusted Net Income</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$291.5 million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Basic and diluted earnings per share of $1.63; Normalized Adjusted EPS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of $1.82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Total revenues of $1,190.0 million; Trading income, net, of $856.7 million; Net income Margin of 23.9%</w:t>
      </w:r>
      <w:r>
        <w:rPr>
          <w:rFonts w:ascii="Arial;sans-serif" w:hAnsi="Arial;sans-serif"/>
          <w:b w:val="false"/>
          <w:color w:val="000000"/>
          <w:sz w:val="13"/>
        </w:rPr>
        <w:t>2</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Adjusted Net Trading Income</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$717.9 million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Adjusted EBITDA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$436.8 million; Adjusted EBITDA Margin</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60.8%</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Virtu Financial, Inc. Board of Directors declared a quarterly cash dividend of $0.24 per share. This dividend is payable on September 15, 2026 to shareholders of record as of September 1,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4"/>
        </w:rPr>
      </w:pPr>
      <w:r>
        <w:rPr>
          <w:rFonts w:ascii="Arial;sans-serif" w:hAnsi="Arial;sans-serif"/>
          <w:b w:val="false"/>
          <w:color w:val="000000"/>
          <w:sz w:val="14"/>
        </w:rPr>
        <w:t>Note 1: Non-GAAP financial measures. Please see "Non-GAAP Financial Measures and Other Items" for more information.</w:t>
      </w:r>
    </w:p>
    <w:p>
      <w:pPr>
        <w:pStyle w:val="TextBody"/>
        <w:bidi w:val="0"/>
        <w:spacing w:lineRule="auto" w:line="288" w:before="0" w:after="0"/>
        <w:jc w:val="both"/>
        <w:rPr>
          <w:rFonts w:ascii="Arial;sans-serif" w:hAnsi="Arial;sans-serif"/>
          <w:b w:val="false"/>
          <w:color w:val="000000"/>
          <w:sz w:val="14"/>
        </w:rPr>
      </w:pPr>
      <w:r>
        <w:rPr>
          <w:rFonts w:ascii="Arial;sans-serif" w:hAnsi="Arial;sans-serif"/>
          <w:b w:val="false"/>
          <w:color w:val="000000"/>
          <w:sz w:val="14"/>
        </w:rPr>
        <w:t>Note 2: Calculated by dividing Net income by Total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310"/>
                <wp:effectExtent l="0" t="0" r="0" b="0"/>
                <wp:wrapNone/>
                <wp:docPr id="6" name="Frame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1</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952625" cy="66675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952625" cy="6667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Financial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Second Quarter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Total revenues increased 19.0% to $1,190.0 million for this quarter, compared to $999.6 million for the same period in 2025. Trading income, net, increased 31.2% to $856.7 million for the quarter compared to $652.8 million for the same period in 2025. Net income totaled $284.9 million for this quarter, compared to net income of $293.0 million in the prior year quarter.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Basic and diluted earnings per share for this quarter were $1.63, compared to basic and diluted earnings per share of $1.65 for the same period in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Adjusted Net Trading Income increased 26.4% to $717.9 million for this quarter, compared to $567.7 million for the same period in 2025. Adjusted EBITDA increased 18.2% to $436.8 million for this quarter, compared to $369.4 million for the same period in 2025. Normalized Adjusted Net Income increased 19.4% to $291.5 million for this quarter, compared to $244.2 million for the same period in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Assuming all non-controlling interests had been exchanged for common stock, and the Company’s Normalized Adjusted Net Income before income taxes was subject to corporation taxes, Normalized Adjusted EPS was $1.82 for this quarter, compared to $1.53 for the same period in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Operating Segment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two operating segments: Market Making and Execution Services; and one non-operating segment: Corporate.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Market Making principally consists of market making in the cash, futures and options markets across global equities, fixed income, currencies, cryptocurrencies, and commodities. As a market maker, the Company commits capital on a principal basis by offering to buy securities from, or sell securities to, broker dealers, banks and institutions.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Execution Services comprises agency-based trading and trading venues, offering execution services in global equities, options, futures and fixed income on behalf of institutions, banks and broker dealers. The Company also provides proprietary technology and infrastructure, workflow technology, and trading analytics services to select third parties. The segment also includes the results of the Company's capital markets business, in which the Company acts as an agent for issuers in connection with at-the-market offerings and buyback programs.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Corporate contains the Company's investments, principally in strategic trading-related opportunities, and maintains corporate overhead expenses.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tables show the trading income, net, total revenues and Adjusted Net Trading Income by segment for the three and six months ended June 30, 2026 and 2025.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Total revenues by segment</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(in thousands, unaudited)</w:t>
      </w:r>
    </w:p>
    <w:tbl>
      <w:tblPr>
        <w:tblW w:w="11170" w:type="dxa"/>
        <w:jc w:val="center"/>
        <w:tblInd w:w="0" w:type="dxa"/>
        <w:tblLayout w:type="fixed"/>
        <w:tblCellMar>
          <w:top w:w="28" w:type="dxa"/>
          <w:left w:w="28" w:type="dxa"/>
          <w:bottom w:w="28" w:type="dxa"/>
          <w:right w:w="28" w:type="dxa"/>
        </w:tblCellMar>
      </w:tblPr>
      <w:tblGrid>
        <w:gridCol w:w="482"/>
        <w:gridCol w:w="301"/>
        <w:gridCol w:w="193"/>
        <w:gridCol w:w="109"/>
        <w:gridCol w:w="109"/>
        <w:gridCol w:w="109"/>
        <w:gridCol w:w="181"/>
        <w:gridCol w:w="781"/>
        <w:gridCol w:w="109"/>
        <w:gridCol w:w="109"/>
        <w:gridCol w:w="109"/>
        <w:gridCol w:w="109"/>
        <w:gridCol w:w="181"/>
        <w:gridCol w:w="661"/>
        <w:gridCol w:w="109"/>
        <w:gridCol w:w="109"/>
        <w:gridCol w:w="109"/>
        <w:gridCol w:w="109"/>
        <w:gridCol w:w="181"/>
        <w:gridCol w:w="511"/>
        <w:gridCol w:w="109"/>
        <w:gridCol w:w="109"/>
        <w:gridCol w:w="109"/>
        <w:gridCol w:w="109"/>
        <w:gridCol w:w="181"/>
        <w:gridCol w:w="781"/>
        <w:gridCol w:w="109"/>
        <w:gridCol w:w="109"/>
        <w:gridCol w:w="109"/>
        <w:gridCol w:w="109"/>
        <w:gridCol w:w="181"/>
        <w:gridCol w:w="661"/>
        <w:gridCol w:w="109"/>
        <w:gridCol w:w="109"/>
        <w:gridCol w:w="109"/>
        <w:gridCol w:w="109"/>
        <w:gridCol w:w="181"/>
        <w:gridCol w:w="661"/>
        <w:gridCol w:w="109"/>
        <w:gridCol w:w="109"/>
        <w:gridCol w:w="109"/>
        <w:gridCol w:w="109"/>
        <w:gridCol w:w="181"/>
        <w:gridCol w:w="496"/>
        <w:gridCol w:w="109"/>
        <w:gridCol w:w="109"/>
        <w:gridCol w:w="109"/>
        <w:gridCol w:w="109"/>
        <w:gridCol w:w="181"/>
        <w:gridCol w:w="661"/>
        <w:gridCol w:w="154"/>
      </w:tblGrid>
      <w:tr>
        <w:trPr/>
        <w:tc>
          <w:tcPr>
            <w:tcW w:w="4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 2025</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849,402 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856,691 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647,344 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652,796 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1,009,174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173,461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7,318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1,189,953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786,593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214,488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(1,508)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999,573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310"/>
                <wp:effectExtent l="0" t="0" r="0" b="0"/>
                <wp:wrapNone/>
                <wp:docPr id="8" name="Frame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2</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952625" cy="66675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1952625" cy="666750"/>
                    </a:xfrm>
                    <a:prstGeom prst="rect">
                      <a:avLst/>
                    </a:prstGeom>
                  </pic:spPr>
                </pic:pic>
              </a:graphicData>
            </a:graphic>
          </wp:inline>
        </w:drawing>
      </w:r>
    </w:p>
    <w:p>
      <w:pPr>
        <w:pStyle w:val="TextBody"/>
        <w:bidi w:val="0"/>
        <w:spacing w:before="0" w:after="0"/>
        <w:jc w:val="left"/>
        <w:rPr/>
      </w:pPr>
      <w:r>
        <w:rPr/>
      </w:r>
    </w:p>
    <w:tbl>
      <w:tblPr>
        <w:tblW w:w="11360" w:type="dxa"/>
        <w:jc w:val="center"/>
        <w:tblInd w:w="0" w:type="dxa"/>
        <w:tblLayout w:type="fixed"/>
        <w:tblCellMar>
          <w:top w:w="28" w:type="dxa"/>
          <w:left w:w="28" w:type="dxa"/>
          <w:bottom w:w="28" w:type="dxa"/>
          <w:right w:w="28" w:type="dxa"/>
        </w:tblCellMar>
      </w:tblPr>
      <w:tblGrid>
        <w:gridCol w:w="482"/>
        <w:gridCol w:w="301"/>
        <w:gridCol w:w="193"/>
        <w:gridCol w:w="109"/>
        <w:gridCol w:w="109"/>
        <w:gridCol w:w="109"/>
        <w:gridCol w:w="181"/>
        <w:gridCol w:w="781"/>
        <w:gridCol w:w="109"/>
        <w:gridCol w:w="109"/>
        <w:gridCol w:w="109"/>
        <w:gridCol w:w="109"/>
        <w:gridCol w:w="181"/>
        <w:gridCol w:w="661"/>
        <w:gridCol w:w="109"/>
        <w:gridCol w:w="109"/>
        <w:gridCol w:w="109"/>
        <w:gridCol w:w="109"/>
        <w:gridCol w:w="191"/>
        <w:gridCol w:w="429"/>
        <w:gridCol w:w="116"/>
        <w:gridCol w:w="109"/>
        <w:gridCol w:w="109"/>
        <w:gridCol w:w="109"/>
        <w:gridCol w:w="181"/>
        <w:gridCol w:w="781"/>
        <w:gridCol w:w="109"/>
        <w:gridCol w:w="109"/>
        <w:gridCol w:w="109"/>
        <w:gridCol w:w="109"/>
        <w:gridCol w:w="181"/>
        <w:gridCol w:w="781"/>
        <w:gridCol w:w="109"/>
        <w:gridCol w:w="109"/>
        <w:gridCol w:w="109"/>
        <w:gridCol w:w="109"/>
        <w:gridCol w:w="181"/>
        <w:gridCol w:w="661"/>
        <w:gridCol w:w="109"/>
        <w:gridCol w:w="109"/>
        <w:gridCol w:w="109"/>
        <w:gridCol w:w="109"/>
        <w:gridCol w:w="181"/>
        <w:gridCol w:w="511"/>
        <w:gridCol w:w="109"/>
        <w:gridCol w:w="109"/>
        <w:gridCol w:w="109"/>
        <w:gridCol w:w="109"/>
        <w:gridCol w:w="181"/>
        <w:gridCol w:w="781"/>
        <w:gridCol w:w="154"/>
      </w:tblGrid>
      <w:tr>
        <w:trPr/>
        <w:tc>
          <w:tcPr>
            <w:tcW w:w="4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 2025</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1,631,821 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1,645,837 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1,229,966 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1,242,779 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366,170 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273,440 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305,166 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268,384 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273,404 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1,924,871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360,592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(183)</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2,285,280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1,477,765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355,496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4,181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1,837,442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Reconciliation of trading income, net to Adjusted Net Trading Income by operating segment</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(in thousands, unaudited)</w:t>
      </w:r>
    </w:p>
    <w:tbl>
      <w:tblPr>
        <w:tblW w:w="10815" w:type="dxa"/>
        <w:jc w:val="center"/>
        <w:tblInd w:w="0" w:type="dxa"/>
        <w:tblLayout w:type="fixed"/>
        <w:tblCellMar>
          <w:top w:w="28" w:type="dxa"/>
          <w:left w:w="28" w:type="dxa"/>
          <w:bottom w:w="28" w:type="dxa"/>
          <w:right w:w="28" w:type="dxa"/>
        </w:tblCellMar>
      </w:tblPr>
      <w:tblGrid>
        <w:gridCol w:w="482"/>
        <w:gridCol w:w="301"/>
        <w:gridCol w:w="193"/>
        <w:gridCol w:w="109"/>
        <w:gridCol w:w="109"/>
        <w:gridCol w:w="109"/>
        <w:gridCol w:w="181"/>
        <w:gridCol w:w="661"/>
        <w:gridCol w:w="109"/>
        <w:gridCol w:w="109"/>
        <w:gridCol w:w="109"/>
        <w:gridCol w:w="109"/>
        <w:gridCol w:w="181"/>
        <w:gridCol w:w="661"/>
        <w:gridCol w:w="109"/>
        <w:gridCol w:w="109"/>
        <w:gridCol w:w="109"/>
        <w:gridCol w:w="109"/>
        <w:gridCol w:w="191"/>
        <w:gridCol w:w="429"/>
        <w:gridCol w:w="116"/>
        <w:gridCol w:w="109"/>
        <w:gridCol w:w="109"/>
        <w:gridCol w:w="109"/>
        <w:gridCol w:w="181"/>
        <w:gridCol w:w="661"/>
        <w:gridCol w:w="109"/>
        <w:gridCol w:w="109"/>
        <w:gridCol w:w="109"/>
        <w:gridCol w:w="109"/>
        <w:gridCol w:w="181"/>
        <w:gridCol w:w="661"/>
        <w:gridCol w:w="109"/>
        <w:gridCol w:w="109"/>
        <w:gridCol w:w="109"/>
        <w:gridCol w:w="109"/>
        <w:gridCol w:w="181"/>
        <w:gridCol w:w="661"/>
        <w:gridCol w:w="109"/>
        <w:gridCol w:w="109"/>
        <w:gridCol w:w="109"/>
        <w:gridCol w:w="109"/>
        <w:gridCol w:w="191"/>
        <w:gridCol w:w="429"/>
        <w:gridCol w:w="116"/>
        <w:gridCol w:w="109"/>
        <w:gridCol w:w="109"/>
        <w:gridCol w:w="109"/>
        <w:gridCol w:w="181"/>
        <w:gridCol w:w="661"/>
        <w:gridCol w:w="154"/>
      </w:tblGrid>
      <w:tr>
        <w:trPr/>
        <w:tc>
          <w:tcPr>
            <w:tcW w:w="4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 2025</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849,402 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856,691 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647,344 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652,796 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(258,986)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(165,213)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Adjusted Net Trading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579,871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137,999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717,870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451,469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116,254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567,723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280" w:type="dxa"/>
        <w:jc w:val="center"/>
        <w:tblInd w:w="0" w:type="dxa"/>
        <w:tblLayout w:type="fixed"/>
        <w:tblCellMar>
          <w:top w:w="28" w:type="dxa"/>
          <w:left w:w="28" w:type="dxa"/>
          <w:bottom w:w="28" w:type="dxa"/>
          <w:right w:w="28" w:type="dxa"/>
        </w:tblCellMar>
      </w:tblPr>
      <w:tblGrid>
        <w:gridCol w:w="482"/>
        <w:gridCol w:w="301"/>
        <w:gridCol w:w="193"/>
        <w:gridCol w:w="109"/>
        <w:gridCol w:w="109"/>
        <w:gridCol w:w="109"/>
        <w:gridCol w:w="181"/>
        <w:gridCol w:w="781"/>
        <w:gridCol w:w="109"/>
        <w:gridCol w:w="109"/>
        <w:gridCol w:w="109"/>
        <w:gridCol w:w="109"/>
        <w:gridCol w:w="181"/>
        <w:gridCol w:w="661"/>
        <w:gridCol w:w="109"/>
        <w:gridCol w:w="109"/>
        <w:gridCol w:w="109"/>
        <w:gridCol w:w="109"/>
        <w:gridCol w:w="191"/>
        <w:gridCol w:w="429"/>
        <w:gridCol w:w="116"/>
        <w:gridCol w:w="109"/>
        <w:gridCol w:w="109"/>
        <w:gridCol w:w="109"/>
        <w:gridCol w:w="181"/>
        <w:gridCol w:w="781"/>
        <w:gridCol w:w="109"/>
        <w:gridCol w:w="109"/>
        <w:gridCol w:w="109"/>
        <w:gridCol w:w="109"/>
        <w:gridCol w:w="181"/>
        <w:gridCol w:w="766"/>
        <w:gridCol w:w="109"/>
        <w:gridCol w:w="109"/>
        <w:gridCol w:w="109"/>
        <w:gridCol w:w="109"/>
        <w:gridCol w:w="181"/>
        <w:gridCol w:w="661"/>
        <w:gridCol w:w="109"/>
        <w:gridCol w:w="109"/>
        <w:gridCol w:w="109"/>
        <w:gridCol w:w="109"/>
        <w:gridCol w:w="191"/>
        <w:gridCol w:w="429"/>
        <w:gridCol w:w="116"/>
        <w:gridCol w:w="109"/>
        <w:gridCol w:w="109"/>
        <w:gridCol w:w="109"/>
        <w:gridCol w:w="181"/>
        <w:gridCol w:w="781"/>
        <w:gridCol w:w="154"/>
      </w:tblGrid>
      <w:tr>
        <w:trPr/>
        <w:tc>
          <w:tcPr>
            <w:tcW w:w="4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 2025</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1,631,821 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1,645,837 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1,229,966 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1,242,779 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366,170 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273,440 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305,166 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268,384 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273,404 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(328,573)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(397,814)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(366,614)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(424,000)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(379,323)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(383,193)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(296,541)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Adjusted Net Trading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1,216,928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287,476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1,504,404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833,487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231,376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1,064,863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Financial Condition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June 30, 2026, Virtu had $1,133.0 million in cash, cash equivalents and restricted cash, and total long-term debt outstanding in an aggregate principal amount of $2,051.1 million.</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Earnings Conference Call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Virtu Financial will host a conference call to review its second quarter 2026 financial performance today, July 30th, 2026, at 7:00 a.m. ET. Members of the public may listen to the conference call through an audio webcast through the Investor Relations section of the firm’s website ir.virtu.com/investor-relations.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Website Information</w:t>
      </w:r>
    </w:p>
    <w:p>
      <w:pPr>
        <w:pStyle w:val="TextBody"/>
        <w:bidi w:val="0"/>
        <w:spacing w:before="0" w:after="0"/>
        <w:jc w:val="left"/>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We routinely post important information for investors on the Investor Relations section of our website, ir.virtu.com/investor-relations and also from time to time may use social media channels, including our X account (x.com/virtufinancial) and our LinkedIn account (linkedin.com/company/virtu-financial), as an additional means of disclosing public information to investors, the media and others interested in us. It is possible that certain information we post on our website and on social media could be deemed to be material information, and we encourage investors, the media and others interested in us to review the business and financial information we post on our website and on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310"/>
                <wp:effectExtent l="0" t="0" r="0" b="0"/>
                <wp:wrapNone/>
                <wp:docPr id="10" name="Frame7"/>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3</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952625" cy="66675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1952625" cy="6667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social media channels identified above, in addition to following our press releases, SEC filings, public conference calls, presentations and webcasts. The information contained on, or that may be accessed through, our website and our social media channels is not incorporated by reference into, and is not a part of, this document.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310"/>
                <wp:effectExtent l="0" t="0" r="0" b="0"/>
                <wp:wrapNone/>
                <wp:docPr id="12" name="Frame8"/>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4</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952625" cy="66675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1952625" cy="6667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Non-GAAP Financial Measures and Other Items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supplement our unaudited condensed consolidated financial statements presented in accordance with generally accepted accounting principles ("GAAP"), we use the following non-GAAP measures of financial performance: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Adjusted Net Trading Income”, which is the amount of revenue we generate from our market making activities, or trading income, net, plus commissions, net and technology services, plus interest and dividends income and expense, net, less direct costs associated with those revenues, including brokerage, exchange, clearance fees and payments for order flow, net. Management believes that this measurement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core business activities.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EBITDA”, which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which measures our operating performance by further adjusting EBITDA to exclude severance, transaction advisory fees and expenses, termination of office leases, charges related to share-based compensation and other expenses, which includes reserves for legal matters, and Other, net, which includes gains and losses from strategic investments and the sales of businesses.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Normalized Adjusted Net Income”, “Normalized Adjusted Net Income before income taxes”, “Normalized provision for income taxes”, and “Normalized Adjusted EPS”, which we calculate by adjusting Net Income to exclude certain items, and other non-cash items, assuming that all vested and unvested Virtu Financial Units have been exchanged for Class A Common Stock, and applying an effective tax rate, which was approximately 24%.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Adjusted Net Trading Income, EBITDA, Adjusted EBITDA, Normalized Adjusted Net Income, Normalized Adjusted Net Income before income taxes, Normalized provision for income taxes, and Normalized Adjusted EPS are non-GAAP financial measures used by management in evaluating operating performance and in making strategic decisions. Additional information provided regarding the breakdown of Total Adjusted Net Trading Income by category is also a non-GAAP financial measure but is not used by the Company in evaluating operating performance and in making strategic decisions. In addition, these non-GAAP financial measures or similar non-GAAP measures are used by research analysts, investment bankers and lenders to assess our operating performance. Management believes that the presentation of Adjusted Net Trading Income, EBITDA, Adjusted EBITDA, Normalized Adjusted Net Income, Normalized Adjusted Net Income before income taxes, Normalized provision for income taxes and Normalized Adjusted EPS provide useful information to investors regarding our results of operations because they assist both investors and management in analyzing and benchmarking the performance and value of our business. Adjusted Net Trading Income, EBITDA, Adjusted EBITDA, Normalized Adjusted Net Income, Normalized Adjusted Net Income before income taxes, Normalized provision for income taxes and Normalized Adjusted EPS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tests based on metrics similar to Adjusted EBITDA. Other companies may define Adjusted Net Trading Income, Adjusted EBITDA, Normalized Adjusted Net Income, Normalized Adjusted Net Income before income taxes, Normalized provision for income taxes and Normalized Adjusted EPS differently, and as a result our measures of Adjusted Net Trading Income, Adjusted EBITDA, Normalized Adjusted Net Income, Normalized Adjusted Net Income before income taxes, Normalized provision for income taxes and Normalized Adjusted EPS may not be directly comparable to those of other companies. Although we use these non-GAAP financial measures as financial measures to assess the performance of our business, such use is limited because they do not include certain material costs necessary to operate our business.</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310"/>
                <wp:effectExtent l="0" t="0" r="0" b="0"/>
                <wp:wrapNone/>
                <wp:docPr id="14" name="Frame9"/>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5</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952625" cy="66675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1952625" cy="6667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Adjusted Net Trading Income, EBITDA, Adjusted EBITDA, Normalized Adjusted Net Income before income taxes, Normalized provision for income taxes, Normalized Adjusted Net Income and Normalized Adjusted EPS should be considered in addition to, and not as a substitute for, Net Income in accordance with U.S. GAAP as a measure of performance. Our presentation of Adjusted Net Trading Income, EBITDA, Adjusted EBITDA, Normalized Adjusted Net Income, Normalized Adjusted Net Income before income taxes, Normalized provision for income taxes and Normalized Adjusted EPS should not be construed as an indication that our future results will be unaffected by unusual or nonrecurring items. Adjusted Net Trading Income, Normalized Adjusted Net Income, Normalized Adjusted Net Income before income taxes, Normalized provision for income taxes, Normalized Adjusted EPS and our EBITDA-based measures have limitations as analytical tools, and you should not consider them in isolation or as substitutes for analysis of our results as reported under U.S. GAAP. Some of these limitations are: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they do not reflect every cash expenditure, future requirements for capital expenditures or contractual commitments;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EBITDA-based measures do not reflect the significant interest expense or the cash requirements necessary to service interest or principal payment on our debt;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they are not adjusted for all non-cash income or expense items that are reflected in our statements of cash flows;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they do not reflect the impact of earnings or charges resulting from matters we consider not to be indicative of our ongoing operations;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they do not reflect limitations on our costs related to transferring earnings from our subsidiaries to us.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Because of these limitations, Adjusted Net Trading Income, EBITDA, Adjusted EBITDA, Normalized Adjusted Net Income before income taxes, Normalized provision for income taxes, Normalized Adjusted Net Income and Normalized Adjusted EPS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Adjusted Net Trading Income, EBITDA, Adjusted EBITDA, Normalized Adjusted Net Income before income taxes, Normalized provision for income taxes, Normalized Adjusted Net Income and Normalized Adjusted EPS along with other comparative tools, together with U.S. GAAP measurements, to assist in the evaluation of operating performance. These U.S. GAAP measurements include Net Income, cash flows from operations and cash flow data. See below a reconciliation of each non-GAAP measure to the most directly comparable GAAP measure.</w:t>
      </w:r>
    </w:p>
    <w:p>
      <w:pPr>
        <w:pStyle w:val="TextBody"/>
        <w:bidi w:val="0"/>
        <w:spacing w:before="0" w:after="0"/>
        <w:jc w:val="left"/>
        <w:rPr/>
      </w:pPr>
      <w:r>
        <w:rPr/>
      </w:r>
    </w:p>
    <w:p>
      <w:pPr>
        <w:pStyle w:val="TextBody"/>
        <w:bidi w:val="0"/>
        <w:jc w:val="both"/>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310"/>
                <wp:effectExtent l="0" t="0" r="0" b="0"/>
                <wp:wrapNone/>
                <wp:docPr id="16" name="Frame10"/>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6</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952625" cy="66675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1952625" cy="6667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Virtu Financial, Inc. and Subsidiaries</w: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Condensed Consolidated Statements of Comprehensive Income (Unaudited)</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630"/>
        <w:gridCol w:w="1362"/>
        <w:gridCol w:w="1366"/>
        <w:gridCol w:w="109"/>
        <w:gridCol w:w="109"/>
        <w:gridCol w:w="109"/>
        <w:gridCol w:w="202"/>
        <w:gridCol w:w="759"/>
        <w:gridCol w:w="109"/>
        <w:gridCol w:w="109"/>
        <w:gridCol w:w="109"/>
        <w:gridCol w:w="109"/>
        <w:gridCol w:w="202"/>
        <w:gridCol w:w="759"/>
        <w:gridCol w:w="109"/>
        <w:gridCol w:w="109"/>
        <w:gridCol w:w="109"/>
        <w:gridCol w:w="109"/>
        <w:gridCol w:w="196"/>
        <w:gridCol w:w="871"/>
        <w:gridCol w:w="109"/>
        <w:gridCol w:w="109"/>
        <w:gridCol w:w="109"/>
        <w:gridCol w:w="109"/>
        <w:gridCol w:w="196"/>
        <w:gridCol w:w="871"/>
        <w:gridCol w:w="156"/>
      </w:tblGrid>
      <w:tr>
        <w:trPr/>
        <w:tc>
          <w:tcPr>
            <w:tcW w:w="1630"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4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856,691 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1,645,837 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1,242,779 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237,459 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305,166 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1,189,953 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999,573 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2,285,280 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1,837,442 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Communication and data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121,238 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compensation and payroll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255,537 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296,541 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Operations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purchased intangibles and acquired 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Termination of office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issue cost related to debt refinancing, prepayment and commitment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Transaction advisory fees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interest expense on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847,396 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1,533,151 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1,266,686 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570,756 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482,611 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(231,743)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available for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250,868 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87,603,606 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85,490,121 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86,852,837 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85,585,040 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87,603,606 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85,530,426 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86,852,837 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85,794,619 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482,611 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translation adjustment,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unrealized cash flow hedges gain (loss),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Comprehensive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498,878 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Comprehensive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(238,714)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available for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158,974 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330,383 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260,164 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310"/>
                <wp:effectExtent l="0" t="0" r="0" b="0"/>
                <wp:wrapNone/>
                <wp:docPr id="18" name="Frame11"/>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7</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952625" cy="66675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1952625" cy="6667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before="100" w:after="283"/>
        <w:jc w:val="center"/>
        <w:rPr>
          <w:rFonts w:ascii="Arial;sans-serif" w:hAnsi="Arial;sans-serif"/>
          <w:b/>
          <w:color w:val="000000"/>
          <w:sz w:val="24"/>
        </w:rPr>
      </w:pPr>
      <w:r>
        <w:rPr>
          <w:rFonts w:ascii="Arial;sans-serif" w:hAnsi="Arial;sans-serif"/>
          <w:b/>
          <w:color w:val="000000"/>
          <w:sz w:val="24"/>
        </w:rPr>
        <w:t>Virtu Financial, Inc. and Subsidiaries</w: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Reconciliation to Non-GAAP Operating Data (Unaudited)</w:t>
      </w:r>
    </w:p>
    <w:p>
      <w:pPr>
        <w:pStyle w:val="TextBody"/>
        <w:bidi w:val="0"/>
        <w:spacing w:before="0" w:after="0"/>
        <w:jc w:val="left"/>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The following tables reconcile Condensed Consolidated Statements of Comprehensive Income to arrive at Adjusted Net Trading Income, EBITDA, Adjusted EBITDA, and selected Operating Margins.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432"/>
        <w:gridCol w:w="1196"/>
        <w:gridCol w:w="1200"/>
        <w:gridCol w:w="109"/>
        <w:gridCol w:w="109"/>
        <w:gridCol w:w="109"/>
        <w:gridCol w:w="196"/>
        <w:gridCol w:w="736"/>
        <w:gridCol w:w="256"/>
        <w:gridCol w:w="109"/>
        <w:gridCol w:w="109"/>
        <w:gridCol w:w="109"/>
        <w:gridCol w:w="196"/>
        <w:gridCol w:w="736"/>
        <w:gridCol w:w="256"/>
        <w:gridCol w:w="109"/>
        <w:gridCol w:w="109"/>
        <w:gridCol w:w="109"/>
        <w:gridCol w:w="196"/>
        <w:gridCol w:w="871"/>
        <w:gridCol w:w="256"/>
        <w:gridCol w:w="109"/>
        <w:gridCol w:w="109"/>
        <w:gridCol w:w="109"/>
        <w:gridCol w:w="196"/>
        <w:gridCol w:w="871"/>
        <w:gridCol w:w="303"/>
      </w:tblGrid>
      <w:tr>
        <w:trPr/>
        <w:tc>
          <w:tcPr>
            <w:tcW w:w="143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3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3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of Trading income, net to 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856,691 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652,796 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1,645,837 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1,242,779 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net and technology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179,545 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153,859 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366,170 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305,166 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dividends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145,886 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128,406 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273,404 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237,459 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(258,986)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(202,125)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(397,814)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(424,000)</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(205,266)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(165,213)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(383,193)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(296,541)</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717,870 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567,723 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1,504,404 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1,064,863 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of Net Income to EBITDA and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284,929 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292,976 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631,525 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482,611 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interest expense on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62,442 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issue cost related to debt refinancing, prepayment and commitment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3,363 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31,550 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purchased intangibles and acquired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23,566 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88,145 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409,024 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408,654 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883,309 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691,677 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Severance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Transaction advisory fees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Termination of office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RFQ-hub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(66,988)</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14,465 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44,459 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436,778 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369,449 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957,351 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689,388 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Selected Operating Margins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GAAP Net income Margin</w:t>
            </w:r>
            <w:r>
              <w:rPr>
                <w:color w:val="000000"/>
              </w:rPr>
              <w:t xml:space="preserve"> </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Non-GAAP Net income Margin </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EBITDA Margin </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Adjusted EBITDA Margin </w:t>
            </w:r>
            <w:r>
              <w:rPr>
                <w:rFonts w:ascii="Arial;sans-serif" w:hAnsi="Arial;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1 Calculated by dividing Net income by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2 Calculated by dividing Net income by Adjusted Net Trading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3 Calculated by dividing EBITDA by Adjusted Net Trading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4 Calculated by dividing Adjusted EBITDA by Adjusted Net Trading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310"/>
                <wp:effectExtent l="0" t="0" r="0" b="0"/>
                <wp:wrapNone/>
                <wp:docPr id="20" name="Frame12"/>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8</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952625" cy="66675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1952625" cy="6667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Virtu Financial, Inc. and Subsidiaries</w: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 xml:space="preserve">Reconciliation to Non-GAAP Operating Data (Unaudited) </w: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(Continued)</w:t>
      </w:r>
    </w:p>
    <w:p>
      <w:pPr>
        <w:pStyle w:val="TextBody"/>
        <w:bidi w:val="0"/>
        <w:spacing w:before="0" w:after="0"/>
        <w:jc w:val="center"/>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The following tables reconcile Condensed Consolidated Statements of Comprehensive Income to arrive at Normalized Adjusted Net Income before income taxes, Normalized provision for income taxes, Normalized Adjusted Net Income and Normalized Adjusted EPS.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164"/>
        <w:gridCol w:w="821"/>
        <w:gridCol w:w="824"/>
        <w:gridCol w:w="134"/>
        <w:gridCol w:w="134"/>
        <w:gridCol w:w="134"/>
        <w:gridCol w:w="272"/>
        <w:gridCol w:w="1024"/>
        <w:gridCol w:w="134"/>
        <w:gridCol w:w="134"/>
        <w:gridCol w:w="134"/>
        <w:gridCol w:w="134"/>
        <w:gridCol w:w="272"/>
        <w:gridCol w:w="1024"/>
        <w:gridCol w:w="134"/>
        <w:gridCol w:w="134"/>
        <w:gridCol w:w="134"/>
        <w:gridCol w:w="134"/>
        <w:gridCol w:w="272"/>
        <w:gridCol w:w="1024"/>
        <w:gridCol w:w="134"/>
        <w:gridCol w:w="134"/>
        <w:gridCol w:w="134"/>
        <w:gridCol w:w="134"/>
        <w:gridCol w:w="272"/>
        <w:gridCol w:w="1024"/>
        <w:gridCol w:w="202"/>
      </w:tblGrid>
      <w:tr>
        <w:trPr/>
        <w:tc>
          <w:tcPr>
            <w:tcW w:w="116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2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share and per share data)</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of Net Income to Normalized Adjusted Net Income</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284,929 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292,976 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631,525 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482,611 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57,628 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54,044 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120,604 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88,145 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 and noncontrolling interest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342,557 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347,020 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752,129 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570,756 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purchased intangibles and acquired capitalized software</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23,566 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23,566 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issue cost related to debt refinancing, prepayment and commitment fees</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Severance</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Transaction advisory fees and expenses</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Termination of office leases</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280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RFQ-hub</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(66,988)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(66,988)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14,465 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based compensation</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33,362 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67,821 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44,459 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280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Normalized Adjusted Net Income before income taxes</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383,568 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321,280 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852,867 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595,396 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Normalized provision for income taxes </w:t>
            </w:r>
            <w:r>
              <w:rPr>
                <w:rFonts w:ascii="Arial;sans-serif" w:hAnsi="Arial;sans-serif"/>
                <w:b w:val="false"/>
                <w:color w:val="000000"/>
                <w:sz w:val="12"/>
              </w:rPr>
              <w:t>(1)</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92,056 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77,107 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204,688 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142,894 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Normalized Adjusted Net Income</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291,512 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244,173 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648,179 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452,502 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Weighted Average Adjusted shares outstanding </w:t>
            </w:r>
            <w:r>
              <w:rPr>
                <w:rFonts w:ascii="Arial;sans-serif" w:hAnsi="Arial;sans-serif"/>
                <w:b w:val="false"/>
                <w:color w:val="000000"/>
                <w:sz w:val="12"/>
              </w:rPr>
              <w:t>(2)</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159,860,687 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159,952,792 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159,700,858 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160,133,364 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Normalized Adjusted EPS</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(1) Reflects U.S. federal, state, and local income tax rate applicable to corporations of approximately 24% for all periods presented.</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(2) 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the dilutive impact of restricted stock units and restricted stock awards outstanding under the Second Amended and Restated 2015 Management Incentive Plan during the three and six months ended June 30, 2026 and 2025.</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310"/>
                <wp:effectExtent l="0" t="0" r="0" b="0"/>
                <wp:wrapNone/>
                <wp:docPr id="22" name="Frame13"/>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9</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952625" cy="666750"/>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11"/>
                    <a:stretch>
                      <a:fillRect/>
                    </a:stretch>
                  </pic:blipFill>
                  <pic:spPr bwMode="auto">
                    <a:xfrm>
                      <a:off x="0" y="0"/>
                      <a:ext cx="1952625" cy="6667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Virtu Financial, Inc. and Subsidiaries</w: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Condensed Consolidated Statements of Financial Condition (Unaudited)</w:t>
      </w:r>
    </w:p>
    <w:tbl>
      <w:tblPr>
        <w:tblW w:w="8616" w:type="dxa"/>
        <w:jc w:val="center"/>
        <w:tblInd w:w="0" w:type="dxa"/>
        <w:tblLayout w:type="fixed"/>
        <w:tblCellMar>
          <w:top w:w="28" w:type="dxa"/>
          <w:left w:w="28" w:type="dxa"/>
          <w:bottom w:w="28" w:type="dxa"/>
          <w:right w:w="28" w:type="dxa"/>
        </w:tblCellMar>
      </w:tblPr>
      <w:tblGrid>
        <w:gridCol w:w="1951"/>
        <w:gridCol w:w="1714"/>
        <w:gridCol w:w="1720"/>
        <w:gridCol w:w="109"/>
        <w:gridCol w:w="109"/>
        <w:gridCol w:w="109"/>
        <w:gridCol w:w="196"/>
        <w:gridCol w:w="961"/>
        <w:gridCol w:w="109"/>
        <w:gridCol w:w="109"/>
        <w:gridCol w:w="109"/>
        <w:gridCol w:w="109"/>
        <w:gridCol w:w="196"/>
        <w:gridCol w:w="961"/>
        <w:gridCol w:w="154"/>
      </w:tblGrid>
      <w:tr>
        <w:trPr/>
        <w:tc>
          <w:tcPr>
            <w:tcW w:w="195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December 31, </w:t>
              <w:br/>
              <w:t>2025</w:t>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1,069,254 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1,061,697 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securities segregated under regulations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3,774,108 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3,191,138 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1,857,034 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3,207,464 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1,896,405 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Receivables from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161,561 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Trading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14,886,249 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10,551,557 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equipment and capitalized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1,148,926 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1,148,926 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Intangibles (net of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619,723 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27,477,122 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20,150,736 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borrowings,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Securities loaned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4,089,659 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3,477,831 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2,620,126 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1,405,639 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1,036,371 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Payables to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Trading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13,569,647 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9,105,263 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receivable agreement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borrowings,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2,025,883 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2,039,463 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25,152,112 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18,177,333 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2,325,010 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1,973,403 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27,477,122 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20,150,736 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2026</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Ownership of Virtu Financial LLC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Virtu Financial, Inc. - Class A Common Stock and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92,955,915 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58.1%</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 (Virtu Financial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66,899,549 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41.9%</w:t>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Virtu Financial LLC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159,855,464 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310"/>
                <wp:effectExtent l="0" t="0" r="0" b="0"/>
                <wp:wrapNone/>
                <wp:docPr id="24" name="Frame14"/>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10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10</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952625" cy="666750"/>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2"/>
                    <a:stretch>
                      <a:fillRect/>
                    </a:stretch>
                  </pic:blipFill>
                  <pic:spPr bwMode="auto">
                    <a:xfrm>
                      <a:off x="0" y="0"/>
                      <a:ext cx="1952625" cy="6667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About Virtu Financial, Inc.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Virtu is a leading provider of financial services and products that leverages cutting-edge technology to deliver liquidity to the global markets and innovative, transparent trading solutions to its clients. Leveraging its global market making expertise and infrastructure, Virtu provides a robust product suite including offerings in execution, liquidity sourcing, analytics and broker-neutral, multi-dealer platforms in workflow technology. Virtu’s product offerings allow clients to trade on hundreds of venues across 50+ countries and in multiple asset classes, including global equities, ETFs, foreign exchange, futures, fixed income, cryptocurrency and myriad other commodities. In addition, Virtu’s integrated, multi-asset analytics platform provides a range of pre-, intra-, and post-trade services, data products and compliance tools that clients rely upon to invest, trade and manage risk across global markets.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press release may contain “forward-looking statements” made pursuant to the safe harbor provisions of the Private Securities Litigation Reform Act of 1995. Statements regarding Virtu Financial, Inc.’s (“Virtu’s”, the “Company’s” or “our”) business that are not historical facts are forward-looking statements. Forward-looking statements should not be read as a guarantee of future performance or results, and will not necessarily be accurate indications of the times at, or by which, such performance or results will be achieved. The Company assumes no obligation to update forward-looking statements to reflect actual results, changes in assumptions or changes in other factors affecting forward-looking information, and if the Company does update one or more forward-looking statements, no inference should be drawn that the Company will make additional updates with respect thereto or with respect to other forward-looking statements. Forward-looking statements are based on information available at the time and/or management’s good faith belief with respect to future events, and is subject to risks and uncertainties, some or all of which are not predictable or within Virtu’s control, that could cause actual performance or results to differ materially from those expressed in the statements. Those risks and uncertainties include, without limitation: fluctuations in trading volume and volatilities in the markets in which we operate; the ability of our trading counterparties, clients, and various clearing houses to perform their obligations to us; the performance and reliability of our customized trading platform; the risk of material trading losses from our market making activities; swings in valuations in securities or other instruments in which we hold positions; increasing competition and consolidation in our industry; the risk that cash flow from our operations and other available sources of liquidity will not be sufficient to fund our various ongoing obligations, including operating expenses, short-term funding requirements, margin requirements, capital expenditures, debt service and dividend payments; regulatory and legal uncertainties and other potential changes associated with our industry, particularly in light of increased attention from media, regulators and lawmakers to market structure and related issues including but not limited to the retail trading environment, wholesale market making and off exchange trading more generally and payment for order flow arrangements; potential adverse results from legal or regulatory proceedings; our ability to remain technologically competitive and to ensure that the technology we utilize is not vulnerable to security risks, hacking and cyber-attacks; risks associated with third party software and technology infrastructure. For a discussion of the risks and uncertainties which could cause actual results to differ from those contained in forward-looking statements, see Virtu’s Securities and Exchange Commission filings, including but not limited to Virtu’s Annual Report on Form 10-K, Quarterly Reports on Form 10-Q and Current Reports on Form 8-K filed with the SEC.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CONTACT     </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Investor Relations</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Matthew Sandberg</w:t>
      </w:r>
    </w:p>
    <w:p>
      <w:pPr>
        <w:pStyle w:val="TextBody"/>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investor_relations@virtu.com</w:t>
      </w:r>
    </w:p>
    <w:p>
      <w:pPr>
        <w:pStyle w:val="TextBody"/>
        <w:bidi w:val="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310"/>
                <wp:effectExtent l="0" t="0" r="0" b="0"/>
                <wp:wrapNone/>
                <wp:docPr id="26" name="Frame1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11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11</w:t>
                      </w:r>
                    </w:p>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image" Target="media/image1.png"/><Relationship Id="rId12" Type="http://schemas.openxmlformats.org/officeDocument/2006/relationships/image" Target="media/image1.pn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4903</Words>
  <Characters>28594</Characters>
  <CharactersWithSpaces>32985</CharactersWithSpaces>
  <Paragraphs>1060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