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pPr>
      <w:r>
        <w:rPr>
          <w:rFonts w:ascii="Times New Roman;sans-serif" w:hAnsi="Times New Roman;sans-serif"/>
          <w:b/>
          <w:color w:val="000000"/>
          <w:sz w:val="28"/>
        </w:rPr>
        <w:t>FORM 10-Q</w:t>
      </w: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0"/>
        <w:rPr>
          <w:color w:val="000000"/>
        </w:rPr>
      </w:pPr>
      <w:r>
        <w:rPr>
          <w:color w:val="000000"/>
        </w:rPr>
        <w:t> </w:t>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 (d) OF THE SECURITIES EXCHANGE ACT OF 1934</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 (d) OF THE SECURITIES EXCHANGE ACT OF 1934</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001-37352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Virtu Financial, Inc. </w:t>
      </w:r>
    </w:p>
    <w:p>
      <w:pPr>
        <w:pStyle w:val="TextBody"/>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6959" w:type="dxa"/>
        <w:jc w:val="center"/>
        <w:tblInd w:w="0" w:type="dxa"/>
        <w:tblCellMar>
          <w:top w:w="28" w:type="dxa"/>
          <w:left w:w="28" w:type="dxa"/>
          <w:bottom w:w="28" w:type="dxa"/>
          <w:right w:w="28" w:type="dxa"/>
        </w:tblCellMar>
      </w:tblPr>
      <w:tblGrid>
        <w:gridCol w:w="1549"/>
        <w:gridCol w:w="1360"/>
        <w:gridCol w:w="1380"/>
        <w:gridCol w:w="780"/>
        <w:gridCol w:w="780"/>
        <w:gridCol w:w="1110"/>
      </w:tblGrid>
      <w:tr>
        <w:trPr/>
        <w:tc>
          <w:tcPr>
            <w:tcW w:w="1549"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32-0420206</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3778" w:type="dxa"/>
        <w:jc w:val="center"/>
        <w:tblInd w:w="0" w:type="dxa"/>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2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10019</w:t>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1633 Broadway</w:t>
            </w:r>
          </w:p>
        </w:tc>
        <w:tc>
          <w:tcPr>
            <w:tcW w:w="91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xml:space="preserve">New York, </w:t>
            </w:r>
          </w:p>
        </w:tc>
        <w:tc>
          <w:tcPr>
            <w:tcW w:w="13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1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86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jc w:val="center"/>
        <w:rPr>
          <w:color w:val="000000"/>
        </w:rPr>
      </w:pPr>
      <w:r>
        <w:rPr>
          <w:color w:val="000000"/>
        </w:rPr>
        <w:t> </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(212) 418-0100 </w:t>
      </w:r>
    </w:p>
    <w:p>
      <w:pPr>
        <w:pStyle w:val="TextBody"/>
        <w:spacing w:lineRule="auto" w:line="264" w:before="0" w:after="60"/>
        <w:jc w:val="center"/>
        <w:rPr/>
      </w:pPr>
      <w:r>
        <w:rPr>
          <w:rFonts w:ascii="Times New Roman;sans-serif" w:hAnsi="Times New Roman;sans-serif"/>
          <w:b w:val="false"/>
          <w:color w:val="000000"/>
          <w:sz w:val="18"/>
        </w:rPr>
        <w:t>(Registrant’s telephone number, including area code)</w:t>
      </w:r>
      <w:r>
        <w:rPr>
          <w:color w:val="000000"/>
        </w:rPr>
        <w:t> </w:t>
      </w:r>
    </w:p>
    <w:p>
      <w:pPr>
        <w:pStyle w:val="TextBody"/>
        <w:spacing w:lineRule="auto" w:line="264" w:before="0" w:after="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306" w:type="dxa"/>
        <w:jc w:val="center"/>
        <w:tblInd w:w="0" w:type="dxa"/>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spacing w:lineRule="auto" w:line="288" w:before="0" w:after="80"/>
        <w:ind w:left="0" w:right="0" w:firstLine="360"/>
        <w:rPr/>
      </w:pPr>
      <w:r>
        <w:rPr>
          <w:rFonts w:ascii="Times New Roman;sans-serif" w:hAnsi="Times New Roman;sans-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80"/>
        <w:ind w:left="0" w:right="0" w:firstLine="360"/>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0" w:after="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4" w:before="0" w:after="80"/>
              <w:jc w:val="left"/>
              <w:rPr>
                <w:color w:val="000000"/>
              </w:rPr>
            </w:pPr>
            <w:r>
              <w:rPr>
                <w:color w:val="000000"/>
              </w:rPr>
              <w:t>☒</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540"/>
        <w:rPr>
          <w:color w:val="000000"/>
        </w:rPr>
      </w:pPr>
      <w:r>
        <w:rPr>
          <w:color w:val="000000"/>
        </w:rPr>
        <w:t> </w:t>
      </w:r>
    </w:p>
    <w:p>
      <w:pPr>
        <w:pStyle w:val="TextBody"/>
        <w:spacing w:lineRule="auto" w:line="264" w:before="0" w:after="80"/>
        <w:ind w:left="0" w:right="0" w:firstLine="36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spacing w:lineRule="auto" w:line="264" w:before="0" w:after="80"/>
        <w:ind w:left="0" w:right="0" w:firstLine="360"/>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tbl>
      <w:tblPr>
        <w:tblW w:w="7256" w:type="dxa"/>
        <w:jc w:val="center"/>
        <w:tblInd w:w="0" w:type="dxa"/>
        <w:tblCellMar>
          <w:top w:w="28" w:type="dxa"/>
          <w:left w:w="28" w:type="dxa"/>
          <w:bottom w:w="28" w:type="dxa"/>
          <w:right w:w="28" w:type="dxa"/>
        </w:tblCellMar>
      </w:tblPr>
      <w:tblGrid>
        <w:gridCol w:w="1417"/>
        <w:gridCol w:w="1245"/>
        <w:gridCol w:w="1252"/>
        <w:gridCol w:w="109"/>
        <w:gridCol w:w="109"/>
        <w:gridCol w:w="109"/>
        <w:gridCol w:w="881"/>
        <w:gridCol w:w="881"/>
        <w:gridCol w:w="1253"/>
      </w:tblGrid>
      <w:tr>
        <w:trPr/>
        <w:tc>
          <w:tcPr>
            <w:tcW w:w="1417"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 as of April 28, 2023</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95,423,359</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8,856,531</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60,091,740</w:t>
            </w:r>
          </w:p>
        </w:tc>
      </w:tr>
    </w:tbl>
    <w:p>
      <w:pPr>
        <w:pStyle w:val="TextBody"/>
        <w:spacing w:lineRule="auto" w:line="288" w:before="0" w:after="0"/>
        <w:ind w:left="0" w:right="0" w:firstLine="540"/>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78299d544d0e479fbbea6aa7d0ffc690_13">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2023 </w:t>
      </w:r>
    </w:p>
    <w:tbl>
      <w:tblPr>
        <w:tblW w:w="9493" w:type="dxa"/>
        <w:jc w:val="center"/>
        <w:tblInd w:w="0" w:type="dxa"/>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PART I -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3">
              <w:r>
                <w:rPr>
                  <w:rStyle w:val="InternetLink"/>
                  <w:rFonts w:ascii="Times New Roman;sans-serif" w:hAnsi="Times New Roman;sans-serif"/>
                  <w:b w:val="false"/>
                  <w:color w:val="0000FF"/>
                  <w:sz w:val="20"/>
                  <w:u w:val="single"/>
                </w:rPr>
                <w:t>FINANCIAL INFORMATION</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0">
              <w:r>
                <w:rPr>
                  <w:rStyle w:val="InternetLink"/>
                  <w:rFonts w:ascii="Times New Roman;sans-serif" w:hAnsi="Times New Roman;sans-serif"/>
                  <w:b w:val="false"/>
                  <w:color w:val="0000FF"/>
                  <w:sz w:val="20"/>
                  <w:u w:val="single"/>
                </w:rPr>
                <w:t>Item 1.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0">
              <w:r>
                <w:rPr>
                  <w:rStyle w:val="InternetLink"/>
                  <w:rFonts w:ascii="Times New Roman;sans-serif" w:hAnsi="Times New Roman;sans-serif"/>
                  <w:b w:val="false"/>
                  <w:color w:val="0000FF"/>
                  <w:sz w:val="20"/>
                  <w:u w:val="single"/>
                </w:rPr>
                <w:t>Financial Statements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6">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36">
              <w:r>
                <w:rPr>
                  <w:rStyle w:val="InternetLink"/>
                  <w:rFonts w:ascii="Times New Roman;sans-serif" w:hAnsi="Times New Roman;sans-serif"/>
                  <w:b w:val="false"/>
                  <w:strike w:val="false"/>
                  <w:dstrike w:val="false"/>
                  <w:color w:val="0000FF"/>
                  <w:sz w:val="20"/>
                  <w:u w:val="none"/>
                  <w:effect w:val="none"/>
                </w:rPr>
                <w:t>3</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9">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39">
              <w:r>
                <w:rPr>
                  <w:rStyle w:val="InternetLink"/>
                  <w:rFonts w:ascii="Times New Roman;sans-serif" w:hAnsi="Times New Roman;sans-serif"/>
                  <w:b w:val="false"/>
                  <w:strike w:val="false"/>
                  <w:dstrike w:val="false"/>
                  <w:color w:val="0000FF"/>
                  <w:sz w:val="20"/>
                  <w:u w:val="none"/>
                  <w:effect w:val="none"/>
                </w:rPr>
                <w:t>5</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2">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2">
              <w:r>
                <w:rPr>
                  <w:rStyle w:val="InternetLink"/>
                  <w:rFonts w:ascii="Times New Roman;sans-serif" w:hAnsi="Times New Roman;sans-serif"/>
                  <w:b w:val="false"/>
                  <w:strike w:val="false"/>
                  <w:dstrike w:val="false"/>
                  <w:color w:val="0000FF"/>
                  <w:sz w:val="20"/>
                  <w:u w:val="none"/>
                  <w:effect w:val="none"/>
                </w:rPr>
                <w:t>6</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5">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5">
              <w:r>
                <w:rPr>
                  <w:rStyle w:val="InternetLink"/>
                  <w:rFonts w:ascii="Times New Roman;sans-serif" w:hAnsi="Times New Roman;sans-serif"/>
                  <w:b w:val="false"/>
                  <w:strike w:val="false"/>
                  <w:dstrike w:val="false"/>
                  <w:color w:val="0000FF"/>
                  <w:sz w:val="20"/>
                  <w:u w:val="none"/>
                  <w:effect w:val="none"/>
                </w:rPr>
                <w:t>7</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8">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8">
              <w:r>
                <w:rPr>
                  <w:rStyle w:val="InternetLink"/>
                  <w:rFonts w:ascii="Times New Roman;sans-serif" w:hAnsi="Times New Roman;sans-serif"/>
                  <w:b w:val="false"/>
                  <w:strike w:val="false"/>
                  <w:dstrike w:val="false"/>
                  <w:color w:val="0000FF"/>
                  <w:sz w:val="20"/>
                  <w:u w:val="none"/>
                  <w:effect w:val="none"/>
                </w:rPr>
                <w:t>9</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67">
              <w:r>
                <w:rPr>
                  <w:rStyle w:val="InternetLink"/>
                  <w:rFonts w:ascii="Times New Roman;sans-serif" w:hAnsi="Times New Roman;sans-serif"/>
                  <w:b w:val="false"/>
                  <w:color w:val="0000FF"/>
                  <w:sz w:val="20"/>
                  <w:u w:val="single"/>
                </w:rPr>
                <w:t>Item 2.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67">
              <w:r>
                <w:rPr>
                  <w:rStyle w:val="InternetLink"/>
                  <w:rFonts w:ascii="Times New Roman;sans-serif" w:hAnsi="Times New Roman;sans-serif"/>
                  <w:b w:val="false"/>
                  <w:strike w:val="false"/>
                  <w:dstrike w:val="false"/>
                  <w:color w:val="0000FF"/>
                  <w:sz w:val="20"/>
                  <w:u w:val="none"/>
                  <w:effect w:val="none"/>
                </w:rPr>
                <w:t>42</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15">
              <w:r>
                <w:rPr>
                  <w:rStyle w:val="InternetLink"/>
                  <w:rFonts w:ascii="Times New Roman;sans-serif" w:hAnsi="Times New Roman;sans-serif"/>
                  <w:b w:val="false"/>
                  <w:color w:val="0000FF"/>
                  <w:sz w:val="20"/>
                  <w:u w:val="single"/>
                </w:rPr>
                <w:t>Item 3.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15">
              <w:r>
                <w:rPr>
                  <w:rStyle w:val="InternetLink"/>
                  <w:rFonts w:ascii="Times New Roman;sans-serif" w:hAnsi="Times New Roman;sans-serif"/>
                  <w:b w:val="false"/>
                  <w:color w:val="0000FF"/>
                  <w:sz w:val="20"/>
                  <w:u w:val="single"/>
                </w:rPr>
                <w:t>Quantitative and Qualitative Disclosures About Market Risk</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15">
              <w:r>
                <w:rPr>
                  <w:rStyle w:val="InternetLink"/>
                  <w:rFonts w:ascii="Times New Roman;sans-serif" w:hAnsi="Times New Roman;sans-serif"/>
                  <w:b w:val="false"/>
                  <w:strike w:val="false"/>
                  <w:dstrike w:val="false"/>
                  <w:color w:val="0000FF"/>
                  <w:sz w:val="20"/>
                  <w:u w:val="none"/>
                  <w:effect w:val="none"/>
                </w:rPr>
                <w:t>68</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259">
              <w:r>
                <w:rPr>
                  <w:rStyle w:val="InternetLink"/>
                  <w:rFonts w:ascii="Times New Roman;sans-serif" w:hAnsi="Times New Roman;sans-serif"/>
                  <w:b w:val="false"/>
                  <w:color w:val="0000FF"/>
                  <w:sz w:val="20"/>
                  <w:u w:val="single"/>
                </w:rPr>
                <w:t>Item 4.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259">
              <w:r>
                <w:rPr>
                  <w:rStyle w:val="InternetLink"/>
                  <w:rFonts w:ascii="Times New Roman;sans-serif" w:hAnsi="Times New Roman;sans-serif"/>
                  <w:b w:val="false"/>
                  <w:color w:val="0000FF"/>
                  <w:sz w:val="20"/>
                  <w:u w:val="single"/>
                </w:rPr>
                <w:t>Controls and Procedures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259">
              <w:r>
                <w:rPr>
                  <w:rStyle w:val="InternetLink"/>
                  <w:rFonts w:ascii="Times New Roman;sans-serif" w:hAnsi="Times New Roman;sans-serif"/>
                  <w:b w:val="false"/>
                  <w:strike w:val="false"/>
                  <w:dstrike w:val="false"/>
                  <w:color w:val="0000FF"/>
                  <w:sz w:val="20"/>
                  <w:u w:val="none"/>
                  <w:effect w:val="none"/>
                </w:rPr>
                <w:t>70</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6">
              <w:r>
                <w:rPr>
                  <w:rStyle w:val="InternetLink"/>
                  <w:rFonts w:ascii="Times New Roman;sans-serif" w:hAnsi="Times New Roman;sans-serif"/>
                  <w:b w:val="false"/>
                  <w:color w:val="0000FF"/>
                  <w:sz w:val="20"/>
                  <w:u w:val="single"/>
                </w:rPr>
                <w:t>PART II -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6">
              <w:r>
                <w:rPr>
                  <w:rStyle w:val="InternetLink"/>
                  <w:rFonts w:ascii="Times New Roman;sans-serif" w:hAnsi="Times New Roman;sans-serif"/>
                  <w:b w:val="false"/>
                  <w:color w:val="0000FF"/>
                  <w:sz w:val="20"/>
                  <w:u w:val="single"/>
                </w:rPr>
                <w:t>OTHER INFORMATION</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37">
              <w:r>
                <w:rPr>
                  <w:rStyle w:val="InternetLink"/>
                  <w:rFonts w:ascii="Times New Roman;sans-serif" w:hAnsi="Times New Roman;sans-serif"/>
                  <w:b w:val="false"/>
                  <w:color w:val="0000FF"/>
                  <w:sz w:val="20"/>
                  <w:u w:val="single"/>
                </w:rPr>
                <w:t>Item 1.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37">
              <w:r>
                <w:rPr>
                  <w:rStyle w:val="InternetLink"/>
                  <w:rFonts w:ascii="Times New Roman;sans-serif" w:hAnsi="Times New Roman;sans-serif"/>
                  <w:b w:val="false"/>
                  <w:color w:val="0000FF"/>
                  <w:sz w:val="20"/>
                  <w:u w:val="single"/>
                </w:rPr>
                <w:t>Legal Proceedings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37">
              <w:r>
                <w:rPr>
                  <w:rStyle w:val="InternetLink"/>
                  <w:rFonts w:ascii="Times New Roman;sans-serif" w:hAnsi="Times New Roman;sans-serif"/>
                  <w:b w:val="false"/>
                  <w:strike w:val="false"/>
                  <w:dstrike w:val="false"/>
                  <w:color w:val="0000FF"/>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6">
              <w:r>
                <w:rPr>
                  <w:rStyle w:val="InternetLink"/>
                  <w:rFonts w:ascii="Times New Roman;sans-serif" w:hAnsi="Times New Roman;sans-serif"/>
                  <w:b w:val="false"/>
                  <w:color w:val="0000FF"/>
                  <w:sz w:val="20"/>
                  <w:u w:val="single"/>
                </w:rPr>
                <w:t>Item 1A.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6">
              <w:r>
                <w:rPr>
                  <w:rStyle w:val="InternetLink"/>
                  <w:rFonts w:ascii="Times New Roman;sans-serif" w:hAnsi="Times New Roman;sans-serif"/>
                  <w:b w:val="false"/>
                  <w:color w:val="0000FF"/>
                  <w:sz w:val="20"/>
                  <w:u w:val="single"/>
                </w:rPr>
                <w:t>Risk Factors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46">
              <w:r>
                <w:rPr>
                  <w:rStyle w:val="InternetLink"/>
                  <w:rFonts w:ascii="Times New Roman;sans-serif" w:hAnsi="Times New Roman;sans-serif"/>
                  <w:b w:val="false"/>
                  <w:strike w:val="false"/>
                  <w:dstrike w:val="false"/>
                  <w:color w:val="0000FF"/>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9">
              <w:r>
                <w:rPr>
                  <w:rStyle w:val="InternetLink"/>
                  <w:rFonts w:ascii="Times New Roman;sans-serif" w:hAnsi="Times New Roman;sans-serif"/>
                  <w:b w:val="false"/>
                  <w:color w:val="0000FF"/>
                  <w:sz w:val="20"/>
                  <w:u w:val="single"/>
                </w:rPr>
                <w:t>Item 2.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9">
              <w:r>
                <w:rPr>
                  <w:rStyle w:val="InternetLink"/>
                  <w:rFonts w:ascii="Times New Roman;sans-serif" w:hAnsi="Times New Roman;sans-serif"/>
                  <w:b w:val="false"/>
                  <w:color w:val="0000FF"/>
                  <w:sz w:val="20"/>
                  <w:u w:val="single"/>
                </w:rPr>
                <w:t>Unregistered Sales of Equity Securities and Use of Proceeds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49">
              <w:r>
                <w:rPr>
                  <w:rStyle w:val="InternetLink"/>
                  <w:rFonts w:ascii="Times New Roman;sans-serif" w:hAnsi="Times New Roman;sans-serif"/>
                  <w:b w:val="false"/>
                  <w:strike w:val="false"/>
                  <w:dstrike w:val="false"/>
                  <w:color w:val="0000FF"/>
                  <w:sz w:val="20"/>
                  <w:u w:val="none"/>
                  <w:effect w:val="none"/>
                </w:rPr>
                <w:t>71</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52">
              <w:r>
                <w:rPr>
                  <w:rStyle w:val="InternetLink"/>
                  <w:rFonts w:ascii="Times New Roman;sans-serif" w:hAnsi="Times New Roman;sans-serif"/>
                  <w:b w:val="false"/>
                  <w:color w:val="0000FF"/>
                  <w:sz w:val="20"/>
                  <w:u w:val="single"/>
                </w:rPr>
                <w:t>Item 3.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52">
              <w:r>
                <w:rPr>
                  <w:rStyle w:val="InternetLink"/>
                  <w:rFonts w:ascii="Times New Roman;sans-serif" w:hAnsi="Times New Roman;sans-serif"/>
                  <w:b w:val="false"/>
                  <w:color w:val="0000FF"/>
                  <w:sz w:val="20"/>
                  <w:u w:val="single"/>
                </w:rPr>
                <w:t>Defaults Upon Senior Securities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52">
              <w:r>
                <w:rPr>
                  <w:rStyle w:val="InternetLink"/>
                  <w:rFonts w:ascii="Times New Roman;sans-serif" w:hAnsi="Times New Roman;sans-serif"/>
                  <w:b w:val="false"/>
                  <w:strike w:val="false"/>
                  <w:dstrike w:val="false"/>
                  <w:color w:val="0000FF"/>
                  <w:sz w:val="20"/>
                  <w:u w:val="none"/>
                  <w:effect w:val="none"/>
                </w:rPr>
                <w:t>72</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0">
              <w:r>
                <w:rPr>
                  <w:rStyle w:val="InternetLink"/>
                  <w:rFonts w:ascii="Times New Roman;sans-serif" w:hAnsi="Times New Roman;sans-serif"/>
                  <w:b w:val="false"/>
                  <w:color w:val="0000FF"/>
                  <w:sz w:val="20"/>
                  <w:u w:val="single"/>
                </w:rPr>
                <w:t>Item 4.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40">
              <w:r>
                <w:rPr>
                  <w:rStyle w:val="InternetLink"/>
                  <w:rFonts w:ascii="Times New Roman;sans-serif" w:hAnsi="Times New Roman;sans-serif"/>
                  <w:b w:val="false"/>
                  <w:color w:val="0000FF"/>
                  <w:sz w:val="20"/>
                  <w:u w:val="single"/>
                </w:rPr>
                <w:t>Mine Safety Disclosures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40">
              <w:r>
                <w:rPr>
                  <w:rStyle w:val="InternetLink"/>
                  <w:rFonts w:ascii="Times New Roman;sans-serif" w:hAnsi="Times New Roman;sans-serif"/>
                  <w:b w:val="false"/>
                  <w:strike w:val="false"/>
                  <w:dstrike w:val="false"/>
                  <w:color w:val="0000FF"/>
                  <w:sz w:val="20"/>
                  <w:u w:val="none"/>
                  <w:effect w:val="none"/>
                </w:rPr>
                <w:t>72</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55">
              <w:r>
                <w:rPr>
                  <w:rStyle w:val="InternetLink"/>
                  <w:rFonts w:ascii="Times New Roman;sans-serif" w:hAnsi="Times New Roman;sans-serif"/>
                  <w:b w:val="false"/>
                  <w:color w:val="0000FF"/>
                  <w:sz w:val="20"/>
                  <w:u w:val="single"/>
                </w:rPr>
                <w:t>Item 5.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55">
              <w:r>
                <w:rPr>
                  <w:rStyle w:val="InternetLink"/>
                  <w:rFonts w:ascii="Times New Roman;sans-serif" w:hAnsi="Times New Roman;sans-serif"/>
                  <w:b w:val="false"/>
                  <w:color w:val="0000FF"/>
                  <w:sz w:val="20"/>
                  <w:u w:val="single"/>
                </w:rPr>
                <w:t>Other Information</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55">
              <w:r>
                <w:rPr>
                  <w:rStyle w:val="InternetLink"/>
                  <w:rFonts w:ascii="Times New Roman;sans-serif" w:hAnsi="Times New Roman;sans-serif"/>
                  <w:b w:val="false"/>
                  <w:strike w:val="false"/>
                  <w:dstrike w:val="false"/>
                  <w:color w:val="0000FF"/>
                  <w:sz w:val="20"/>
                  <w:u w:val="none"/>
                  <w:effect w:val="none"/>
                </w:rPr>
                <w:t>72</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301">
              <w:r>
                <w:rPr>
                  <w:rStyle w:val="InternetLink"/>
                  <w:rFonts w:ascii="Times New Roman;sans-serif" w:hAnsi="Times New Roman;sans-serif"/>
                  <w:b w:val="false"/>
                  <w:color w:val="0000FF"/>
                  <w:sz w:val="20"/>
                  <w:u w:val="single"/>
                </w:rPr>
                <w:t>Item 6. </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301">
              <w:r>
                <w:rPr>
                  <w:rStyle w:val="InternetLink"/>
                  <w:rFonts w:ascii="Times New Roman;sans-serif" w:hAnsi="Times New Roman;sans-serif"/>
                  <w:b w:val="false"/>
                  <w:color w:val="0000FF"/>
                  <w:sz w:val="20"/>
                  <w:u w:val="single"/>
                </w:rPr>
                <w:t>Exhibits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301">
              <w:r>
                <w:rPr>
                  <w:rStyle w:val="InternetLink"/>
                  <w:rFonts w:ascii="Times New Roman;sans-serif" w:hAnsi="Times New Roman;sans-serif"/>
                  <w:b w:val="false"/>
                  <w:strike w:val="false"/>
                  <w:dstrike w:val="false"/>
                  <w:color w:val="0000FF"/>
                  <w:sz w:val="20"/>
                  <w:u w:val="none"/>
                  <w:effect w:val="none"/>
                </w:rPr>
                <w:t>73</w:t>
              </w:r>
            </w:hyperlink>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307">
              <w:r>
                <w:rPr>
                  <w:rStyle w:val="InternetLink"/>
                  <w:rFonts w:ascii="Times New Roman;sans-serif" w:hAnsi="Times New Roman;sans-serif"/>
                  <w:b w:val="false"/>
                  <w:color w:val="0000FF"/>
                  <w:sz w:val="20"/>
                  <w:u w:val="single"/>
                </w:rPr>
                <w:t>SIGNATURES</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307">
              <w:r>
                <w:rPr>
                  <w:rStyle w:val="InternetLink"/>
                  <w:rFonts w:ascii="Times New Roman;sans-serif" w:hAnsi="Times New Roman;sans-serif"/>
                  <w:b w:val="false"/>
                  <w:strike w:val="false"/>
                  <w:dstrike w:val="false"/>
                  <w:color w:val="0000FF"/>
                  <w:sz w:val="20"/>
                  <w:u w:val="none"/>
                  <w:effect w:val="none"/>
                </w:rPr>
                <w:t>74</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78299d544d0e479fbbea6aa7d0ffc690_13">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Index to Condensed Consolidated Financial Statements</w:t>
      </w:r>
    </w:p>
    <w:p>
      <w:pPr>
        <w:pStyle w:val="TextBody"/>
        <w:spacing w:lineRule="auto" w:line="288" w:before="0" w:after="0"/>
        <w:ind w:left="0" w:right="0" w:firstLine="360"/>
        <w:rPr>
          <w:color w:val="000000"/>
        </w:rPr>
      </w:pPr>
      <w:r>
        <w:rPr>
          <w:color w:val="000000"/>
        </w:rPr>
        <w:t> </w:t>
      </w:r>
    </w:p>
    <w:tbl>
      <w:tblPr>
        <w:tblW w:w="7171" w:type="dxa"/>
        <w:jc w:val="center"/>
        <w:tblInd w:w="0" w:type="dxa"/>
        <w:tblCellMar>
          <w:top w:w="28" w:type="dxa"/>
          <w:left w:w="28" w:type="dxa"/>
          <w:bottom w:w="28" w:type="dxa"/>
          <w:right w:w="28" w:type="dxa"/>
        </w:tblCellMar>
      </w:tblPr>
      <w:tblGrid>
        <w:gridCol w:w="2280"/>
        <w:gridCol w:w="2005"/>
        <w:gridCol w:w="2015"/>
        <w:gridCol w:w="255"/>
        <w:gridCol w:w="255"/>
        <w:gridCol w:w="361"/>
      </w:tblGrid>
      <w:tr>
        <w:trPr/>
        <w:tc>
          <w:tcPr>
            <w:tcW w:w="2280"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6">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78299d544d0e479fbbea6aa7d0ffc690_136">
              <w:r>
                <w:rPr>
                  <w:rStyle w:val="InternetLink"/>
                  <w:rFonts w:ascii="Times New Roman;sans-serif" w:hAnsi="Times New Roman;sans-serif"/>
                  <w:b w:val="false"/>
                  <w:color w:val="0000FF"/>
                  <w:sz w:val="20"/>
                  <w:u w:val="single"/>
                </w:rPr>
                <w:t>3</w:t>
              </w:r>
            </w:hyperlink>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39">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39">
              <w:r>
                <w:rPr>
                  <w:rStyle w:val="InternetLink"/>
                  <w:rFonts w:ascii="Times New Roman;sans-serif" w:hAnsi="Times New Roman;sans-serif"/>
                  <w:b w:val="false"/>
                  <w:color w:val="0000FF"/>
                  <w:sz w:val="20"/>
                  <w:u w:val="single"/>
                </w:rPr>
                <w:t>5</w:t>
              </w:r>
            </w:hyperlink>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2">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2">
              <w:r>
                <w:rPr>
                  <w:rStyle w:val="InternetLink"/>
                  <w:rFonts w:ascii="Times New Roman;sans-serif" w:hAnsi="Times New Roman;sans-serif"/>
                  <w:b w:val="false"/>
                  <w:color w:val="0000FF"/>
                  <w:sz w:val="20"/>
                  <w:u w:val="single"/>
                </w:rPr>
                <w:t>6</w:t>
              </w:r>
            </w:hyperlink>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5">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5">
              <w:r>
                <w:rPr>
                  <w:rStyle w:val="InternetLink"/>
                  <w:rFonts w:ascii="Times New Roman;sans-serif" w:hAnsi="Times New Roman;sans-serif"/>
                  <w:b w:val="false"/>
                  <w:color w:val="0000FF"/>
                  <w:sz w:val="20"/>
                  <w:u w:val="single"/>
                </w:rPr>
                <w:t>7</w:t>
              </w:r>
            </w:hyperlink>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8299d544d0e479fbbea6aa7d0ffc690_148">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8299d544d0e479fbbea6aa7d0ffc690_148">
              <w:r>
                <w:rPr>
                  <w:rStyle w:val="InternetLink"/>
                  <w:rFonts w:ascii="Times New Roman;sans-serif" w:hAnsi="Times New Roman;sans-serif"/>
                  <w:b w:val="false"/>
                  <w:color w:val="0000FF"/>
                  <w:sz w:val="20"/>
                  <w:u w:val="single"/>
                </w:rPr>
                <w:t>9</w:t>
              </w:r>
            </w:hyperlink>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8299d544d0e479fbbea6aa7d0ffc690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10205" w:type="dxa"/>
        <w:jc w:val="center"/>
        <w:tblInd w:w="0" w:type="dxa"/>
        <w:tblCellMar>
          <w:top w:w="28" w:type="dxa"/>
          <w:left w:w="28" w:type="dxa"/>
          <w:bottom w:w="28" w:type="dxa"/>
          <w:right w:w="28" w:type="dxa"/>
        </w:tblCellMar>
      </w:tblPr>
      <w:tblGrid>
        <w:gridCol w:w="2525"/>
        <w:gridCol w:w="2222"/>
        <w:gridCol w:w="2225"/>
        <w:gridCol w:w="109"/>
        <w:gridCol w:w="109"/>
        <w:gridCol w:w="109"/>
        <w:gridCol w:w="196"/>
        <w:gridCol w:w="961"/>
        <w:gridCol w:w="109"/>
        <w:gridCol w:w="109"/>
        <w:gridCol w:w="109"/>
        <w:gridCol w:w="109"/>
        <w:gridCol w:w="196"/>
        <w:gridCol w:w="961"/>
        <w:gridCol w:w="156"/>
      </w:tblGrid>
      <w:tr>
        <w:trPr/>
        <w:tc>
          <w:tcPr>
            <w:tcW w:w="2525" w:type="dxa"/>
            <w:tcBorders/>
            <w:shd w:fill="auto" w:val="clear"/>
            <w:vAlign w:val="center"/>
          </w:tcPr>
          <w:p>
            <w:pPr>
              <w:pStyle w:val="TableContents"/>
              <w:spacing w:before="0" w:after="283"/>
              <w:rPr>
                <w:sz w:val="4"/>
                <w:szCs w:val="4"/>
              </w:rPr>
            </w:pPr>
            <w:r>
              <w:rPr>
                <w:sz w:val="4"/>
                <w:szCs w:val="4"/>
              </w:rPr>
            </w:r>
          </w:p>
        </w:tc>
        <w:tc>
          <w:tcPr>
            <w:tcW w:w="2222"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9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981,580 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1,187,674 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336,999 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1,115,185 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3,667,481 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capitalized software (net of accumulated depreciation of $442,632 and $460,763 as of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 of accumulated amortization of $334,033 and $318,013 as of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($82,215 and $78,965, at fair value, as of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1,060,432 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273,843 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4,196,974 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238,758 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1,795,952 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8,931,814 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Authorized — 1,000,000,000 and 1,000,000,000 shares, Issued — 134,714,394 and 133,071,754 shares, Outstanding — 96,259,605 and 98,549,464 shares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$0.00001), Authorized — 175,000,000 and 175,000,000 shares, Issued and Outstanding — 0 and 0 shares at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Authorized — 90,000,000 and 90,000,000 shares, Issued and Outstanding — 8,856,531 and 9,030,066 shares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Authorized — 175,000,000 and 175,000,000 shares, Issued and Outstanding — 60,091,740 and 60,091,740 shares at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38,454,789 and 34,522,290 shares at March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(954,637)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1,323,219 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1,292,613 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972,317 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8299d544d0e479fbbea6aa7d0ffc690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5901" w:type="dxa"/>
        <w:jc w:val="center"/>
        <w:tblInd w:w="0" w:type="dxa"/>
        <w:tblCellMar>
          <w:top w:w="28" w:type="dxa"/>
          <w:left w:w="28" w:type="dxa"/>
          <w:bottom w:w="28" w:type="dxa"/>
          <w:right w:w="28" w:type="dxa"/>
        </w:tblCellMar>
      </w:tblPr>
      <w:tblGrid>
        <w:gridCol w:w="967"/>
        <w:gridCol w:w="851"/>
        <w:gridCol w:w="852"/>
        <w:gridCol w:w="109"/>
        <w:gridCol w:w="109"/>
        <w:gridCol w:w="109"/>
        <w:gridCol w:w="196"/>
        <w:gridCol w:w="961"/>
        <w:gridCol w:w="109"/>
        <w:gridCol w:w="109"/>
        <w:gridCol w:w="109"/>
        <w:gridCol w:w="109"/>
        <w:gridCol w:w="196"/>
        <w:gridCol w:w="961"/>
        <w:gridCol w:w="154"/>
      </w:tblGrid>
      <w:tr>
        <w:trPr/>
        <w:tc>
          <w:tcPr>
            <w:tcW w:w="96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8299d544d0e479fbbea6aa7d0ffc690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10205" w:type="dxa"/>
        <w:jc w:val="center"/>
        <w:tblInd w:w="0" w:type="dxa"/>
        <w:tblCellMar>
          <w:top w:w="28" w:type="dxa"/>
          <w:left w:w="28" w:type="dxa"/>
          <w:bottom w:w="28" w:type="dxa"/>
          <w:right w:w="28" w:type="dxa"/>
        </w:tblCellMar>
      </w:tblPr>
      <w:tblGrid>
        <w:gridCol w:w="1997"/>
        <w:gridCol w:w="1757"/>
        <w:gridCol w:w="1761"/>
        <w:gridCol w:w="109"/>
        <w:gridCol w:w="109"/>
        <w:gridCol w:w="109"/>
        <w:gridCol w:w="109"/>
        <w:gridCol w:w="109"/>
        <w:gridCol w:w="206"/>
        <w:gridCol w:w="206"/>
        <w:gridCol w:w="372"/>
        <w:gridCol w:w="1400"/>
        <w:gridCol w:w="206"/>
        <w:gridCol w:w="109"/>
        <w:gridCol w:w="109"/>
        <w:gridCol w:w="109"/>
        <w:gridCol w:w="221"/>
        <w:gridCol w:w="830"/>
        <w:gridCol w:w="109"/>
        <w:gridCol w:w="109"/>
        <w:gridCol w:w="159"/>
      </w:tblGrid>
      <w:tr>
        <w:trPr/>
        <w:tc>
          <w:tcPr>
            <w:tcW w:w="1997"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5" w:type="dxa"/>
            <w:gridSpan w:val="8"/>
            <w:tcBorders/>
            <w:shd w:fill="auto" w:val="clear"/>
          </w:tcPr>
          <w:p>
            <w:pPr>
              <w:pStyle w:val="TableContents"/>
              <w:spacing w:before="0" w:after="283"/>
              <w:rPr>
                <w:sz w:val="4"/>
                <w:szCs w:val="4"/>
              </w:rPr>
            </w:pPr>
            <w:r>
              <w:rPr>
                <w:sz w:val="4"/>
                <w:szCs w:val="4"/>
              </w:rPr>
            </w:r>
          </w:p>
        </w:tc>
      </w:tr>
      <w:tr>
        <w:trPr/>
        <w:tc>
          <w:tcPr>
            <w:tcW w:w="55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412,511 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82,244 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121,444 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620,380 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145,523 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103,437 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97,601 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485,615 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(52,202)</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97,795,957 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109,329,468 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97,813,691 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110,066,641 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(47,535)</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126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ind w:left="0" w:right="0" w:firstLine="405"/>
        <w:rPr/>
      </w:pPr>
      <w:hyperlink w:anchor="i78299d544d0e479fbbea6aa7d0ffc690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 and 2022</w:t>
      </w:r>
    </w:p>
    <w:tbl>
      <w:tblPr>
        <w:tblW w:w="17282" w:type="dxa"/>
        <w:jc w:val="center"/>
        <w:tblInd w:w="0" w:type="dxa"/>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74"/>
        <w:gridCol w:w="552"/>
        <w:gridCol w:w="115"/>
        <w:gridCol w:w="327"/>
        <w:gridCol w:w="205"/>
        <w:gridCol w:w="576"/>
        <w:gridCol w:w="135"/>
        <w:gridCol w:w="327"/>
        <w:gridCol w:w="166"/>
        <w:gridCol w:w="616"/>
        <w:gridCol w:w="109"/>
        <w:gridCol w:w="327"/>
        <w:gridCol w:w="180"/>
        <w:gridCol w:w="571"/>
        <w:gridCol w:w="120"/>
        <w:gridCol w:w="327"/>
        <w:gridCol w:w="166"/>
        <w:gridCol w:w="616"/>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133,071,754 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9,030,066 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(34,522,290)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(954,637)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972,317 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31,604 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309,528 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1,651,427 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2,393,550 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(21,498)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(902,947)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(3,932,499)</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(75,568)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(17,650)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(93,218)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(93,218)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57,881 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52,202 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110,083 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(7,834)</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(5,334)</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(24,696)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(27,308)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(52,004)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152,037 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(152,037)</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134,714,394 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8,856,531 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(38,454,789)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(1,030,205)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1,323,219 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987,852 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329,756 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1,635,374 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bl>
    <w:tbl>
      <w:tblPr>
        <w:tblW w:w="17192" w:type="dxa"/>
        <w:jc w:val="center"/>
        <w:tblInd w:w="0" w:type="dxa"/>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541"/>
        <w:gridCol w:w="109"/>
        <w:gridCol w:w="109"/>
        <w:gridCol w:w="109"/>
        <w:gridCol w:w="109"/>
        <w:gridCol w:w="166"/>
        <w:gridCol w:w="616"/>
        <w:gridCol w:w="109"/>
        <w:gridCol w:w="109"/>
        <w:gridCol w:w="109"/>
        <w:gridCol w:w="109"/>
        <w:gridCol w:w="174"/>
        <w:gridCol w:w="552"/>
        <w:gridCol w:w="115"/>
        <w:gridCol w:w="327"/>
        <w:gridCol w:w="201"/>
        <w:gridCol w:w="582"/>
        <w:gridCol w:w="133"/>
        <w:gridCol w:w="327"/>
        <w:gridCol w:w="166"/>
        <w:gridCol w:w="616"/>
        <w:gridCol w:w="109"/>
        <w:gridCol w:w="327"/>
        <w:gridCol w:w="180"/>
        <w:gridCol w:w="571"/>
        <w:gridCol w:w="120"/>
        <w:gridCol w:w="327"/>
        <w:gridCol w:w="166"/>
        <w:gridCol w:w="616"/>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131,497,645 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9,359,065 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(18,326,863)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(494,075)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830,538 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(10,196)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314,230 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1,863,618 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1,669,030 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27,377 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(234,269)</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(8,204)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(612,844)</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(8,908,544)</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(287,211)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(18,354)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(305,565)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(305,565)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246,879 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112,257 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87,668 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199,925 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(3,172)</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(1,996)</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29,387 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18,486 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47,873 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(27,054)</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(98,751)</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(125,805)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71,641 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(71,641)</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132,872,351 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9,053,155 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(27,235,407)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(781,286)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1,246,983 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897,387 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1,379,105 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319,637 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1,698,742 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8299d544d0e479fbbea6aa7d0ffc690_10">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401" w:type="dxa"/>
        <w:jc w:val="center"/>
        <w:tblInd w:w="0" w:type="dxa"/>
        <w:tblCellMar>
          <w:top w:w="28" w:type="dxa"/>
          <w:left w:w="28" w:type="dxa"/>
          <w:bottom w:w="28" w:type="dxa"/>
          <w:right w:w="28" w:type="dxa"/>
        </w:tblCellMar>
      </w:tblPr>
      <w:tblGrid>
        <w:gridCol w:w="2309"/>
        <w:gridCol w:w="2034"/>
        <w:gridCol w:w="2046"/>
        <w:gridCol w:w="109"/>
        <w:gridCol w:w="109"/>
        <w:gridCol w:w="109"/>
        <w:gridCol w:w="196"/>
        <w:gridCol w:w="736"/>
        <w:gridCol w:w="109"/>
        <w:gridCol w:w="109"/>
        <w:gridCol w:w="109"/>
        <w:gridCol w:w="109"/>
        <w:gridCol w:w="198"/>
        <w:gridCol w:w="747"/>
        <w:gridCol w:w="109"/>
        <w:gridCol w:w="109"/>
        <w:gridCol w:w="154"/>
      </w:tblGrid>
      <w:tr>
        <w:trPr/>
        <w:tc>
          <w:tcPr>
            <w:tcW w:w="2309" w:type="dxa"/>
            <w:tcBorders/>
            <w:shd w:fill="auto" w:val="clear"/>
            <w:vAlign w:val="center"/>
          </w:tcPr>
          <w:p>
            <w:pPr>
              <w:pStyle w:val="TableContents"/>
              <w:spacing w:before="0" w:after="283"/>
              <w:rPr>
                <w:sz w:val="4"/>
                <w:szCs w:val="4"/>
              </w:rPr>
            </w:pPr>
            <w:r>
              <w:rPr>
                <w:sz w:val="4"/>
                <w:szCs w:val="4"/>
              </w:rPr>
            </w:r>
          </w:p>
        </w:tc>
        <w:tc>
          <w:tcPr>
            <w:tcW w:w="2034"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3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(270,347)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(807,784)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(1,713,357)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capitalized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long 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(508,265)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8299d544d0e479fbbea6aa7d0ffc690_13">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946" w:type="dxa"/>
        <w:jc w:val="center"/>
        <w:tblInd w:w="0" w:type="dxa"/>
        <w:tblCellMar>
          <w:top w:w="28" w:type="dxa"/>
          <w:left w:w="28" w:type="dxa"/>
          <w:bottom w:w="28" w:type="dxa"/>
          <w:right w:w="28" w:type="dxa"/>
        </w:tblCellMar>
      </w:tblPr>
      <w:tblGrid>
        <w:gridCol w:w="2407"/>
        <w:gridCol w:w="2119"/>
        <w:gridCol w:w="2134"/>
        <w:gridCol w:w="109"/>
        <w:gridCol w:w="109"/>
        <w:gridCol w:w="109"/>
        <w:gridCol w:w="386"/>
        <w:gridCol w:w="266"/>
        <w:gridCol w:w="266"/>
        <w:gridCol w:w="266"/>
        <w:gridCol w:w="266"/>
        <w:gridCol w:w="266"/>
        <w:gridCol w:w="448"/>
        <w:gridCol w:w="266"/>
        <w:gridCol w:w="266"/>
        <w:gridCol w:w="109"/>
        <w:gridCol w:w="154"/>
      </w:tblGrid>
      <w:tr>
        <w:trPr/>
        <w:tc>
          <w:tcPr>
            <w:tcW w:w="2407"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6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and accrued incentive compensation to developers relating to capitalized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8" w:type="dxa"/>
            <w:gridSpan w:val="3"/>
            <w:tcBorders/>
            <w:shd w:fill="auto" w:val="clear"/>
            <w:vAlign w:val="center"/>
          </w:tcPr>
          <w:p>
            <w:pPr>
              <w:pStyle w:val="TableContents"/>
              <w:spacing w:before="0" w:after="283"/>
              <w:rPr>
                <w:sz w:val="4"/>
                <w:szCs w:val="4"/>
              </w:rPr>
            </w:pPr>
            <w:r>
              <w:rPr>
                <w:sz w:val="4"/>
                <w:szCs w:val="4"/>
              </w:rPr>
            </w:r>
          </w:p>
        </w:tc>
        <w:tc>
          <w:tcPr>
            <w:tcW w:w="798"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color w:val="000000"/>
        </w:rPr>
      </w:pPr>
      <w:r>
        <w:rPr>
          <w:color w:val="000000"/>
        </w:rPr>
        <w:t> </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shares and per share amounts, unless otherwise noted)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2023, VFI owned approximately 59.5% of the membership interests of Virtu Financial. VFI is the sole managing member of Virtu Financial and operates and controls all of the businesses and affairs of Virtu Financial and its subsidiaries (the “Group”).</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See Note 20 "Geographic Information and Business Segments" for a further discussion of the Company’s segments.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of Consolidation and Form of Presentation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does not own as noncontrolling interests. All intercompany accounts and transactions have been eliminated in consolidation.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2022.</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Accounting Pronouncements Recently Adopted</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Derivatives and Hedging</w:t>
      </w:r>
      <w:r>
        <w:rPr>
          <w:color w:val="000000"/>
        </w:rPr>
        <w:t xml:space="preserve"> </w:t>
      </w:r>
      <w:r>
        <w:rPr>
          <w:rFonts w:ascii="Times New Roman;sans-serif" w:hAnsi="Times New Roman;sans-serif"/>
          <w:b w:val="false"/>
          <w:color w:val="000000"/>
          <w:sz w:val="20"/>
        </w:rPr>
        <w:t>- In March 2022, the FASB issued ASU 2022-01,</w:t>
      </w:r>
      <w:r>
        <w:rPr>
          <w:color w:val="000000"/>
        </w:rPr>
        <w:t xml:space="preserve"> </w:t>
      </w:r>
      <w:r>
        <w:rPr>
          <w:rFonts w:ascii="Times New Roman;sans-serif" w:hAnsi="Times New Roman;sans-serif"/>
          <w:b w:val="false"/>
          <w:i/>
          <w:color w:val="000000"/>
          <w:sz w:val="20"/>
        </w:rPr>
        <w:t>Derivatives and Hedging - Fair Value Hedging - Portfolio Layer Method (Topic 815)</w:t>
      </w:r>
      <w:r>
        <w:rPr>
          <w:rFonts w:ascii="Times New Roman;sans-serif" w:hAnsi="Times New Roman;sans-serif"/>
          <w:b w:val="false"/>
          <w:color w:val="000000"/>
          <w:sz w:val="20"/>
        </w:rPr>
        <w:t>. The ASU expands the scope of permissible hedging, and permits the use of different derivative structures as hedging instruments. The Company adopted this ASU on January 1, 2023 and it did not have a material impact on its condensed consolidated financial statements.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Accounting Pronouncements Not Yet Adopted as of March 31, 2023</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Fair Value Measurement</w:t>
      </w:r>
      <w:r>
        <w:rPr>
          <w:color w:val="000000"/>
        </w:rPr>
        <w:t xml:space="preserve"> </w:t>
      </w:r>
      <w:r>
        <w:rPr>
          <w:rFonts w:ascii="Times New Roman;sans-serif" w:hAnsi="Times New Roman;sans-serif"/>
          <w:b w:val="false"/>
          <w:color w:val="000000"/>
          <w:sz w:val="20"/>
        </w:rPr>
        <w:t xml:space="preserve">- In June 2022, the FASB issued ASU 2022-03, </w:t>
      </w:r>
      <w:r>
        <w:rPr>
          <w:rFonts w:ascii="Times New Roman;sans-serif" w:hAnsi="Times New Roman;sans-serif"/>
          <w:b w:val="false"/>
          <w:i/>
          <w:color w:val="000000"/>
          <w:sz w:val="20"/>
        </w:rPr>
        <w:t>Fair Value Measurement of Equity Securities Subject to Contractual Sale Restrictions (Topic 326)</w:t>
      </w:r>
      <w:r>
        <w:rPr>
          <w:rFonts w:ascii="Times New Roman;sans-serif" w:hAnsi="Times New Roman;sans-serif"/>
          <w:b w:val="false"/>
          <w:color w:val="000000"/>
          <w:sz w:val="20"/>
        </w:rPr>
        <w:t>. The ASU clarifies the impact of contractual sale restrictions on the fair value of an equity security. Additionally, this ASU requires disclosure of the nature and remaining duration of the sale restriction. This ASU is effective for periods beginning after December 15, 2023. The Company is currently evaluating the impact of this ASU but does not expect it to have a material impact on its condensed consolidated financial statements.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i/>
          <w:color w:val="000000"/>
          <w:sz w:val="20"/>
        </w:rPr>
        <w:t>Liabilities - Supplier Finance Programs</w:t>
      </w:r>
      <w:r>
        <w:rPr>
          <w:color w:val="000000"/>
        </w:rPr>
        <w:t xml:space="preserve"> </w:t>
      </w:r>
      <w:r>
        <w:rPr>
          <w:rFonts w:ascii="Times New Roman;sans-serif" w:hAnsi="Times New Roman;sans-serif"/>
          <w:b w:val="false"/>
          <w:color w:val="000000"/>
          <w:sz w:val="20"/>
        </w:rPr>
        <w:t xml:space="preserve">- In September 2022, the FASB issued ASU 2022-03, </w:t>
      </w:r>
      <w:r>
        <w:rPr>
          <w:rFonts w:ascii="Times New Roman;sans-serif" w:hAnsi="Times New Roman;sans-serif"/>
          <w:b w:val="false"/>
          <w:i/>
          <w:color w:val="000000"/>
          <w:sz w:val="20"/>
        </w:rPr>
        <w:t>Liabilities—Supplier Finance Programs (Subtopic 405-50)</w:t>
      </w:r>
      <w:r>
        <w:rPr>
          <w:rFonts w:ascii="Times New Roman;sans-serif" w:hAnsi="Times New Roman;sans-serif"/>
          <w:b w:val="false"/>
          <w:color w:val="000000"/>
          <w:sz w:val="20"/>
        </w:rPr>
        <w:t>. This ASU requires new quantitative and qualitative disclosure requirements for a buyer who enters into supplier financing programs. This ASU is effective for periods beginning after December 15, 2023. The Company is currently evaluating the impact of this ASU but does not expect it to have a material impact on its condensed consolidated financial statements.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i/>
          <w:color w:val="000000"/>
          <w:sz w:val="20"/>
        </w:rPr>
        <w:t>Leases - Common Control Arrangements</w:t>
      </w:r>
      <w:r>
        <w:rPr>
          <w:color w:val="000000"/>
        </w:rPr>
        <w:t xml:space="preserve"> </w:t>
      </w:r>
      <w:r>
        <w:rPr>
          <w:rFonts w:ascii="Times New Roman;sans-serif" w:hAnsi="Times New Roman;sans-serif"/>
          <w:b w:val="false"/>
          <w:color w:val="000000"/>
          <w:sz w:val="20"/>
        </w:rPr>
        <w:t xml:space="preserve">- In March 2023, the FASB issued ASU 2023-01, </w:t>
      </w:r>
      <w:r>
        <w:rPr>
          <w:rFonts w:ascii="Times New Roman;sans-serif" w:hAnsi="Times New Roman;sans-serif"/>
          <w:b w:val="false"/>
          <w:i/>
          <w:color w:val="000000"/>
          <w:sz w:val="20"/>
        </w:rPr>
        <w:t>Leases—Common Control Arrangements (Topic 842)</w:t>
      </w:r>
      <w:r>
        <w:rPr>
          <w:rFonts w:ascii="Times New Roman;sans-serif" w:hAnsi="Times New Roman;sans-serif"/>
          <w:b w:val="false"/>
          <w:color w:val="000000"/>
          <w:sz w:val="20"/>
        </w:rPr>
        <w:t>. This ASU provides updated guidance for accounting for common control leases and leasehold improvements. This ASU is effective for periods beginning after December 15, 2023. The Company is currently evaluating the impact of this ASU but does not expect it to have a material impact on its condensed consolidated financial statements.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i/>
          <w:color w:val="000000"/>
          <w:sz w:val="20"/>
        </w:rPr>
        <w:t>Investments - Equity Method and Joint Ventures</w:t>
      </w:r>
      <w:r>
        <w:rPr>
          <w:color w:val="000000"/>
        </w:rPr>
        <w:t xml:space="preserve"> </w:t>
      </w:r>
      <w:r>
        <w:rPr>
          <w:rFonts w:ascii="Times New Roman;sans-serif" w:hAnsi="Times New Roman;sans-serif"/>
          <w:b w:val="false"/>
          <w:color w:val="000000"/>
          <w:sz w:val="20"/>
        </w:rPr>
        <w:t xml:space="preserve">- In March 2023, the FASB issued ASU 2023-02, </w:t>
      </w:r>
      <w:r>
        <w:rPr>
          <w:rFonts w:ascii="Times New Roman;sans-serif" w:hAnsi="Times New Roman;sans-serif"/>
          <w:b w:val="false"/>
          <w:i/>
          <w:color w:val="000000"/>
          <w:sz w:val="20"/>
        </w:rPr>
        <w:t>Investments—Equity Method and Joint Ventures (Topic 323)</w:t>
      </w:r>
      <w:r>
        <w:rPr>
          <w:rFonts w:ascii="Times New Roman;sans-serif" w:hAnsi="Times New Roman;sans-serif"/>
          <w:b w:val="false"/>
          <w:color w:val="000000"/>
          <w:sz w:val="20"/>
        </w:rPr>
        <w:t>. This ASU provides updated guidance for accounting for investments in tax credit structures. This ASU is effective for periods beginning after December 15, 2023. The Company is currently evaluating the impact of this ASU but does not expect it to have a material impact on its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below table contains a reconciliation of Net income before income taxes and noncontrolling interest to Net income available for common stockholders:</w:t>
      </w:r>
    </w:p>
    <w:tbl>
      <w:tblPr>
        <w:tblW w:w="8577" w:type="dxa"/>
        <w:jc w:val="center"/>
        <w:tblInd w:w="0" w:type="dxa"/>
        <w:tblCellMar>
          <w:top w:w="28" w:type="dxa"/>
          <w:left w:w="28" w:type="dxa"/>
          <w:bottom w:w="28" w:type="dxa"/>
          <w:right w:w="28" w:type="dxa"/>
        </w:tblCellMar>
      </w:tblPr>
      <w:tblGrid>
        <w:gridCol w:w="1448"/>
        <w:gridCol w:w="1271"/>
        <w:gridCol w:w="1285"/>
        <w:gridCol w:w="109"/>
        <w:gridCol w:w="109"/>
        <w:gridCol w:w="109"/>
        <w:gridCol w:w="109"/>
        <w:gridCol w:w="109"/>
        <w:gridCol w:w="207"/>
        <w:gridCol w:w="207"/>
        <w:gridCol w:w="373"/>
        <w:gridCol w:w="1403"/>
        <w:gridCol w:w="207"/>
        <w:gridCol w:w="109"/>
        <w:gridCol w:w="109"/>
        <w:gridCol w:w="109"/>
        <w:gridCol w:w="196"/>
        <w:gridCol w:w="736"/>
        <w:gridCol w:w="109"/>
        <w:gridCol w:w="109"/>
        <w:gridCol w:w="154"/>
      </w:tblGrid>
      <w:tr>
        <w:trPr/>
        <w:tc>
          <w:tcPr>
            <w:tcW w:w="1448"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(52,202)</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57,881 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is presented below:</w:t>
      </w:r>
    </w:p>
    <w:tbl>
      <w:tblPr>
        <w:tblW w:w="10205" w:type="dxa"/>
        <w:jc w:val="center"/>
        <w:tblInd w:w="0" w:type="dxa"/>
        <w:tblCellMar>
          <w:top w:w="28" w:type="dxa"/>
          <w:left w:w="28" w:type="dxa"/>
          <w:bottom w:w="28" w:type="dxa"/>
          <w:right w:w="28" w:type="dxa"/>
        </w:tblCellMar>
      </w:tblPr>
      <w:tblGrid>
        <w:gridCol w:w="2212"/>
        <w:gridCol w:w="1946"/>
        <w:gridCol w:w="1948"/>
        <w:gridCol w:w="109"/>
        <w:gridCol w:w="109"/>
        <w:gridCol w:w="109"/>
        <w:gridCol w:w="109"/>
        <w:gridCol w:w="109"/>
        <w:gridCol w:w="161"/>
        <w:gridCol w:w="161"/>
        <w:gridCol w:w="355"/>
        <w:gridCol w:w="962"/>
        <w:gridCol w:w="161"/>
        <w:gridCol w:w="109"/>
        <w:gridCol w:w="109"/>
        <w:gridCol w:w="109"/>
        <w:gridCol w:w="221"/>
        <w:gridCol w:w="830"/>
        <w:gridCol w:w="109"/>
        <w:gridCol w:w="109"/>
        <w:gridCol w:w="158"/>
      </w:tblGrid>
      <w:tr>
        <w:trPr/>
        <w:tc>
          <w:tcPr>
            <w:tcW w:w="2212"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4" w:type="dxa"/>
            <w:gridSpan w:val="8"/>
            <w:tcBorders/>
            <w:shd w:fill="auto" w:val="clear"/>
          </w:tcPr>
          <w:p>
            <w:pPr>
              <w:pStyle w:val="TableContents"/>
              <w:spacing w:before="0" w:after="283"/>
              <w:rPr>
                <w:sz w:val="4"/>
                <w:szCs w:val="4"/>
              </w:rPr>
            </w:pPr>
            <w:r>
              <w:rPr>
                <w:sz w:val="4"/>
                <w:szCs w:val="4"/>
              </w:rPr>
            </w:r>
          </w:p>
        </w:tc>
      </w:tr>
      <w:tr>
        <w:trPr/>
        <w:tc>
          <w:tcPr>
            <w:tcW w:w="61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97,795,957 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109,329,468 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2211"/>
        <w:gridCol w:w="1946"/>
        <w:gridCol w:w="1948"/>
        <w:gridCol w:w="109"/>
        <w:gridCol w:w="109"/>
        <w:gridCol w:w="109"/>
        <w:gridCol w:w="109"/>
        <w:gridCol w:w="109"/>
        <w:gridCol w:w="161"/>
        <w:gridCol w:w="161"/>
        <w:gridCol w:w="355"/>
        <w:gridCol w:w="962"/>
        <w:gridCol w:w="161"/>
        <w:gridCol w:w="109"/>
        <w:gridCol w:w="109"/>
        <w:gridCol w:w="109"/>
        <w:gridCol w:w="221"/>
        <w:gridCol w:w="830"/>
        <w:gridCol w:w="109"/>
        <w:gridCol w:w="109"/>
        <w:gridCol w:w="159"/>
      </w:tblGrid>
      <w:tr>
        <w:trPr/>
        <w:tc>
          <w:tcPr>
            <w:tcW w:w="2211"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5" w:type="dxa"/>
            <w:gridSpan w:val="8"/>
            <w:tcBorders/>
            <w:shd w:fill="auto" w:val="clear"/>
          </w:tcPr>
          <w:p>
            <w:pPr>
              <w:pStyle w:val="TableContents"/>
              <w:spacing w:before="0" w:after="283"/>
              <w:rPr>
                <w:sz w:val="4"/>
                <w:szCs w:val="4"/>
              </w:rPr>
            </w:pPr>
            <w:r>
              <w:rPr>
                <w:sz w:val="4"/>
                <w:szCs w:val="4"/>
              </w:rPr>
            </w:r>
          </w:p>
        </w:tc>
      </w:tr>
      <w:tr>
        <w:trPr/>
        <w:tc>
          <w:tcPr>
            <w:tcW w:w="6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Issued 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97,795,957 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109,329,468 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Issuable pursuant to Amended and Restated 2015 Management Incentive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97,813,691 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110,066,641 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4. Tax Receivable Agreements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made its first payment of $7.0 million in February 2017, and subsequent payments of $12.4 million in September 2018, $13.3 million in March 2020, $16.5 million in April 2021, and $21.3 million in March 2022. Tax receivable payments are expected to range from approximately $36.4 thousand to $22.0 million per year over the next 15 years.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remaining deferred tax assets that relate to the matters described above were approximately $156.9 million and $162.1 million, respectively, and the Company’s liabilities over the next 15 years pursuant to the tax receivable agreements were approximately $238.8 million for both periods. The amounts recorded as of March 31, 2023 and December 31, 2022 are based on best estimates available at the respective dates and may be subject to change after the filing of the Company’s U.S. federal and state income tax returns for the years in which tax savings were realized.</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As of March 31, 2023 and December 31, 2022, the Company’s total amount of goodwill recorded was $1,148.9 million. No goodwill impairment was recognized during the three months ended March 31, 2023 and 2022.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goodwill by segment as of March 31, 2023 and December 31, 2022:</w:t>
      </w:r>
    </w:p>
    <w:tbl>
      <w:tblPr>
        <w:tblW w:w="7944" w:type="dxa"/>
        <w:jc w:val="center"/>
        <w:tblInd w:w="0" w:type="dxa"/>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Company's total amount of intangible assets recorded was $305.5 million and $321.5 million, respectively. Acquired intangible assets consisted of the following as of March 31, 2023 and December 31, 2022:</w:t>
      </w:r>
    </w:p>
    <w:tbl>
      <w:tblPr>
        <w:tblW w:w="10162" w:type="dxa"/>
        <w:jc w:val="center"/>
        <w:tblInd w:w="0" w:type="dxa"/>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6"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(201,947)</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284,653 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(121,986)</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(334,033)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305,460 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028" w:type="dxa"/>
        <w:jc w:val="center"/>
        <w:tblInd w:w="0" w:type="dxa"/>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(189,986)</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296,614 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(118,119)</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17,881 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(4,408)</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639,493 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(318,013)</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321,480 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relating to finite-lived intangible assets was approximately $16.0 million, and $16.5 million for the three months ended March 31, 2023, and 2022, respectively. This is included in Amortization of purchased intangibles and acquired capitalized software in the accompanying Condensed Consolidated Statements of Comprehensive Income.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record amortization expense as follows over the next five subsequent years:</w:t>
      </w:r>
    </w:p>
    <w:p>
      <w:pPr>
        <w:pStyle w:val="TextBody"/>
        <w:spacing w:before="0" w:after="0"/>
        <w:rPr/>
      </w:pPr>
      <w:r>
        <w:rPr/>
      </w:r>
    </w:p>
    <w:tbl>
      <w:tblPr>
        <w:tblW w:w="2792" w:type="dxa"/>
        <w:jc w:val="center"/>
        <w:tblInd w:w="0" w:type="dxa"/>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6. Receivables from/Payables to Broker-Dealers and Clearing Organizations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receivables from and payables to brokers-dealers and clearing organizations at March 31, 2023 and December 31, 2022:</w:t>
      </w:r>
    </w:p>
    <w:tbl>
      <w:tblPr>
        <w:tblW w:w="8061" w:type="dxa"/>
        <w:jc w:val="center"/>
        <w:tblInd w:w="0" w:type="dxa"/>
        <w:tblCellMar>
          <w:top w:w="28" w:type="dxa"/>
          <w:left w:w="28" w:type="dxa"/>
          <w:bottom w:w="28" w:type="dxa"/>
          <w:right w:w="28" w:type="dxa"/>
        </w:tblCellMar>
      </w:tblPr>
      <w:tblGrid>
        <w:gridCol w:w="1665"/>
        <w:gridCol w:w="1466"/>
        <w:gridCol w:w="1473"/>
        <w:gridCol w:w="109"/>
        <w:gridCol w:w="109"/>
        <w:gridCol w:w="109"/>
        <w:gridCol w:w="210"/>
        <w:gridCol w:w="933"/>
        <w:gridCol w:w="116"/>
        <w:gridCol w:w="109"/>
        <w:gridCol w:w="109"/>
        <w:gridCol w:w="109"/>
        <w:gridCol w:w="248"/>
        <w:gridCol w:w="1102"/>
        <w:gridCol w:w="194"/>
      </w:tblGrid>
      <w:tr>
        <w:trPr/>
        <w:tc>
          <w:tcPr>
            <w:tcW w:w="1665"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559,847 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560,111 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147,512 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146,927 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137,312 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112,249 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87,145 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149,747 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35,812 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1,165,830 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1,115,185 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220,536 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229,424 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(60,931)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(32,381)</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93,864 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70,576 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pPr>
      <w:r>
        <w:rPr>
          <w:rFonts w:ascii="Times New Roman;sans-serif" w:hAnsi="Times New Roman;sans-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ans-serif" w:hAnsi="Times New Roman;sans-serif"/>
          <w:b w:val="false"/>
          <w:color w:val="000000"/>
          <w:sz w:val="20"/>
        </w:rPr>
        <w:t>.</w:t>
      </w:r>
    </w:p>
    <w:p>
      <w:pPr>
        <w:pStyle w:val="TextBody"/>
        <w:spacing w:before="0" w:after="0"/>
        <w:ind w:left="0" w:right="0" w:hanging="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Included as a deduction from “Due from prime brokers” and “Net equity with futures commission merchants” is the outstanding principal balance on all of the Company’s prime brokerage credit facilities (described in Note 8 "Borrowings") of approximately $285.1 million and $212.9 million as of March 31, 2023 and December 31, 2022,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7. Collateralized Transactions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2023 and December 31, 2022, substantially all of the securities received as collateral have been repledged.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collateralized transactions at March 31, 2023 and December 31, 2022 are summarized as follows:</w:t>
      </w:r>
    </w:p>
    <w:tbl>
      <w:tblPr>
        <w:tblW w:w="6847" w:type="dxa"/>
        <w:jc w:val="center"/>
        <w:tblInd w:w="0" w:type="dxa"/>
        <w:tblCellMar>
          <w:top w:w="28" w:type="dxa"/>
          <w:left w:w="28" w:type="dxa"/>
          <w:bottom w:w="28" w:type="dxa"/>
          <w:right w:w="28" w:type="dxa"/>
        </w:tblCellMar>
      </w:tblPr>
      <w:tblGrid>
        <w:gridCol w:w="1225"/>
        <w:gridCol w:w="1079"/>
        <w:gridCol w:w="1086"/>
        <w:gridCol w:w="109"/>
        <w:gridCol w:w="109"/>
        <w:gridCol w:w="109"/>
        <w:gridCol w:w="210"/>
        <w:gridCol w:w="933"/>
        <w:gridCol w:w="116"/>
        <w:gridCol w:w="109"/>
        <w:gridCol w:w="109"/>
        <w:gridCol w:w="109"/>
        <w:gridCol w:w="248"/>
        <w:gridCol w:w="1102"/>
        <w:gridCol w:w="194"/>
      </w:tblGrid>
      <w:tr>
        <w:trPr/>
        <w:tc>
          <w:tcPr>
            <w:tcW w:w="1225"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1,433,500 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2,146,864 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pledges qualified securities with clearing organizations to satisfy daily margin and clearing fund requirements.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instruments owned and pledged, where the counterparty has the right to repledge, at March 31, 2023 and December 31, 2022 consisted of the following:</w:t>
      </w:r>
    </w:p>
    <w:p>
      <w:pPr>
        <w:pStyle w:val="TextBody"/>
        <w:spacing w:before="0" w:after="0"/>
        <w:ind w:left="0" w:right="0" w:firstLine="720"/>
        <w:rPr/>
      </w:pPr>
      <w:r>
        <w:rPr/>
      </w:r>
    </w:p>
    <w:tbl>
      <w:tblPr>
        <w:tblW w:w="5154" w:type="dxa"/>
        <w:jc w:val="center"/>
        <w:tblInd w:w="0" w:type="dxa"/>
        <w:tblCellMar>
          <w:top w:w="28" w:type="dxa"/>
          <w:left w:w="28" w:type="dxa"/>
          <w:bottom w:w="28" w:type="dxa"/>
          <w:right w:w="28" w:type="dxa"/>
        </w:tblCellMar>
      </w:tblPr>
      <w:tblGrid>
        <w:gridCol w:w="612"/>
        <w:gridCol w:w="540"/>
        <w:gridCol w:w="543"/>
        <w:gridCol w:w="109"/>
        <w:gridCol w:w="109"/>
        <w:gridCol w:w="109"/>
        <w:gridCol w:w="237"/>
        <w:gridCol w:w="891"/>
        <w:gridCol w:w="132"/>
        <w:gridCol w:w="109"/>
        <w:gridCol w:w="109"/>
        <w:gridCol w:w="109"/>
        <w:gridCol w:w="279"/>
        <w:gridCol w:w="1047"/>
        <w:gridCol w:w="219"/>
      </w:tblGrid>
      <w:tr>
        <w:trPr/>
        <w:tc>
          <w:tcPr>
            <w:tcW w:w="61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969,913 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981,338 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Short-term Borrowings,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0"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0" w:type="dxa"/>
            <w:gridSpan w:val="3"/>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121,238 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93" w:type="dxa"/>
        <w:jc w:val="center"/>
        <w:tblInd w:w="0" w:type="dxa"/>
        <w:tblCellMar>
          <w:top w:w="28" w:type="dxa"/>
          <w:left w:w="28" w:type="dxa"/>
          <w:bottom w:w="28" w:type="dxa"/>
          <w:right w:w="28" w:type="dxa"/>
        </w:tblCellMar>
      </w:tblPr>
      <w:tblGrid>
        <w:gridCol w:w="602"/>
        <w:gridCol w:w="530"/>
        <w:gridCol w:w="532"/>
        <w:gridCol w:w="109"/>
        <w:gridCol w:w="109"/>
        <w:gridCol w:w="109"/>
        <w:gridCol w:w="416"/>
        <w:gridCol w:w="1181"/>
        <w:gridCol w:w="232"/>
        <w:gridCol w:w="109"/>
        <w:gridCol w:w="109"/>
        <w:gridCol w:w="109"/>
        <w:gridCol w:w="595"/>
        <w:gridCol w:w="1231"/>
        <w:gridCol w:w="333"/>
        <w:gridCol w:w="109"/>
        <w:gridCol w:w="109"/>
        <w:gridCol w:w="109"/>
        <w:gridCol w:w="467"/>
        <w:gridCol w:w="1324"/>
        <w:gridCol w:w="369"/>
      </w:tblGrid>
      <w:tr>
        <w:trPr/>
        <w:tc>
          <w:tcPr>
            <w:tcW w:w="60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0" w:type="dxa"/>
            <w:gridSpan w:val="3"/>
            <w:tcBorders/>
            <w:shd w:fill="auto" w:val="clear"/>
            <w:vAlign w:val="center"/>
          </w:tcPr>
          <w:p>
            <w:pPr>
              <w:pStyle w:val="TableContents"/>
              <w:spacing w:before="0" w:after="283"/>
              <w:rPr>
                <w:sz w:val="4"/>
                <w:szCs w:val="4"/>
              </w:rPr>
            </w:pPr>
            <w:r>
              <w:rPr>
                <w:sz w:val="4"/>
                <w:szCs w:val="4"/>
              </w:rPr>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bank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0" w:type="dxa"/>
            <w:gridSpan w:val="3"/>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Broker-Dealer Credit Facilities</w:t>
      </w:r>
      <w:r>
        <w:rPr>
          <w:color w:val="000000"/>
        </w:rPr>
        <w:t xml:space="preser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623"/>
        <w:gridCol w:w="549"/>
        <w:gridCol w:w="553"/>
        <w:gridCol w:w="109"/>
        <w:gridCol w:w="109"/>
        <w:gridCol w:w="109"/>
        <w:gridCol w:w="284"/>
        <w:gridCol w:w="284"/>
        <w:gridCol w:w="286"/>
        <w:gridCol w:w="109"/>
        <w:gridCol w:w="109"/>
        <w:gridCol w:w="109"/>
        <w:gridCol w:w="228"/>
        <w:gridCol w:w="1013"/>
        <w:gridCol w:w="126"/>
        <w:gridCol w:w="109"/>
        <w:gridCol w:w="109"/>
        <w:gridCol w:w="109"/>
        <w:gridCol w:w="270"/>
        <w:gridCol w:w="1015"/>
        <w:gridCol w:w="150"/>
        <w:gridCol w:w="109"/>
        <w:gridCol w:w="109"/>
        <w:gridCol w:w="109"/>
        <w:gridCol w:w="324"/>
        <w:gridCol w:w="1013"/>
        <w:gridCol w:w="180"/>
        <w:gridCol w:w="109"/>
        <w:gridCol w:w="109"/>
        <w:gridCol w:w="109"/>
        <w:gridCol w:w="301"/>
        <w:gridCol w:w="1130"/>
        <w:gridCol w:w="241"/>
      </w:tblGrid>
      <w:tr>
        <w:trPr/>
        <w:tc>
          <w:tcPr>
            <w:tcW w:w="623"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$0.2 million of deferred debt issuance costs are included within Other assets on the Consolidated Statement of Financial Condition</w:t>
            </w:r>
          </w:p>
        </w:tc>
      </w:tr>
    </w:tbl>
    <w:tbl>
      <w:tblPr>
        <w:tblW w:w="10205" w:type="dxa"/>
        <w:jc w:val="center"/>
        <w:tblInd w:w="0" w:type="dxa"/>
        <w:tblCellMar>
          <w:top w:w="28" w:type="dxa"/>
          <w:left w:w="28" w:type="dxa"/>
          <w:bottom w:w="28" w:type="dxa"/>
          <w:right w:w="28" w:type="dxa"/>
        </w:tblCellMar>
      </w:tblPr>
      <w:tblGrid>
        <w:gridCol w:w="630"/>
        <w:gridCol w:w="555"/>
        <w:gridCol w:w="560"/>
        <w:gridCol w:w="109"/>
        <w:gridCol w:w="109"/>
        <w:gridCol w:w="109"/>
        <w:gridCol w:w="286"/>
        <w:gridCol w:w="286"/>
        <w:gridCol w:w="288"/>
        <w:gridCol w:w="109"/>
        <w:gridCol w:w="109"/>
        <w:gridCol w:w="109"/>
        <w:gridCol w:w="229"/>
        <w:gridCol w:w="1018"/>
        <w:gridCol w:w="127"/>
        <w:gridCol w:w="109"/>
        <w:gridCol w:w="109"/>
        <w:gridCol w:w="109"/>
        <w:gridCol w:w="394"/>
        <w:gridCol w:w="817"/>
        <w:gridCol w:w="220"/>
        <w:gridCol w:w="109"/>
        <w:gridCol w:w="109"/>
        <w:gridCol w:w="109"/>
        <w:gridCol w:w="408"/>
        <w:gridCol w:w="844"/>
        <w:gridCol w:w="228"/>
        <w:gridCol w:w="109"/>
        <w:gridCol w:w="109"/>
        <w:gridCol w:w="109"/>
        <w:gridCol w:w="432"/>
        <w:gridCol w:w="897"/>
        <w:gridCol w:w="351"/>
      </w:tblGrid>
      <w:tr>
        <w:trPr/>
        <w:tc>
          <w:tcPr>
            <w:tcW w:w="630"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spacing w:before="0" w:after="0"/>
        <w:ind w:left="0" w:right="0" w:firstLine="720"/>
        <w:rPr/>
      </w:pPr>
      <w:r>
        <w:rPr/>
      </w:r>
    </w:p>
    <w:tbl>
      <w:tblPr>
        <w:tblW w:w="6570" w:type="dxa"/>
        <w:jc w:val="center"/>
        <w:tblInd w:w="0" w:type="dxa"/>
        <w:tblCellMar>
          <w:top w:w="28" w:type="dxa"/>
          <w:left w:w="28" w:type="dxa"/>
          <w:bottom w:w="28" w:type="dxa"/>
          <w:right w:w="28" w:type="dxa"/>
        </w:tblCellMar>
      </w:tblPr>
      <w:tblGrid>
        <w:gridCol w:w="834"/>
        <w:gridCol w:w="735"/>
        <w:gridCol w:w="741"/>
        <w:gridCol w:w="109"/>
        <w:gridCol w:w="109"/>
        <w:gridCol w:w="109"/>
        <w:gridCol w:w="109"/>
        <w:gridCol w:w="109"/>
        <w:gridCol w:w="242"/>
        <w:gridCol w:w="242"/>
        <w:gridCol w:w="436"/>
        <w:gridCol w:w="1237"/>
        <w:gridCol w:w="242"/>
        <w:gridCol w:w="109"/>
        <w:gridCol w:w="109"/>
        <w:gridCol w:w="109"/>
        <w:gridCol w:w="196"/>
        <w:gridCol w:w="421"/>
        <w:gridCol w:w="109"/>
        <w:gridCol w:w="109"/>
        <w:gridCol w:w="154"/>
      </w:tblGrid>
      <w:tr>
        <w:trPr/>
        <w:tc>
          <w:tcPr>
            <w:tcW w:w="83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16" w:type="dxa"/>
            <w:gridSpan w:val="8"/>
            <w:tcBorders/>
            <w:shd w:fill="auto" w:val="clea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Short-Term Bank Loans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international securities clearance and settlement activities are funded with operating cash or with short-term bank loans in the form of overdraft facilities. At March 31, 2023, there was no balance associated with international settlement activities outstanding under these facilities. At December 31, 2022, there was $3.9 million associated with international settlement activities outstanding under these facilities at a weighted average interest rate of approximately 3.8%. These short-term bank loan balances are included within Short-term borrowings on the Condensed Consolidated Statements of Financial Condition.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Prime Brokerage Credit Facilities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spacing w:before="0" w:after="0"/>
        <w:ind w:left="0" w:right="0" w:firstLine="720"/>
        <w:rPr/>
      </w:pPr>
      <w:r>
        <w:rPr/>
      </w:r>
    </w:p>
    <w:tbl>
      <w:tblPr>
        <w:tblW w:w="7187" w:type="dxa"/>
        <w:jc w:val="center"/>
        <w:tblInd w:w="0" w:type="dxa"/>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7.71%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285,052 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187" w:type="dxa"/>
        <w:jc w:val="center"/>
        <w:tblInd w:w="0" w:type="dxa"/>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Outstanding borrowings are included with Receivables from/Payables to broker-dealers and clearing organizations within the Condensed Consolidated Statements of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in relation to the facilities was $3.5 million and $1.6 million for the three months ended March 31, 2023 and 2022, respectively.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Long-Term Borrowings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long-term borrowings, net of unamortized discount and debt issuance costs, where applicable:</w:t>
      </w:r>
    </w:p>
    <w:p>
      <w:pPr>
        <w:pStyle w:val="TextBody"/>
        <w:spacing w:before="0" w:after="0"/>
        <w:ind w:left="0" w:right="0" w:firstLine="360"/>
        <w:rPr/>
      </w:pPr>
      <w:r>
        <w:rPr/>
      </w:r>
    </w:p>
    <w:tbl>
      <w:tblPr>
        <w:tblW w:w="10205" w:type="dxa"/>
        <w:jc w:val="center"/>
        <w:tblInd w:w="0" w:type="dxa"/>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2023</w:t>
            </w:r>
          </w:p>
        </w:tc>
      </w:tr>
      <w:tr>
        <w:trPr/>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(25,580)</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1,752,735 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6" w:type="dxa"/>
            <w:gridSpan w:val="3"/>
            <w:tcBorders/>
            <w:shd w:fill="auto" w:val="clear"/>
            <w:vAlign w:val="center"/>
          </w:tcPr>
          <w:p>
            <w:pPr>
              <w:pStyle w:val="TableContents"/>
              <w:spacing w:before="0" w:after="283"/>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26,344 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26,344 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1,808,344 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1,779,079 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541"/>
        <w:gridCol w:w="477"/>
        <w:gridCol w:w="479"/>
        <w:gridCol w:w="109"/>
        <w:gridCol w:w="109"/>
        <w:gridCol w:w="109"/>
        <w:gridCol w:w="287"/>
        <w:gridCol w:w="287"/>
        <w:gridCol w:w="289"/>
        <w:gridCol w:w="109"/>
        <w:gridCol w:w="109"/>
        <w:gridCol w:w="109"/>
        <w:gridCol w:w="220"/>
        <w:gridCol w:w="220"/>
        <w:gridCol w:w="221"/>
        <w:gridCol w:w="109"/>
        <w:gridCol w:w="109"/>
        <w:gridCol w:w="109"/>
        <w:gridCol w:w="226"/>
        <w:gridCol w:w="1008"/>
        <w:gridCol w:w="126"/>
        <w:gridCol w:w="109"/>
        <w:gridCol w:w="109"/>
        <w:gridCol w:w="109"/>
        <w:gridCol w:w="196"/>
        <w:gridCol w:w="591"/>
        <w:gridCol w:w="109"/>
        <w:gridCol w:w="109"/>
        <w:gridCol w:w="109"/>
        <w:gridCol w:w="109"/>
        <w:gridCol w:w="271"/>
        <w:gridCol w:w="959"/>
        <w:gridCol w:w="150"/>
        <w:gridCol w:w="109"/>
        <w:gridCol w:w="109"/>
        <w:gridCol w:w="109"/>
        <w:gridCol w:w="253"/>
        <w:gridCol w:w="1126"/>
        <w:gridCol w:w="207"/>
      </w:tblGrid>
      <w:tr>
        <w:trPr/>
        <w:tc>
          <w:tcPr>
            <w:tcW w:w="54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2022</w:t>
            </w:r>
          </w:p>
        </w:tc>
      </w:tr>
      <w:tr>
        <w:trPr/>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Loan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1,800,000 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(26,858)</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1,769,261 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6" w:type="dxa"/>
            <w:gridSpan w:val="3"/>
            <w:tcBorders/>
            <w:shd w:fill="auto" w:val="clear"/>
            <w:vAlign w:val="center"/>
          </w:tcPr>
          <w:p>
            <w:pPr>
              <w:pStyle w:val="TableContents"/>
              <w:spacing w:before="0" w:after="283"/>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26,691 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1,826,693 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w:t>
      </w:r>
      <w:r>
        <w:rPr>
          <w:color w:val="000000"/>
        </w:rPr>
        <w:t xml:space="preserve"> </w:t>
      </w:r>
      <w:r>
        <w:rPr>
          <w:rFonts w:ascii="Times New Roman;sans-serif" w:hAnsi="Times New Roman;sans-serif"/>
          <w:b w:val="false"/>
          <w:color w:val="000000"/>
          <w:sz w:val="20"/>
        </w:rPr>
        <w:t>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the term loans will mature on January 13, 2029. The term loans amortize in annual installments equal to 1.0% of the original aggregate principal amount of the term loans and the Company repaid $18.0 million on January 13, 2023. The revolving commitments will terminate on January 13, 2025. As of March 31, 2023, $1,782 million was outstanding under the term loans, and there were no amounts outstanding under the first lien revolving facility.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w:t>
      </w:r>
      <w:r>
        <w:rPr>
          <w:color w:val="000000"/>
        </w:rPr>
        <w:t xml:space="preserve"> </w:t>
      </w:r>
      <w:r>
        <w:rPr>
          <w:rFonts w:ascii="Times New Roman;sans-serif" w:hAnsi="Times New Roman;sans-serif"/>
          <w:b w:val="false"/>
          <w:color w:val="000000"/>
          <w:sz w:val="20"/>
        </w:rPr>
        <w:t>The effective fixed interest payment obligations remained at 4.5%, with respect to the earlier maturing swap arrangement, and 4.6% with respect to the later maturing swap arrangement.</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SBI Bonds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($26.3 million) as of March 31, 2023 and ¥3.5 billion ($26.7 million) as of December 31, 2022. The Company had a gain of $0.3 million, and a gain of $2.0 million, during the three months ended March 31, 2023 and 2022, respectively, due to changes in foreign currency rates.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aggregate future required minimum principal payments based on the terms of the long-term borrowings were as follows: </w:t>
      </w:r>
    </w:p>
    <w:p>
      <w:pPr>
        <w:pStyle w:val="TextBody"/>
        <w:spacing w:before="0" w:after="0"/>
        <w:ind w:left="0" w:right="0" w:firstLine="720"/>
        <w:rPr/>
      </w:pPr>
      <w:r>
        <w:rPr/>
      </w:r>
    </w:p>
    <w:tbl>
      <w:tblPr>
        <w:tblW w:w="4541" w:type="dxa"/>
        <w:jc w:val="center"/>
        <w:tblInd w:w="0" w:type="dxa"/>
        <w:tblCellMar>
          <w:top w:w="28" w:type="dxa"/>
          <w:left w:w="28" w:type="dxa"/>
          <w:bottom w:w="28" w:type="dxa"/>
          <w:right w:w="28" w:type="dxa"/>
        </w:tblCellMar>
      </w:tblPr>
      <w:tblGrid>
        <w:gridCol w:w="1052"/>
        <w:gridCol w:w="927"/>
        <w:gridCol w:w="931"/>
        <w:gridCol w:w="109"/>
        <w:gridCol w:w="109"/>
        <w:gridCol w:w="109"/>
        <w:gridCol w:w="209"/>
        <w:gridCol w:w="931"/>
        <w:gridCol w:w="164"/>
      </w:tblGrid>
      <w:tr>
        <w:trPr/>
        <w:tc>
          <w:tcPr>
            <w:tcW w:w="105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1,674,000 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principal of long-term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1,808,344 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9. Financial Assets and Liabilities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Measured at Fair Value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March 31, 2023:</w:t>
      </w:r>
    </w:p>
    <w:tbl>
      <w:tblPr>
        <w:tblW w:w="10205" w:type="dxa"/>
        <w:jc w:val="center"/>
        <w:tblInd w:w="0" w:type="dxa"/>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615,187 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1,739,662 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2,354,849 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297,666 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757,207 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1,054,873 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1,029,894 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1,029,894 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690,832 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(690,341)</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917,566 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4,229,773 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(690,341)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4,456,998 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582,062 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387,851 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969,913 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582,068 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399,270 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981,338 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1,761,081 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1,215,079 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2,976,160 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192,041 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857,874 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1,049,915 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1,067,783 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1,067,783 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(747,397)</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1,956,969 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3,905,209 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(747,397)</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5,114,781 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December 31,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461,487 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1,545,116 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2,006,603 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251,708 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575,946 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827,654 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803,880 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718,446 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3,442,272 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3,667,481 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404,802 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957,443 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552,647 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963,071 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1,146,701 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1,016,893 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2,163,594 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147,418 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690,480 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837,898 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1,183,394 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1,298,008 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3,396,765 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4,196,974 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JNX Investment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March 31, 2023 and December 31, 2022,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on the valuation techniques, significant unobservable inputs and their ranges for the JNX Investment:</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45"/>
        <w:gridCol w:w="345"/>
        <w:gridCol w:w="352"/>
        <w:gridCol w:w="109"/>
        <w:gridCol w:w="109"/>
        <w:gridCol w:w="109"/>
        <w:gridCol w:w="315"/>
        <w:gridCol w:w="293"/>
        <w:gridCol w:w="784"/>
      </w:tblGrid>
      <w:tr>
        <w:trPr/>
        <w:tc>
          <w:tcPr>
            <w:tcW w:w="4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 - 5.0%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15.2% - 15.2%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9.5x - 17.9x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13.1x</w:t>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45"/>
        <w:gridCol w:w="345"/>
        <w:gridCol w:w="352"/>
        <w:gridCol w:w="109"/>
        <w:gridCol w:w="109"/>
        <w:gridCol w:w="109"/>
        <w:gridCol w:w="315"/>
        <w:gridCol w:w="293"/>
        <w:gridCol w:w="784"/>
      </w:tblGrid>
      <w:tr>
        <w:trPr/>
        <w:tc>
          <w:tcPr>
            <w:tcW w:w="4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r>
      <w:tr>
        <w:trPr/>
        <w:tc>
          <w:tcPr>
            <w:tcW w:w="13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2" w:type="dxa"/>
            <w:gridSpan w:val="3"/>
            <w:tcBorders/>
            <w:shd w:fill="auto" w:val="clear"/>
            <w:vAlign w:val="center"/>
          </w:tcPr>
          <w:p>
            <w:pPr>
              <w:pStyle w:val="TableContents"/>
              <w:spacing w:before="0" w:after="283"/>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(5.7)%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15.5% - 15.5%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EBIDTA ratio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(1.2)x - 18.1x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12.2x</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the JNX Investment are included within Other, net in the Consolidated Statements of Comprehensive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the Company's Level 3 financial instruments measured at fair value on a recurring basis:</w:t>
      </w:r>
    </w:p>
    <w:tbl>
      <w:tblPr>
        <w:tblW w:w="496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623" w:type="dxa"/>
            <w:gridSpan w:val="4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96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69" w:type="dxa"/>
            <w:gridSpan w:val="3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623" w:type="dxa"/>
            <w:gridSpan w:val="4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395"/>
        <w:gridCol w:w="348"/>
        <w:gridCol w:w="350"/>
        <w:gridCol w:w="109"/>
        <w:gridCol w:w="109"/>
        <w:gridCol w:w="109"/>
        <w:gridCol w:w="208"/>
        <w:gridCol w:w="685"/>
        <w:gridCol w:w="115"/>
        <w:gridCol w:w="109"/>
        <w:gridCol w:w="109"/>
        <w:gridCol w:w="109"/>
        <w:gridCol w:w="227"/>
        <w:gridCol w:w="471"/>
        <w:gridCol w:w="128"/>
        <w:gridCol w:w="109"/>
        <w:gridCol w:w="109"/>
        <w:gridCol w:w="109"/>
        <w:gridCol w:w="228"/>
        <w:gridCol w:w="650"/>
        <w:gridCol w:w="128"/>
        <w:gridCol w:w="109"/>
        <w:gridCol w:w="109"/>
        <w:gridCol w:w="109"/>
        <w:gridCol w:w="240"/>
        <w:gridCol w:w="498"/>
        <w:gridCol w:w="134"/>
        <w:gridCol w:w="109"/>
        <w:gridCol w:w="109"/>
        <w:gridCol w:w="109"/>
        <w:gridCol w:w="240"/>
        <w:gridCol w:w="497"/>
        <w:gridCol w:w="134"/>
        <w:gridCol w:w="109"/>
        <w:gridCol w:w="109"/>
        <w:gridCol w:w="109"/>
        <w:gridCol w:w="205"/>
        <w:gridCol w:w="678"/>
        <w:gridCol w:w="114"/>
        <w:gridCol w:w="109"/>
        <w:gridCol w:w="109"/>
        <w:gridCol w:w="109"/>
        <w:gridCol w:w="266"/>
        <w:gridCol w:w="757"/>
        <w:gridCol w:w="220"/>
      </w:tblGrid>
      <w:tr>
        <w:trPr/>
        <w:tc>
          <w:tcPr>
            <w:tcW w:w="39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5"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March 31, 2023</w:t>
            </w:r>
          </w:p>
        </w:tc>
      </w:tr>
      <w:tr>
        <w:trPr/>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CellMar>
          <w:top w:w="28" w:type="dxa"/>
          <w:left w:w="28" w:type="dxa"/>
          <w:bottom w:w="28" w:type="dxa"/>
          <w:right w:w="28" w:type="dxa"/>
        </w:tblCellMar>
      </w:tblPr>
      <w:tblGrid>
        <w:gridCol w:w="395"/>
        <w:gridCol w:w="348"/>
        <w:gridCol w:w="350"/>
        <w:gridCol w:w="109"/>
        <w:gridCol w:w="109"/>
        <w:gridCol w:w="109"/>
        <w:gridCol w:w="208"/>
        <w:gridCol w:w="685"/>
        <w:gridCol w:w="115"/>
        <w:gridCol w:w="109"/>
        <w:gridCol w:w="109"/>
        <w:gridCol w:w="109"/>
        <w:gridCol w:w="227"/>
        <w:gridCol w:w="471"/>
        <w:gridCol w:w="128"/>
        <w:gridCol w:w="109"/>
        <w:gridCol w:w="109"/>
        <w:gridCol w:w="109"/>
        <w:gridCol w:w="228"/>
        <w:gridCol w:w="650"/>
        <w:gridCol w:w="128"/>
        <w:gridCol w:w="109"/>
        <w:gridCol w:w="109"/>
        <w:gridCol w:w="109"/>
        <w:gridCol w:w="240"/>
        <w:gridCol w:w="498"/>
        <w:gridCol w:w="134"/>
        <w:gridCol w:w="109"/>
        <w:gridCol w:w="109"/>
        <w:gridCol w:w="109"/>
        <w:gridCol w:w="240"/>
        <w:gridCol w:w="497"/>
        <w:gridCol w:w="134"/>
        <w:gridCol w:w="109"/>
        <w:gridCol w:w="109"/>
        <w:gridCol w:w="109"/>
        <w:gridCol w:w="205"/>
        <w:gridCol w:w="678"/>
        <w:gridCol w:w="114"/>
        <w:gridCol w:w="109"/>
        <w:gridCol w:w="109"/>
        <w:gridCol w:w="109"/>
        <w:gridCol w:w="266"/>
        <w:gridCol w:w="757"/>
        <w:gridCol w:w="220"/>
      </w:tblGrid>
      <w:tr>
        <w:trPr/>
        <w:tc>
          <w:tcPr>
            <w:tcW w:w="39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5"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March 31, 2022</w:t>
            </w:r>
          </w:p>
        </w:tc>
      </w:tr>
      <w:tr>
        <w:trPr/>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3" w:type="dxa"/>
            <w:gridSpan w:val="3"/>
            <w:tcBorders/>
            <w:shd w:fill="auto" w:val="clear"/>
            <w:vAlign w:val="center"/>
          </w:tcPr>
          <w:p>
            <w:pPr>
              <w:pStyle w:val="TableContents"/>
              <w:spacing w:before="0" w:after="283"/>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4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Instruments Not Measured at Fair Value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March 31, 2023:</w:t>
      </w:r>
    </w:p>
    <w:tbl>
      <w:tblPr>
        <w:tblW w:w="10205" w:type="dxa"/>
        <w:jc w:val="center"/>
        <w:tblInd w:w="0" w:type="dxa"/>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768,982 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768,982 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1,458,021 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1,458,021 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1,093,952 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1,093,952 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1,093,952 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4,216,228 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809,181 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3,407,047 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121,238 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1,779,079 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1,752,656 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258,752 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258,752 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25,486 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4,326,924 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4,304,263 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4,304,263 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689" w:type="dxa"/>
            <w:gridSpan w:val="3"/>
            <w:tcBorders/>
            <w:shd w:fill="auto" w:val="clear"/>
            <w:vAlign w:val="center"/>
          </w:tcPr>
          <w:p>
            <w:pPr>
              <w:pStyle w:val="TableContents"/>
              <w:spacing w:before="0" w:after="283"/>
              <w:rPr>
                <w:sz w:val="4"/>
                <w:szCs w:val="4"/>
              </w:rPr>
            </w:pPr>
            <w:r>
              <w:rPr>
                <w:sz w:val="4"/>
                <w:szCs w:val="4"/>
              </w:rPr>
            </w:r>
          </w:p>
        </w:tc>
        <w:tc>
          <w:tcPr>
            <w:tcW w:w="8516" w:type="dxa"/>
            <w:gridSpan w:val="30"/>
            <w:tcBorders/>
            <w:shd w:fill="auto" w:val="clear"/>
          </w:tcPr>
          <w:p>
            <w:pPr>
              <w:pStyle w:val="TableContents"/>
              <w:spacing w:before="0" w:after="283"/>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ind w:left="0" w:right="0" w:firstLine="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December 31, 2022:</w:t>
      </w:r>
    </w:p>
    <w:tbl>
      <w:tblPr>
        <w:tblW w:w="10205" w:type="dxa"/>
        <w:jc w:val="center"/>
        <w:tblInd w:w="0" w:type="dxa"/>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280"/>
        <w:gridCol w:w="1250"/>
        <w:gridCol w:w="158"/>
        <w:gridCol w:w="109"/>
        <w:gridCol w:w="109"/>
        <w:gridCol w:w="109"/>
        <w:gridCol w:w="241"/>
        <w:gridCol w:w="1074"/>
        <w:gridCol w:w="134"/>
        <w:gridCol w:w="109"/>
        <w:gridCol w:w="109"/>
        <w:gridCol w:w="109"/>
        <w:gridCol w:w="355"/>
        <w:gridCol w:w="737"/>
        <w:gridCol w:w="289"/>
      </w:tblGrid>
      <w:tr>
        <w:trPr/>
        <w:tc>
          <w:tcPr>
            <w:tcW w:w="61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1,027,917 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2,663,999 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1,795,952 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1,783,943 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 dealer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273,843 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46,525 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3,832,021 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3,820,012 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r>
        <w:trPr/>
        <w:tc>
          <w:tcPr>
            <w:tcW w:w="1689" w:type="dxa"/>
            <w:gridSpan w:val="3"/>
            <w:tcBorders/>
            <w:shd w:fill="auto" w:val="clear"/>
            <w:vAlign w:val="center"/>
          </w:tcPr>
          <w:p>
            <w:pPr>
              <w:pStyle w:val="TableContents"/>
              <w:spacing w:before="0" w:after="283"/>
              <w:rPr>
                <w:sz w:val="4"/>
                <w:szCs w:val="4"/>
              </w:rPr>
            </w:pPr>
            <w:r>
              <w:rPr>
                <w:sz w:val="4"/>
                <w:szCs w:val="4"/>
              </w:rPr>
            </w:r>
          </w:p>
        </w:tc>
        <w:tc>
          <w:tcPr>
            <w:tcW w:w="8516" w:type="dxa"/>
            <w:gridSpan w:val="30"/>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Offsetting of Financial Assets and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gross and net presentation of certain financial assets and financial liabilities as of March 31, 2023 and December 31, 2022:</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454"/>
        <w:gridCol w:w="360"/>
        <w:gridCol w:w="363"/>
        <w:gridCol w:w="109"/>
        <w:gridCol w:w="109"/>
        <w:gridCol w:w="109"/>
        <w:gridCol w:w="206"/>
        <w:gridCol w:w="918"/>
        <w:gridCol w:w="116"/>
        <w:gridCol w:w="109"/>
        <w:gridCol w:w="109"/>
        <w:gridCol w:w="109"/>
        <w:gridCol w:w="210"/>
        <w:gridCol w:w="810"/>
        <w:gridCol w:w="116"/>
        <w:gridCol w:w="109"/>
        <w:gridCol w:w="109"/>
        <w:gridCol w:w="109"/>
        <w:gridCol w:w="212"/>
        <w:gridCol w:w="945"/>
        <w:gridCol w:w="118"/>
        <w:gridCol w:w="109"/>
        <w:gridCol w:w="109"/>
        <w:gridCol w:w="109"/>
        <w:gridCol w:w="200"/>
        <w:gridCol w:w="910"/>
        <w:gridCol w:w="111"/>
        <w:gridCol w:w="111"/>
        <w:gridCol w:w="111"/>
        <w:gridCol w:w="111"/>
        <w:gridCol w:w="433"/>
        <w:gridCol w:w="594"/>
        <w:gridCol w:w="112"/>
        <w:gridCol w:w="109"/>
        <w:gridCol w:w="109"/>
        <w:gridCol w:w="109"/>
        <w:gridCol w:w="203"/>
        <w:gridCol w:w="671"/>
        <w:gridCol w:w="175"/>
      </w:tblGrid>
      <w:tr>
        <w:trPr/>
        <w:tc>
          <w:tcPr>
            <w:tcW w:w="4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3"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3"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1,458,021 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1,458,021 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(1,433,500)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(713,364)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690,832 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(690,341)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2,938,756 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(690,341)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2,248,415 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(2,146,864)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94,272 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405"/>
        <w:gridCol w:w="356"/>
        <w:gridCol w:w="358"/>
        <w:gridCol w:w="109"/>
        <w:gridCol w:w="109"/>
        <w:gridCol w:w="109"/>
        <w:gridCol w:w="207"/>
        <w:gridCol w:w="923"/>
        <w:gridCol w:w="117"/>
        <w:gridCol w:w="109"/>
        <w:gridCol w:w="109"/>
        <w:gridCol w:w="109"/>
        <w:gridCol w:w="211"/>
        <w:gridCol w:w="814"/>
        <w:gridCol w:w="117"/>
        <w:gridCol w:w="109"/>
        <w:gridCol w:w="109"/>
        <w:gridCol w:w="109"/>
        <w:gridCol w:w="212"/>
        <w:gridCol w:w="942"/>
        <w:gridCol w:w="117"/>
        <w:gridCol w:w="109"/>
        <w:gridCol w:w="109"/>
        <w:gridCol w:w="109"/>
        <w:gridCol w:w="201"/>
        <w:gridCol w:w="912"/>
        <w:gridCol w:w="111"/>
        <w:gridCol w:w="111"/>
        <w:gridCol w:w="111"/>
        <w:gridCol w:w="111"/>
        <w:gridCol w:w="434"/>
        <w:gridCol w:w="595"/>
        <w:gridCol w:w="113"/>
        <w:gridCol w:w="109"/>
        <w:gridCol w:w="109"/>
        <w:gridCol w:w="109"/>
        <w:gridCol w:w="233"/>
        <w:gridCol w:w="663"/>
        <w:gridCol w:w="196"/>
      </w:tblGrid>
      <w:tr>
        <w:trPr/>
        <w:tc>
          <w:tcPr>
            <w:tcW w:w="40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w:t>
            </w:r>
          </w:p>
        </w:tc>
      </w:tr>
      <w:tr>
        <w:trPr/>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(1,015,535)</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1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1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2,786,088 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(747,397)</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2,038,691 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(2,022,842)</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51"/>
        <w:gridCol w:w="358"/>
        <w:gridCol w:w="360"/>
        <w:gridCol w:w="109"/>
        <w:gridCol w:w="109"/>
        <w:gridCol w:w="109"/>
        <w:gridCol w:w="205"/>
        <w:gridCol w:w="916"/>
        <w:gridCol w:w="116"/>
        <w:gridCol w:w="109"/>
        <w:gridCol w:w="109"/>
        <w:gridCol w:w="109"/>
        <w:gridCol w:w="208"/>
        <w:gridCol w:w="801"/>
        <w:gridCol w:w="115"/>
        <w:gridCol w:w="109"/>
        <w:gridCol w:w="109"/>
        <w:gridCol w:w="109"/>
        <w:gridCol w:w="210"/>
        <w:gridCol w:w="934"/>
        <w:gridCol w:w="116"/>
        <w:gridCol w:w="109"/>
        <w:gridCol w:w="109"/>
        <w:gridCol w:w="109"/>
        <w:gridCol w:w="200"/>
        <w:gridCol w:w="907"/>
        <w:gridCol w:w="111"/>
        <w:gridCol w:w="111"/>
        <w:gridCol w:w="111"/>
        <w:gridCol w:w="111"/>
        <w:gridCol w:w="433"/>
        <w:gridCol w:w="590"/>
        <w:gridCol w:w="112"/>
        <w:gridCol w:w="109"/>
        <w:gridCol w:w="109"/>
        <w:gridCol w:w="109"/>
        <w:gridCol w:w="196"/>
        <w:gridCol w:w="736"/>
        <w:gridCol w:w="162"/>
      </w:tblGrid>
      <w:tr>
        <w:trPr/>
        <w:tc>
          <w:tcPr>
            <w:tcW w:w="45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9"/>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9"/>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1,187,674 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(1,148,238)</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336,999 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(336,849)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2,117,694 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(493,237)</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1,624,457 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(1,485,087)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2"/>
        <w:gridCol w:w="822"/>
        <w:gridCol w:w="118"/>
        <w:gridCol w:w="109"/>
        <w:gridCol w:w="109"/>
        <w:gridCol w:w="109"/>
        <w:gridCol w:w="216"/>
        <w:gridCol w:w="960"/>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(1,027,062)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24,270 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(627,388)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2,189,669 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1,691,870 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(1,654,450)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obligations for securities sold under agreements to repurchase and for securities lending transactions by remaining contractual maturity and the class of collateral pledged as of March 31, 2023 and December 31,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6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6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607,307 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607,307 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1,027,536 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6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1,060,432 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10. Derivative Instruments</w:t>
      </w:r>
    </w:p>
    <w:p>
      <w:pPr>
        <w:pStyle w:val="TextBody"/>
        <w:spacing w:before="120" w:after="283"/>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on a gross basis consisted of the following at March 31, 2023 and December 31,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016"/>
        <w:gridCol w:w="718"/>
        <w:gridCol w:w="726"/>
        <w:gridCol w:w="109"/>
        <w:gridCol w:w="109"/>
        <w:gridCol w:w="109"/>
        <w:gridCol w:w="774"/>
        <w:gridCol w:w="575"/>
        <w:gridCol w:w="577"/>
        <w:gridCol w:w="109"/>
        <w:gridCol w:w="109"/>
        <w:gridCol w:w="109"/>
        <w:gridCol w:w="196"/>
        <w:gridCol w:w="594"/>
        <w:gridCol w:w="109"/>
        <w:gridCol w:w="109"/>
        <w:gridCol w:w="109"/>
        <w:gridCol w:w="109"/>
        <w:gridCol w:w="196"/>
        <w:gridCol w:w="871"/>
        <w:gridCol w:w="109"/>
        <w:gridCol w:w="109"/>
        <w:gridCol w:w="109"/>
        <w:gridCol w:w="109"/>
        <w:gridCol w:w="201"/>
        <w:gridCol w:w="572"/>
        <w:gridCol w:w="113"/>
        <w:gridCol w:w="109"/>
        <w:gridCol w:w="109"/>
        <w:gridCol w:w="109"/>
        <w:gridCol w:w="196"/>
        <w:gridCol w:w="871"/>
        <w:gridCol w:w="156"/>
      </w:tblGrid>
      <w:tr>
        <w:trPr/>
        <w:tc>
          <w:tcPr>
            <w:tcW w:w="101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663,110 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6,866,210 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(31,007)</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7,597,057 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5,711,990 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(24,023)</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7,460,531 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691,737 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55,818,504 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500,553 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30,286,330 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87,268 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3,238,651 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55,846,786 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497,799 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30,284,952 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months ended March 31, 2023 and 2022.</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369"/>
        <w:gridCol w:w="1206"/>
        <w:gridCol w:w="1212"/>
        <w:gridCol w:w="109"/>
        <w:gridCol w:w="109"/>
        <w:gridCol w:w="109"/>
        <w:gridCol w:w="718"/>
        <w:gridCol w:w="658"/>
        <w:gridCol w:w="661"/>
        <w:gridCol w:w="109"/>
        <w:gridCol w:w="109"/>
        <w:gridCol w:w="109"/>
        <w:gridCol w:w="161"/>
        <w:gridCol w:w="161"/>
        <w:gridCol w:w="161"/>
        <w:gridCol w:w="161"/>
        <w:gridCol w:w="289"/>
        <w:gridCol w:w="1087"/>
        <w:gridCol w:w="161"/>
        <w:gridCol w:w="109"/>
        <w:gridCol w:w="109"/>
        <w:gridCol w:w="109"/>
        <w:gridCol w:w="196"/>
        <w:gridCol w:w="646"/>
        <w:gridCol w:w="109"/>
        <w:gridCol w:w="109"/>
        <w:gridCol w:w="159"/>
      </w:tblGrid>
      <w:tr>
        <w:trPr/>
        <w:tc>
          <w:tcPr>
            <w:tcW w:w="1369"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6" w:type="dxa"/>
            <w:gridSpan w:val="8"/>
            <w:tcBorders/>
            <w:shd w:fill="auto" w:val="clear"/>
          </w:tcPr>
          <w:p>
            <w:pPr>
              <w:pStyle w:val="TableContents"/>
              <w:spacing w:before="0" w:after="283"/>
              <w:rPr>
                <w:sz w:val="4"/>
                <w:szCs w:val="4"/>
              </w:rPr>
            </w:pPr>
            <w:r>
              <w:rPr>
                <w:sz w:val="4"/>
                <w:szCs w:val="4"/>
              </w:rPr>
            </w:r>
          </w:p>
        </w:tc>
      </w:tr>
      <w:tr>
        <w:trPr/>
        <w:tc>
          <w:tcPr>
            <w:tcW w:w="37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Statements Location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124,466 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(62,937)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on term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(15,393)</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auto" w:val="clear"/>
            <w:vAlign w:val="center"/>
          </w:tcPr>
          <w:p>
            <w:pPr>
              <w:pStyle w:val="TableContents"/>
              <w:spacing w:before="0" w:after="283"/>
              <w:rPr>
                <w:sz w:val="4"/>
                <w:szCs w:val="4"/>
              </w:rPr>
            </w:pPr>
            <w:r>
              <w:rPr>
                <w:sz w:val="4"/>
                <w:szCs w:val="4"/>
              </w:rPr>
            </w:r>
          </w:p>
        </w:tc>
        <w:tc>
          <w:tcPr>
            <w:tcW w:w="1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 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11. Variable Interest Entities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March 31, 2023, the Company held noncontrolling interests of 11.1% and 50.0%, respectively, in these JVs.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offers derivatives trading technology and execution services to broker-dealers, professional traders and select hedge funds. As of March 31, 2023, the Company held approximately a 9.8% noncontrolling interest in this JV.</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March 31, 2023, the Company held approximately a 13.2% noncontrolling interest in this JV.</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March 31, 2023, the Company held approximately a 9.3% noncontrolling interest in this JV.</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the obligations of these VIEs is generally limited to its interests in each respective JV, which is the carrying value of the equity investment in each JV.</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March 31, 2023:</w:t>
      </w:r>
    </w:p>
    <w:p>
      <w:pPr>
        <w:pStyle w:val="TextBody"/>
        <w:spacing w:before="0" w:after="0"/>
        <w:ind w:left="0" w:right="0" w:firstLine="720"/>
        <w:rPr/>
      </w:pPr>
      <w:r>
        <w:rPr/>
      </w:r>
    </w:p>
    <w:tbl>
      <w:tblPr>
        <w:tblW w:w="7561" w:type="dxa"/>
        <w:jc w:val="center"/>
        <w:tblInd w:w="0" w:type="dxa"/>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11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December 31, 2022: </w:t>
      </w:r>
    </w:p>
    <w:p>
      <w:pPr>
        <w:pStyle w:val="TextBody"/>
        <w:spacing w:before="0" w:after="0"/>
        <w:ind w:left="0" w:right="0" w:firstLine="720"/>
        <w:rPr/>
      </w:pPr>
      <w:r>
        <w:rPr/>
      </w:r>
    </w:p>
    <w:tbl>
      <w:tblPr>
        <w:tblW w:w="7561" w:type="dxa"/>
        <w:jc w:val="center"/>
        <w:tblInd w:w="0" w:type="dxa"/>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11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the Company formed a JV to support the growth and expansion of a multi-asset request-for-quote communication platform. As of March 31, 2023,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Revenues from Contracts with Customers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more information on revenue recognition and the nature of services provided, see Note 2 "Summary of Significant Accounting Policies" and Note 13 "Revenues from Contracts with Customers" to the Consolidated Financial Statements of the Company's 2022 Annual Report on Form 10-K.</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service, and timing of revenue recognition, reconciled to the Company’s segments, for the three months ended March 31, 2023, and 2022:</w:t>
      </w:r>
    </w:p>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00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tbl>
      <w:tblPr>
        <w:tblW w:w="9174" w:type="dxa"/>
        <w:jc w:val="left"/>
        <w:tblInd w:w="0" w:type="dxa"/>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77,257 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111,743 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489,220 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118,478 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100,480 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118,478 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tbl>
      <w:tblPr>
        <w:tblW w:w="9174" w:type="dxa"/>
        <w:jc w:val="left"/>
        <w:tblInd w:w="0" w:type="dxa"/>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108,668 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145,607 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133,301 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 and Revenue Recognized from Past Performance Obligations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the aggregate amount of the transaction price allocated to the performance obligations relating to workflow technology and analytics revenues that are unsatisfied (or partially unsatisfied) was not material.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Receivables related to revenues from contracts with customers amounted to $59.0 million and $56.1 million as of March 31, 2023 and December 31, 2022, respectively. The Company did not identify any contract assets. There were no impairment losses on receivables as of March 31, 2023.</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Deferred revenue primarily relates to deferred commissions allocated to analytics products and subscription fees billed in advance of satisfying the performance obligations. Deferred revenue related to contracts with customers was $13.5 million and $9.6 million as of March 31, 2023 and December 31, 2022, respectively. The Company recognized revenue of $6.9 million and $7.5 million </w:t>
      </w:r>
      <w:r>
        <w:rPr>
          <w:rFonts w:ascii="Times New Roman;sans-serif" w:hAnsi="Times New Roman;sans-serif"/>
          <w:b w:val="false"/>
          <w:color w:val="000000"/>
          <w:sz w:val="20"/>
          <w:highlight w:val="white"/>
        </w:rPr>
        <w:t xml:space="preserve">during the three months ended March 31, 2023 and 2022, </w:t>
      </w:r>
      <w:r>
        <w:rPr>
          <w:rFonts w:ascii="Times New Roman;sans-serif" w:hAnsi="Times New Roman;sans-serif"/>
          <w:b w:val="false"/>
          <w:color w:val="000000"/>
          <w:sz w:val="20"/>
        </w:rPr>
        <w:t>that had been recorded as deferred revenue in the respective prior year.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not identified any costs to obtain or fulfill its contracts under ASC 606.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before="0" w:after="0"/>
        <w:jc w:val="both"/>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2023 and 2022,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$24.7 million, and 18.3%, and $41.8 million, and 17.3% for the </w:t>
      </w:r>
      <w:r>
        <w:rPr>
          <w:rFonts w:ascii="Times New Roman;sans-serif" w:hAnsi="Times New Roman;sans-serif"/>
          <w:b w:val="false"/>
          <w:color w:val="000000"/>
          <w:sz w:val="20"/>
          <w:highlight w:val="white"/>
        </w:rPr>
        <w:t>three months ended</w:t>
      </w:r>
      <w:r>
        <w:rPr>
          <w:color w:val="000000"/>
        </w:rPr>
        <w:t xml:space="preserve"> </w:t>
      </w:r>
      <w:r>
        <w:rPr>
          <w:rFonts w:ascii="Times New Roman;sans-serif" w:hAnsi="Times New Roman;sans-serif"/>
          <w:b w:val="false"/>
          <w:color w:val="000000"/>
          <w:sz w:val="20"/>
        </w:rPr>
        <w:t>March 31, 2023 and 2022, respectively. Income tax expense is also affected by the differing effective tax rates in foreign, state and local jurisdictions where certain of the Company’s subsidiaries are subject to corporate taxation.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Other assets on the Condensed Consolidated Statements of Financial Condition at March 31, 2023 and December 31, 2022 are current income tax receivables of $40.6 million and $54.1 million, respectively. The balances at March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31, 2023 and December 31, 2022 primarily comprised income tax benefits due to the Company from federal, state, local, and foreign tax jurisdictions based on income before taxes. Included in Accounts payable, accrued expenses and other liabilities on the Condensed Consolidated Statements of Financial Condition at March 31, 2023 and December 31, 2022 are current tax liabilities of $13.2 million and $13.4 million, respectively. The balances at March 31, 2023 and December 31, 2022 primarily comprise income taxes owed to federal, state and local, and foreign tax jurisdictions based on income before taxes.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2023 and December 31, 2022, the Company did not have any U.S. federal net operating loss carryforwards and therefore the Company did not record a deferred tax asset related to federal net operating loss carryforwards. At March 31, 2023 and December 31, 2022, the Company recorded deferred income taxes related to state and local net operating losses of $0.4 million. These net operating losses will begin to expire in 2039. The Company did not record a valuation allowance against this deferred tax asset.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ITG Acquisition, the Company had non-U.S. net operating losses of $66.1 million and $64.6 million at March 31, 2023 and December 31, 2022, respectively, and recorded a related deferred tax asset of $12.6 million and $12.4 million, respectively. A valuation allowance of $12.6 million and $12.4 million was recorded against this deferred tax asset at March 31, 2023 and December 31, 2022, respectively as it is more likely than not that a substantial portion of this deferred tax asset will not be realized. As a result of the Acquisition of KCG, the Company had non-U.S. net operating losses at March 31, 2023 and December 31, 2022 of $239.3 million, and recorded a related deferred tax asset of $44.9 million in both years. A full valuation allowance was also recorded against this deferred tax asset at both March 31, 2023 and December 31, 2022 as it is more likely than not that this deferred tax asset will not be realized.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 valuation allowance against the remaining deferred taxes was recorded as of March 31, 2023 and December 31, 2022 because it is more likely than not that these deferred tax assets will be fully realized.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U.S. federal, state, local and foreign jurisdictions. As of March 31, 2023, the Company’s tax years for 2015 through 2021 and 2016 through 2021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2021.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had $6.7 million of unrecognized tax benefits as of March 31, 2023, all of which would affect the Company’s effective tax rate if recognized. The Company has determined that there are no uncertain tax positions that would have a material impact on the Company’s financial position as of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Commitments, Contingencies and Guarantees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including, among others, a matter in which the Company has been responding to requests for information from the U.S. Securities and Exchange Commission in connection with an investigation of aspects of the Company’s information access barriers. The Company is cooperating with this civil investigation and has engaged in settlement discussions in respect of the matter.</w:t>
      </w:r>
      <w:r>
        <w:rPr>
          <w:color w:val="000000"/>
        </w:rPr>
        <w:t xml:space="preserve"> </w:t>
      </w:r>
      <w:r>
        <w:rPr>
          <w:rFonts w:ascii="Times New Roman;sans-serif" w:hAnsi="Times New Roman;sans-serif"/>
          <w:b w:val="false"/>
          <w:color w:val="000000"/>
          <w:sz w:val="20"/>
        </w:rPr>
        <w:t>In the absence of a settlement, the Company currently believes it may receive a Wells Notice from the SEC.</w:t>
      </w:r>
      <w:r>
        <w:rPr>
          <w:color w:val="000000"/>
        </w:rPr>
        <w:t xml:space="preserve"> </w:t>
      </w:r>
      <w:r>
        <w:rPr>
          <w:rFonts w:ascii="Times New Roman;sans-serif" w:hAnsi="Times New Roman;sans-serif"/>
          <w:b w:val="false"/>
          <w:color w:val="000000"/>
          <w:sz w:val="20"/>
        </w:rPr>
        <w:t>The proposed action would be expected to allege violations of federal securities laws with respect to the Company’s information barriers policies and procedures for a specified time period in and around January 2018 to April 2019 and related statements made by the Company during such period. The Company believes it would have meritorious defenses in the event of such an action and would plan to assert them.</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On November 30, 2020, the Company was named as a defendant in </w:t>
      </w:r>
      <w:r>
        <w:rPr>
          <w:rFonts w:ascii="Times New Roman;sans-serif" w:hAnsi="Times New Roman;sans-serif"/>
          <w:b w:val="false"/>
          <w:i/>
          <w:color w:val="000000"/>
          <w:sz w:val="20"/>
        </w:rPr>
        <w:t>In re United States Oil Fund, LP Securities Litigation</w:t>
      </w:r>
      <w:r>
        <w:rPr>
          <w:rFonts w:ascii="Times New Roman;sans-serif" w:hAnsi="Times New Roman;sans-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On March 7, 2022, the Company was named as a defendant in </w:t>
      </w:r>
      <w:r>
        <w:rPr>
          <w:rFonts w:ascii="Times New Roman;sans-serif" w:hAnsi="Times New Roman;sans-serif"/>
          <w:b w:val="false"/>
          <w:i/>
          <w:color w:val="000000"/>
          <w:sz w:val="20"/>
        </w:rPr>
        <w:t>Iron Workers Local No. 55 Pension Fund v. Virtu Financial, Inc.</w:t>
      </w:r>
      <w:r>
        <w:rPr>
          <w:rFonts w:ascii="Times New Roman;sans-serif" w:hAnsi="Times New Roman;sans-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On October 17, 2022, the Company’s subsidiary, along with several other parties, was named as a defendant in </w:t>
      </w:r>
      <w:r>
        <w:rPr>
          <w:rFonts w:ascii="Times New Roman;sans-serif" w:hAnsi="Times New Roman;sans-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ans-serif" w:hAnsi="Times New Roman;sans-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that the claims are without merit and is defending itself vigorously.</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On December 1, 2022, the Company’s subsidiary, along with several other parties, was named as a defendant in </w:t>
      </w:r>
      <w:r>
        <w:rPr>
          <w:rFonts w:ascii="Times New Roman;sans-serif" w:hAnsi="Times New Roman;sans-serif"/>
          <w:b w:val="false"/>
          <w:i/>
          <w:color w:val="000000"/>
          <w:sz w:val="20"/>
        </w:rPr>
        <w:t xml:space="preserve">Northwest Biotherapeutics, Inc. v. Canaccord Genuity LLC, et al </w:t>
      </w:r>
      <w:r>
        <w:rPr>
          <w:rFonts w:ascii="Times New Roman;sans-serif" w:hAnsi="Times New Roman;sans-serif"/>
          <w:b w:val="false"/>
          <w:color w:val="000000"/>
          <w:sz w:val="20"/>
        </w:rPr>
        <w:t xml:space="preserve">No. 1:22-cv-10185. The complaint alleges that defendants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engaged in market manipulation in the plaintiff’s stock during a period from 2018 to 2022. The complaint did not specify the amount of alleged damages. The Company believes that the claims are without merit and is defending itself vigorously.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Legal and Regulatory Matters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in 2022 the SEC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the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If adopted, these or other potential rule changes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pStyle w:val="TextBody"/>
        <w:spacing w:before="0" w:after="0"/>
        <w:ind w:left="0" w:right="0" w:firstLine="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Representations and Warranties; Indemnification Arrangements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2022 Annual Report on Form 10-K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Lease assets and liabilities are summarized as follows: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887"/>
        <w:gridCol w:w="780"/>
        <w:gridCol w:w="782"/>
        <w:gridCol w:w="109"/>
        <w:gridCol w:w="109"/>
        <w:gridCol w:w="109"/>
        <w:gridCol w:w="1326"/>
        <w:gridCol w:w="1324"/>
        <w:gridCol w:w="1330"/>
        <w:gridCol w:w="109"/>
        <w:gridCol w:w="109"/>
        <w:gridCol w:w="109"/>
        <w:gridCol w:w="236"/>
        <w:gridCol w:w="888"/>
        <w:gridCol w:w="131"/>
        <w:gridCol w:w="109"/>
        <w:gridCol w:w="109"/>
        <w:gridCol w:w="109"/>
        <w:gridCol w:w="277"/>
        <w:gridCol w:w="1041"/>
        <w:gridCol w:w="222"/>
      </w:tblGrid>
      <w:tr>
        <w:trPr/>
        <w:tc>
          <w:tcPr>
            <w:tcW w:w="88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2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186,629 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187,442 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239,202 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27,908 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(12,736)</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15,323 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and discount rate are as follows:</w:t>
      </w:r>
    </w:p>
    <w:p>
      <w:pPr>
        <w:pStyle w:val="TextBody"/>
        <w:spacing w:before="0" w:after="0"/>
        <w:ind w:left="0" w:right="0" w:firstLine="720"/>
        <w:jc w:val="center"/>
        <w:rPr/>
      </w:pPr>
      <w:r>
        <w:rPr/>
      </w:r>
    </w:p>
    <w:tbl>
      <w:tblPr>
        <w:tblW w:w="6308" w:type="dxa"/>
        <w:jc w:val="center"/>
        <w:tblInd w:w="0" w:type="dxa"/>
        <w:tblCellMar>
          <w:top w:w="28" w:type="dxa"/>
          <w:left w:w="28" w:type="dxa"/>
          <w:bottom w:w="28" w:type="dxa"/>
          <w:right w:w="28" w:type="dxa"/>
        </w:tblCellMar>
      </w:tblPr>
      <w:tblGrid>
        <w:gridCol w:w="1032"/>
        <w:gridCol w:w="907"/>
        <w:gridCol w:w="911"/>
        <w:gridCol w:w="109"/>
        <w:gridCol w:w="109"/>
        <w:gridCol w:w="109"/>
        <w:gridCol w:w="299"/>
        <w:gridCol w:w="299"/>
        <w:gridCol w:w="662"/>
        <w:gridCol w:w="109"/>
        <w:gridCol w:w="109"/>
        <w:gridCol w:w="109"/>
        <w:gridCol w:w="333"/>
        <w:gridCol w:w="333"/>
        <w:gridCol w:w="878"/>
      </w:tblGrid>
      <w:tr>
        <w:trPr/>
        <w:tc>
          <w:tcPr>
            <w:tcW w:w="103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years</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years</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6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spacing w:before="0" w:after="0"/>
        <w:ind w:left="0" w:right="0" w:firstLine="720"/>
        <w:rPr/>
      </w:pPr>
      <w:r>
        <w:rPr/>
      </w:r>
    </w:p>
    <w:tbl>
      <w:tblPr>
        <w:tblW w:w="6508" w:type="dxa"/>
        <w:jc w:val="center"/>
        <w:tblInd w:w="0" w:type="dxa"/>
        <w:tblCellMar>
          <w:top w:w="28" w:type="dxa"/>
          <w:left w:w="28" w:type="dxa"/>
          <w:bottom w:w="28" w:type="dxa"/>
          <w:right w:w="28" w:type="dxa"/>
        </w:tblCellMar>
      </w:tblPr>
      <w:tblGrid>
        <w:gridCol w:w="733"/>
        <w:gridCol w:w="644"/>
        <w:gridCol w:w="648"/>
        <w:gridCol w:w="109"/>
        <w:gridCol w:w="109"/>
        <w:gridCol w:w="109"/>
        <w:gridCol w:w="109"/>
        <w:gridCol w:w="109"/>
        <w:gridCol w:w="223"/>
        <w:gridCol w:w="223"/>
        <w:gridCol w:w="402"/>
        <w:gridCol w:w="1326"/>
        <w:gridCol w:w="223"/>
        <w:gridCol w:w="109"/>
        <w:gridCol w:w="109"/>
        <w:gridCol w:w="109"/>
        <w:gridCol w:w="196"/>
        <w:gridCol w:w="646"/>
        <w:gridCol w:w="109"/>
        <w:gridCol w:w="109"/>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1" w:type="dxa"/>
            <w:gridSpan w:val="8"/>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20,642 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ROU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and finance leases with non-cancelable lease terms, as of March 31, 2023, are as follows:</w:t>
      </w:r>
    </w:p>
    <w:p>
      <w:pPr>
        <w:pStyle w:val="TextBody"/>
        <w:spacing w:before="0" w:after="0"/>
        <w:rPr/>
      </w:pPr>
      <w:r>
        <w:rPr/>
      </w:r>
    </w:p>
    <w:tbl>
      <w:tblPr>
        <w:tblW w:w="4824" w:type="dxa"/>
        <w:jc w:val="center"/>
        <w:tblInd w:w="0" w:type="dxa"/>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c>
          <w:tcPr>
            <w:tcW w:w="1557" w:type="dxa"/>
            <w:gridSpan w:val="6"/>
            <w:tcBorders/>
            <w:shd w:fill="auto" w:val="clea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53,238 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61,883 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2,998 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 and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81,357 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291,626 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24,194 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(54,372)</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16. Cash</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together with restricted or segregated cash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reported within the Condensed Consolidated Statements of Financial Condition to the sum of the same such amounts shown in the Condensed Consolidated Statements of Cash Flows.</w:t>
      </w:r>
    </w:p>
    <w:p>
      <w:pPr>
        <w:pStyle w:val="TextBody"/>
        <w:spacing w:before="0" w:after="0"/>
        <w:rPr/>
      </w:pPr>
      <w:r>
        <w:rPr/>
      </w:r>
    </w:p>
    <w:tbl>
      <w:tblPr>
        <w:tblW w:w="9397" w:type="dxa"/>
        <w:jc w:val="center"/>
        <w:tblInd w:w="0" w:type="dxa"/>
        <w:tblCellMar>
          <w:top w:w="28" w:type="dxa"/>
          <w:left w:w="28" w:type="dxa"/>
          <w:bottom w:w="28" w:type="dxa"/>
          <w:right w:w="28" w:type="dxa"/>
        </w:tblCellMar>
      </w:tblPr>
      <w:tblGrid>
        <w:gridCol w:w="2146"/>
        <w:gridCol w:w="1892"/>
        <w:gridCol w:w="1901"/>
        <w:gridCol w:w="109"/>
        <w:gridCol w:w="109"/>
        <w:gridCol w:w="109"/>
        <w:gridCol w:w="237"/>
        <w:gridCol w:w="891"/>
        <w:gridCol w:w="132"/>
        <w:gridCol w:w="109"/>
        <w:gridCol w:w="109"/>
        <w:gridCol w:w="109"/>
        <w:gridCol w:w="248"/>
        <w:gridCol w:w="1102"/>
        <w:gridCol w:w="194"/>
      </w:tblGrid>
      <w:tr>
        <w:trPr/>
        <w:tc>
          <w:tcPr>
            <w:tcW w:w="2146"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5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981,580 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56,662 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809,181 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1,038,242 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17. Capital Structure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85.6% of the combined voting power of our common stock as a result of its ownership of our Class A, Class C and Class D Common Stock. The Company holds approximately a 59.5% interest in Virtu Financial at March 31, 2023.</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March 31, 2023 and December 31, 2022, there were 4,289,305 and 4,462,840 Virtu Financial Units outstanding held by Employee Holdco (as defined below), respectively, and 173,535 and 305,910 of such Virtu Financial Units and corresponding Class C Common Stock were exchanged into Class A Common Stock, forfeited or repurchased during the three months ended March 31, 2023, and 2022, respectively.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Amended and Restated 2015 Management Incentive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2023, the Company repurchased approximately 36.3 million shares of Class A Common Stock and Virtu Financial Units for approximately $975.2 million. As of March 31, 2023, the Company has approximately $244.8 million remaining capacity for future purchases of shares of Class A Common Stock and Virtu Financial Units under the program.</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Employee Exchanges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pursuant to the exchange agreement by and among the Company, Virtu Financial and holders of Virtu Financial Units, certain current and former employees elected to exchange 152,037, and 71,641 units, respectively in Virtu Financial held directly or on their behalf by Virtu Employee Holdco LLC (“Employee Holdco”) on a one-for-one basis for shares of Class A Common Stock.</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Warrant Issuance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Upon issuance, the fair value of the Warrant was determined using a Black-Scholes-Merton model, and was recorded as a debt issuance cost within Other assets on the Condensed Consolidated Statements of Financial Condition and as an increase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Other Comprehensive Income for the three months ended March 31, 2023, and 2022:</w:t>
      </w:r>
    </w:p>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661" w:type="dxa"/>
            <w:gridSpan w:val="24"/>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883"/>
        <w:gridCol w:w="757"/>
        <w:gridCol w:w="760"/>
        <w:gridCol w:w="127"/>
        <w:gridCol w:w="127"/>
        <w:gridCol w:w="127"/>
        <w:gridCol w:w="297"/>
        <w:gridCol w:w="1049"/>
        <w:gridCol w:w="165"/>
        <w:gridCol w:w="127"/>
        <w:gridCol w:w="127"/>
        <w:gridCol w:w="127"/>
        <w:gridCol w:w="269"/>
        <w:gridCol w:w="889"/>
        <w:gridCol w:w="150"/>
        <w:gridCol w:w="127"/>
        <w:gridCol w:w="127"/>
        <w:gridCol w:w="127"/>
        <w:gridCol w:w="420"/>
        <w:gridCol w:w="1327"/>
        <w:gridCol w:w="233"/>
        <w:gridCol w:w="127"/>
        <w:gridCol w:w="127"/>
        <w:gridCol w:w="127"/>
        <w:gridCol w:w="289"/>
        <w:gridCol w:w="953"/>
        <w:gridCol w:w="240"/>
      </w:tblGrid>
      <w:tr>
        <w:trPr/>
        <w:tc>
          <w:tcPr>
            <w:tcW w:w="88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change in unrealized cash flow hedges gains (losses) (1) </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(12,341)</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31,604 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(6,504)</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24,750 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 As of March 31, 2023, the Company expects approximately $26.0 million to be reclassified from AOCI into earnings over the next 12 months. The timing of the reclassification is based on the interest payment schedule of the long-term borrowings.</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(3,172)</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5913" w:type="dxa"/>
            <w:gridSpan w:val="18"/>
            <w:tcBorders/>
            <w:shd w:fill="auto" w:val="clea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482"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482"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482" w:type="dxa"/>
            <w:gridSpan w:val="3"/>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511"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980"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48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18. Share-based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stock options for the three months ended March 31, 2023 and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18"/>
        <w:gridCol w:w="368"/>
        <w:gridCol w:w="369"/>
        <w:gridCol w:w="499"/>
        <w:gridCol w:w="419"/>
        <w:gridCol w:w="331"/>
        <w:gridCol w:w="109"/>
        <w:gridCol w:w="109"/>
        <w:gridCol w:w="109"/>
        <w:gridCol w:w="402"/>
        <w:gridCol w:w="1141"/>
        <w:gridCol w:w="223"/>
        <w:gridCol w:w="109"/>
        <w:gridCol w:w="109"/>
        <w:gridCol w:w="109"/>
        <w:gridCol w:w="647"/>
        <w:gridCol w:w="647"/>
        <w:gridCol w:w="649"/>
        <w:gridCol w:w="109"/>
        <w:gridCol w:w="109"/>
        <w:gridCol w:w="109"/>
        <w:gridCol w:w="499"/>
        <w:gridCol w:w="419"/>
        <w:gridCol w:w="331"/>
        <w:gridCol w:w="109"/>
        <w:gridCol w:w="109"/>
        <w:gridCol w:w="109"/>
        <w:gridCol w:w="329"/>
        <w:gridCol w:w="937"/>
        <w:gridCol w:w="269"/>
      </w:tblGrid>
      <w:tr>
        <w:trPr/>
        <w:tc>
          <w:tcPr>
            <w:tcW w:w="41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Exercisable</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br/>
              <w:t>Per Share</w:t>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1,795,655 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(246,879)</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(246,879)</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2022</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2023</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1,521,776 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life was determined based on an average of vesting and contractual period. The risk-free interest rate was determined based on the yields available on U.S. Treasury zero-coupon issues. The expected stock price volatility was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determined based on historical volatilities of comparable companies. The expected dividend yield was determined based on estimated future dividend payments divided by the IPO stock price.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Amended and Restated Investment Technology Group, Inc. 2007 Omnibus Equity Compensation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Class A Common Stock, Restricted Stock Units and Restricted Stock Awards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2023 and 2022, respectively, there were 868,315, and 580,710 shares of immediately vested Class A Common Stock granted as part of year-end compensation. In addition, the Company accrued compensation expense of $5.9 million, and $6.0 million for the three months ended March 31, 2023 and 2022,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RSUs (including the Assumed Awards) and RSAs for the three months ended March 31, 2023, and 2022:</w:t>
      </w:r>
    </w:p>
    <w:tbl>
      <w:tblPr>
        <w:tblW w:w="10195" w:type="dxa"/>
        <w:jc w:val="center"/>
        <w:tblInd w:w="0" w:type="dxa"/>
        <w:tblCellMar>
          <w:top w:w="28" w:type="dxa"/>
          <w:left w:w="28" w:type="dxa"/>
          <w:bottom w:w="28" w:type="dxa"/>
          <w:right w:w="28" w:type="dxa"/>
        </w:tblCellMar>
      </w:tblPr>
      <w:tblGrid>
        <w:gridCol w:w="1100"/>
        <w:gridCol w:w="966"/>
        <w:gridCol w:w="970"/>
        <w:gridCol w:w="1224"/>
        <w:gridCol w:w="1224"/>
        <w:gridCol w:w="1229"/>
        <w:gridCol w:w="193"/>
        <w:gridCol w:w="193"/>
        <w:gridCol w:w="193"/>
        <w:gridCol w:w="627"/>
        <w:gridCol w:w="1782"/>
        <w:gridCol w:w="494"/>
      </w:tblGrid>
      <w:tr>
        <w:trPr/>
        <w:tc>
          <w:tcPr>
            <w:tcW w:w="110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 and RSAs</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Fair Value </w:t>
            </w:r>
          </w:p>
        </w:tc>
      </w:tr>
      <w:tr>
        <w:trPr/>
        <w:tc>
          <w:tcPr>
            <w:tcW w:w="3036" w:type="dxa"/>
            <w:gridSpan w:val="3"/>
            <w:tcBorders/>
            <w:shd w:fill="auto" w:val="clear"/>
            <w:vAlign w:val="center"/>
          </w:tcPr>
          <w:p>
            <w:pPr>
              <w:pStyle w:val="TableContents"/>
              <w:spacing w:before="0" w:after="283"/>
              <w:rPr>
                <w:sz w:val="4"/>
                <w:szCs w:val="4"/>
              </w:rPr>
            </w:pPr>
            <w:r>
              <w:rPr>
                <w:sz w:val="4"/>
                <w:szCs w:val="4"/>
              </w:rPr>
            </w:r>
          </w:p>
        </w:tc>
        <w:tc>
          <w:tcPr>
            <w:tcW w:w="367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2903" w:type="dxa"/>
            <w:gridSpan w:val="3"/>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auto" w:val="clear"/>
            <w:vAlign w:val="center"/>
          </w:tcPr>
          <w:p>
            <w:pPr>
              <w:pStyle w:val="TableContents"/>
              <w:spacing w:before="0" w:after="283"/>
              <w:rPr>
                <w:sz w:val="4"/>
                <w:szCs w:val="4"/>
              </w:rPr>
            </w:pPr>
            <w:r>
              <w:rPr>
                <w:sz w:val="4"/>
                <w:szCs w:val="4"/>
              </w:rPr>
            </w:r>
          </w:p>
        </w:tc>
        <w:tc>
          <w:tcPr>
            <w:tcW w:w="367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2903" w:type="dxa"/>
            <w:gridSpan w:val="3"/>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auto" w:val="clear"/>
            <w:vAlign w:val="center"/>
          </w:tcPr>
          <w:p>
            <w:pPr>
              <w:pStyle w:val="TableContents"/>
              <w:spacing w:before="0" w:after="283"/>
              <w:rPr>
                <w:sz w:val="4"/>
                <w:szCs w:val="4"/>
              </w:rPr>
            </w:pPr>
            <w:r>
              <w:rPr>
                <w:sz w:val="4"/>
                <w:szCs w:val="4"/>
              </w:rPr>
            </w:r>
          </w:p>
        </w:tc>
        <w:tc>
          <w:tcPr>
            <w:tcW w:w="367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2903" w:type="dxa"/>
            <w:gridSpan w:val="3"/>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auto" w:val="clear"/>
            <w:vAlign w:val="center"/>
          </w:tcPr>
          <w:p>
            <w:pPr>
              <w:pStyle w:val="TableContents"/>
              <w:spacing w:before="0" w:after="283"/>
              <w:rPr>
                <w:sz w:val="4"/>
                <w:szCs w:val="4"/>
              </w:rPr>
            </w:pPr>
            <w:r>
              <w:rPr>
                <w:sz w:val="4"/>
                <w:szCs w:val="4"/>
              </w:rPr>
            </w:r>
          </w:p>
        </w:tc>
        <w:tc>
          <w:tcPr>
            <w:tcW w:w="367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2903" w:type="dxa"/>
            <w:gridSpan w:val="3"/>
            <w:tcBorders/>
            <w:shd w:fill="auto" w:val="cle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2021</w:t>
            </w:r>
          </w:p>
        </w:tc>
        <w:tc>
          <w:tcPr>
            <w:tcW w:w="2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3,224,447 </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24.30 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2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2,484,363 </w:t>
            </w:r>
          </w:p>
        </w:tc>
        <w:tc>
          <w:tcPr>
            <w:tcW w:w="1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(220,849)</w:t>
            </w:r>
          </w:p>
        </w:tc>
        <w:tc>
          <w:tcPr>
            <w:tcW w:w="1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(1,669,030)</w:t>
            </w:r>
          </w:p>
        </w:tc>
        <w:tc>
          <w:tcPr>
            <w:tcW w:w="1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25.07 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2022</w:t>
            </w:r>
          </w:p>
        </w:tc>
        <w:tc>
          <w:tcPr>
            <w:tcW w:w="24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3,818,931 </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27.60 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2022</w:t>
            </w:r>
          </w:p>
        </w:tc>
        <w:tc>
          <w:tcPr>
            <w:tcW w:w="2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3,954,833 </w:t>
            </w:r>
          </w:p>
        </w:tc>
        <w:tc>
          <w:tcPr>
            <w:tcW w:w="1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 (1)</w:t>
            </w:r>
          </w:p>
        </w:tc>
        <w:tc>
          <w:tcPr>
            <w:tcW w:w="2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3,440,682 </w:t>
            </w:r>
          </w:p>
        </w:tc>
        <w:tc>
          <w:tcPr>
            <w:tcW w:w="1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(71,475)</w:t>
            </w:r>
          </w:p>
        </w:tc>
        <w:tc>
          <w:tcPr>
            <w:tcW w:w="1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30.58 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(2,393,550)</w:t>
            </w:r>
          </w:p>
        </w:tc>
        <w:tc>
          <w:tcPr>
            <w:tcW w:w="1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4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2023</w:t>
            </w:r>
          </w:p>
        </w:tc>
        <w:tc>
          <w:tcPr>
            <w:tcW w:w="2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4,930,490 </w:t>
            </w:r>
          </w:p>
        </w:tc>
        <w:tc>
          <w:tcPr>
            <w:tcW w:w="1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25.18 </w:t>
            </w:r>
          </w:p>
        </w:tc>
        <w:tc>
          <w:tcPr>
            <w:tcW w:w="4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95" w:type="dxa"/>
            <w:gridSpan w:val="12"/>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Excluded in the number of RSUs and RSAs are 37,500 participating RSAs where the grant date has not been achieved because the performance conditions have not been met.</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recognized $10.1 million, and $8.6 million for the three months ended March 31, 2023 and 2022, respectively, of compensation expense in relation to RSUs. As of March 31, 2023 and December 31, 2022, total unrecognized share-based compensation expense related to unvested RSUs was $87.8 million and $54.6 million, respectively, and this amount is to be recognized over a weighted average period of 1.5 and 0.9 years, respectively. Awards in which the specific performance conditions have not been met are not included in unrecognized share-based compensation expense.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120" w:after="283"/>
        <w:jc w:val="both"/>
        <w:rPr/>
      </w:pPr>
      <w:r>
        <w:rPr>
          <w:rFonts w:ascii="Times New Roman;sans-serif" w:hAnsi="Times New Roman;sans-serif"/>
          <w:b/>
          <w:color w:val="000000"/>
          <w:sz w:val="20"/>
        </w:rPr>
        <w:t>19. Regulatory Requirement</w:t>
      </w:r>
      <w:r>
        <w:rPr>
          <w:color w:val="EE2724"/>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 Subsidiary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March 31, 2023. The required amount is determined under the exchange rules as the greater of (i) $1 million or (ii) $75,000 for every 0.1% of NYSE transaction dollar volume in each of the securities for which the Company is registered as the DMM.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VAL's regulatory capital and regulatory capital requirements as of March 31, 2023 was as follows:</w:t>
      </w:r>
    </w:p>
    <w:tbl>
      <w:tblPr>
        <w:tblW w:w="8584" w:type="dxa"/>
        <w:jc w:val="center"/>
        <w:tblInd w:w="0" w:type="dxa"/>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565,680 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As of March 31, 2023, VAL</w:t>
      </w:r>
      <w:r>
        <w:rPr>
          <w:color w:val="000000"/>
        </w:rPr>
        <w:t xml:space="preserve"> </w:t>
      </w:r>
      <w:r>
        <w:rPr>
          <w:rFonts w:ascii="Times New Roman;sans-serif" w:hAnsi="Times New Roman;sans-serif"/>
          <w:b w:val="false"/>
          <w:color w:val="000000"/>
          <w:sz w:val="20"/>
        </w:rPr>
        <w:t xml:space="preserve">had $34.0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$5.9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VAL's regulatory capital and regulatory capital requirements as of December 31, 2022 was as follows:</w:t>
      </w:r>
    </w:p>
    <w:tbl>
      <w:tblPr>
        <w:tblW w:w="8584" w:type="dxa"/>
        <w:jc w:val="center"/>
        <w:tblInd w:w="0" w:type="dxa"/>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553,550 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As of December 31, 2022, VAL had $50.2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$5.8 million of cash in reserve bank accounts for the benefit of proprietary accounts of brokers.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Foreign Subsidiaries</w:t>
      </w:r>
      <w:r>
        <w:rPr>
          <w:color w:val="000000"/>
        </w:rPr>
        <w: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March 31, 2023 were as follows:</w:t>
      </w:r>
    </w:p>
    <w:tbl>
      <w:tblPr>
        <w:tblW w:w="9588" w:type="dxa"/>
        <w:jc w:val="center"/>
        <w:tblInd w:w="0" w:type="dxa"/>
        <w:tblCellMar>
          <w:top w:w="28" w:type="dxa"/>
          <w:left w:w="28" w:type="dxa"/>
          <w:bottom w:w="28" w:type="dxa"/>
          <w:right w:w="28" w:type="dxa"/>
        </w:tblCellMar>
      </w:tblPr>
      <w:tblGrid>
        <w:gridCol w:w="916"/>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Canada Corp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11,809 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0" w:type="dxa"/>
            <w:gridSpan w:val="3"/>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118,361 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28,859 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89,502 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90,779 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38,032 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52,747 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25,796 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8,063 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17,733 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128,570 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56,686 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71,884 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Preliminary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December 31, 2022 were as follows:</w:t>
      </w:r>
    </w:p>
    <w:tbl>
      <w:tblPr>
        <w:tblW w:w="9589" w:type="dxa"/>
        <w:jc w:val="center"/>
        <w:tblInd w:w="0" w:type="dxa"/>
        <w:tblCellMar>
          <w:top w:w="28" w:type="dxa"/>
          <w:left w:w="28" w:type="dxa"/>
          <w:bottom w:w="28" w:type="dxa"/>
          <w:right w:w="28" w:type="dxa"/>
        </w:tblCellMar>
      </w:tblPr>
      <w:tblGrid>
        <w:gridCol w:w="917"/>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Canada Corp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14,064 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78,834 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28,502 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50,332 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89,853 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39,768 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3,115 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26,912 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121,166 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46,025 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75,141 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December 31, 2022, Virtu Europe Trading Limited and Virtu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Geographic Information and Business Segments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2023, and 2022</w:t>
      </w:r>
      <w:r>
        <w:rPr>
          <w:rFonts w:ascii="Times New Roman;sans-serif" w:hAnsi="Times New Roman;sans-serif"/>
          <w:b w:val="false"/>
          <w:color w:val="000000"/>
          <w:sz w:val="18"/>
        </w:rPr>
        <w:t>:</w:t>
      </w:r>
    </w:p>
    <w:p>
      <w:pPr>
        <w:pStyle w:val="TextBody"/>
        <w:spacing w:before="0" w:after="0"/>
        <w:rPr/>
      </w:pPr>
      <w:r>
        <w:rPr/>
      </w:r>
    </w:p>
    <w:tbl>
      <w:tblPr>
        <w:tblW w:w="5713" w:type="dxa"/>
        <w:jc w:val="center"/>
        <w:tblInd w:w="0" w:type="dxa"/>
        <w:tblCellMar>
          <w:top w:w="28" w:type="dxa"/>
          <w:left w:w="28" w:type="dxa"/>
          <w:bottom w:w="28" w:type="dxa"/>
          <w:right w:w="28" w:type="dxa"/>
        </w:tblCellMar>
      </w:tblPr>
      <w:tblGrid>
        <w:gridCol w:w="412"/>
        <w:gridCol w:w="363"/>
        <w:gridCol w:w="365"/>
        <w:gridCol w:w="109"/>
        <w:gridCol w:w="109"/>
        <w:gridCol w:w="109"/>
        <w:gridCol w:w="109"/>
        <w:gridCol w:w="109"/>
        <w:gridCol w:w="207"/>
        <w:gridCol w:w="207"/>
        <w:gridCol w:w="373"/>
        <w:gridCol w:w="1403"/>
        <w:gridCol w:w="207"/>
        <w:gridCol w:w="109"/>
        <w:gridCol w:w="109"/>
        <w:gridCol w:w="109"/>
        <w:gridCol w:w="196"/>
        <w:gridCol w:w="736"/>
        <w:gridCol w:w="109"/>
        <w:gridCol w:w="109"/>
        <w:gridCol w:w="154"/>
      </w:tblGrid>
      <w:tr>
        <w:trPr/>
        <w:tc>
          <w:tcPr>
            <w:tcW w:w="41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522,629 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53,959 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Singapore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Australia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complement to electronic market making, the cash trading business handles specialized orders and also transacts on the OTC Link ATS operated by OTC Markets Group Inc.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2023, and 2022 are summarized in the following table:</w:t>
      </w:r>
    </w:p>
    <w:tbl>
      <w:tblPr>
        <w:tblW w:w="267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086" w:type="dxa"/>
        <w:jc w:val="center"/>
        <w:tblInd w:w="0" w:type="dxa"/>
        <w:tblCellMar>
          <w:top w:w="28" w:type="dxa"/>
          <w:left w:w="28" w:type="dxa"/>
          <w:bottom w:w="28" w:type="dxa"/>
          <w:right w:w="28" w:type="dxa"/>
        </w:tblCellMar>
      </w:tblPr>
      <w:tblGrid>
        <w:gridCol w:w="1445"/>
        <w:gridCol w:w="1275"/>
        <w:gridCol w:w="1285"/>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275"/>
        <w:gridCol w:w="1036"/>
        <w:gridCol w:w="219"/>
      </w:tblGrid>
      <w:tr>
        <w:trPr/>
        <w:tc>
          <w:tcPr>
            <w:tcW w:w="144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Total</w:t>
            </w:r>
          </w:p>
        </w:tc>
      </w:tr>
      <w:tr>
        <w:trPr/>
        <w:tc>
          <w:tcPr>
            <w:tcW w:w="40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2023</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118,478 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124,109 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2022</w:t>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224,220 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0" w:type="dxa"/>
            <w:gridSpan w:val="3"/>
            <w:tcBorders/>
            <w:shd w:fill="auto" w:val="clear"/>
            <w:vAlign w:val="center"/>
          </w:tcPr>
          <w:p>
            <w:pPr>
              <w:pStyle w:val="TableContents"/>
              <w:spacing w:before="0" w:after="283"/>
              <w:rPr>
                <w:sz w:val="4"/>
                <w:szCs w:val="4"/>
              </w:rPr>
            </w:pPr>
            <w:r>
              <w:rPr>
                <w:sz w:val="4"/>
                <w:szCs w:val="4"/>
              </w:rPr>
            </w:r>
          </w:p>
        </w:tc>
      </w:tr>
      <w:tr>
        <w:trPr/>
        <w:tc>
          <w:tcPr>
            <w:tcW w:w="10086" w:type="dxa"/>
            <w:gridSpan w:val="24"/>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21. Related Party Transactions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incurs expenses and maintains balances with its affiliates in the ordinary course of business. As of March 31, 2023, and December 31, 2022 the Company had net payables to its affiliates of $0.4 million and receivables from its affiliates of $0.5 million,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held a minority interest in JNX since 2016 (see Note 9 "Financial Assets and Liabilities"). The Company pays exchange fees to JNX for the trading activities conducted on its proprietary trading system. The Company paid $2.5 million and $3.8 million for the three months ended March 31, 2023 and 2022, respectively, to JNX for these trading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$6.3 million and $5.5 million for the three months ended March 31, 2023 and 2022, respectively.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Members Exchange, a member-owned equities exchange. The Company pays regulatory and transaction fees and receives rebates from trading activities. The Company received rebates of $0.1 million and made payments of $6.7 million for the three months ended March 31, 2023 and 2022, respectively.</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as of March 31, 2023. Refer to Note 11 "Variable Interest Entities" for further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22. Subsequent Events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20, 2023, the Company’s Board of Directors declared a dividend of $0.24 per share of Class A Common Stock and Class B Common Stock and per participating Restricted Stock Unit and Restricted Stock Award that will be paid on June 15, 2023 to holders of record as of June 1, 2023.</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The following management’s discussion and analysis covers the three months ended March 31, 2023, and 2022 should be read in conjunction with the Condensed Consolidated Financial Statements and accompanying notes for the period ended March 31, 2023, which are included in Part 1, Item 1 of this Quarterly Report on Form 10-Q, and the audited consolidated financial statements and accompanying notes and MD&amp;A for the year ended December 31, 2022, which are included in Items 8 and 7 respectively, of the Company's Annual Report on Form 10-K for the year ended December 31, 2022.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2022, as filed with the Securities and Exchange Commission ("SEC") on February 17, 2023 (the "2022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2022 Form 10-K, could affect our actual financial results or results of operations and cash flows, and could cause actual results to differ materially from those in such forward-looking statements, including but not limited to:</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 xml:space="preserve">volatility in levels of overall trading activity; </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dependence upon trading counterparties and clearing houses performing their obligations to us;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failures of our customized trading platform;</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risks inherent to the electronic market making business and trading generally;</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recent 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increased competition in market making activities and execution services;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dependence on continued access to sources of liquidity;</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risks associated with self-clearing and other operational elements of our business, including but limited to risks related to funding and liquidity;</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obligations to comply with applicable regulatory capital requirements;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litigation or other legal and regulatory-based liabilities;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obligations to comply with laws and regulations applicable to our operations in the U.S. and abroad;</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need to maintain and continue developing proprietary technologies;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capacity constraints, system failures, and delays;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dependence on third-party infrastructure or systems;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use of open source software;</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failure to protect or enforce our intellectual property rights in our proprietary technology;</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failure to protect confidential and proprietary information;</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risks associated with international operations and expansion, including failed acquisitions or dispositions;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risks associated with potential growth and associated corporate actions;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inability to access, or delay in accessing, the capital markets to sell shares or raise additional capital;</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loss of key executives and failure to recruit and retain qualified personnel; and</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risks associated with losing access to a significant exchange or other trading venue.</w:t>
      </w:r>
    </w:p>
    <w:p>
      <w:pPr>
        <w:pStyle w:val="TextBody"/>
        <w:spacing w:before="0" w:after="0"/>
        <w:ind w:left="0" w:right="0" w:firstLine="18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Market Making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Execution Services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Acquisition of ITG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Amended and Restated 2015 Management Incentive Plan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March 31, 2023, options to purchase 1,633,750 shares in the aggregate were forfeited and 6,072,474 options were exercised. The fair value of the stock option grants was determined through the application of the Black-Scholes-Merton model and was recognized on a straight-line basis over the vesting period.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Amended and Restated Investment Technology Group, Inc. 2007 Omnibus Equity Compensation Plan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Parent Company Financial Information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2023 in the amount of $3.6 million; (ii) deferred tax assets reflected on our Condensed Consolidated Statements of Financial Condition as of March 31, 2023 in the amount of $135.9 million and tax receivable agreement obligation in the amount of $238.8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2023; and (iv) provision for corporate income tax in the amount of $17.9 million reflected on our Condensed Consolidated Statements of Comprehensive Income for the three months ended March 31, 2023.</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i) Total revenue, ii) Total operating expenses, and iii) Income before income taxes and noncontrolling interest by segment for the three months ended March 31, 2023, and 2022:</w:t>
      </w:r>
    </w:p>
    <w:p>
      <w:pPr>
        <w:pStyle w:val="TextBody"/>
        <w:spacing w:before="0" w:after="0"/>
        <w:ind w:left="0" w:right="0" w:firstLine="360"/>
        <w:rPr/>
      </w:pPr>
      <w:r>
        <w:rPr/>
      </w:r>
    </w:p>
    <w:tbl>
      <w:tblPr>
        <w:tblW w:w="8362" w:type="dxa"/>
        <w:jc w:val="center"/>
        <w:tblInd w:w="0" w:type="dxa"/>
        <w:tblCellMar>
          <w:top w:w="28" w:type="dxa"/>
          <w:left w:w="28" w:type="dxa"/>
          <w:bottom w:w="28" w:type="dxa"/>
          <w:right w:w="28" w:type="dxa"/>
        </w:tblCellMar>
      </w:tblPr>
      <w:tblGrid>
        <w:gridCol w:w="1451"/>
        <w:gridCol w:w="1275"/>
        <w:gridCol w:w="1279"/>
        <w:gridCol w:w="109"/>
        <w:gridCol w:w="109"/>
        <w:gridCol w:w="109"/>
        <w:gridCol w:w="177"/>
        <w:gridCol w:w="177"/>
        <w:gridCol w:w="177"/>
        <w:gridCol w:w="177"/>
        <w:gridCol w:w="318"/>
        <w:gridCol w:w="1196"/>
        <w:gridCol w:w="177"/>
        <w:gridCol w:w="109"/>
        <w:gridCol w:w="109"/>
        <w:gridCol w:w="109"/>
        <w:gridCol w:w="196"/>
        <w:gridCol w:w="736"/>
        <w:gridCol w:w="109"/>
        <w:gridCol w:w="109"/>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shd w:fill="auto" w:val="clear"/>
          </w:tcPr>
          <w:p>
            <w:pPr>
              <w:pStyle w:val="TableContents"/>
              <w:spacing w:before="0" w:after="283"/>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374,812 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124,109 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118,478 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109,463 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485,615 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results of operations for the three months ended March 31, 2023, and 2022: </w:t>
      </w:r>
    </w:p>
    <w:p>
      <w:pPr>
        <w:pStyle w:val="TextBody"/>
        <w:spacing w:before="0" w:after="0"/>
        <w:ind w:left="0" w:right="0" w:firstLine="720"/>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tbl>
      <w:tblPr>
        <w:tblW w:w="10166" w:type="dxa"/>
        <w:jc w:val="center"/>
        <w:tblInd w:w="0" w:type="dxa"/>
        <w:tblCellMar>
          <w:top w:w="28" w:type="dxa"/>
          <w:left w:w="28" w:type="dxa"/>
          <w:bottom w:w="28" w:type="dxa"/>
          <w:right w:w="28" w:type="dxa"/>
        </w:tblCellMar>
      </w:tblPr>
      <w:tblGrid>
        <w:gridCol w:w="1974"/>
        <w:gridCol w:w="1739"/>
        <w:gridCol w:w="1746"/>
        <w:gridCol w:w="109"/>
        <w:gridCol w:w="109"/>
        <w:gridCol w:w="109"/>
        <w:gridCol w:w="109"/>
        <w:gridCol w:w="109"/>
        <w:gridCol w:w="188"/>
        <w:gridCol w:w="188"/>
        <w:gridCol w:w="338"/>
        <w:gridCol w:w="1270"/>
        <w:gridCol w:w="415"/>
        <w:gridCol w:w="109"/>
        <w:gridCol w:w="109"/>
        <w:gridCol w:w="109"/>
        <w:gridCol w:w="196"/>
        <w:gridCol w:w="736"/>
        <w:gridCol w:w="241"/>
        <w:gridCol w:w="109"/>
        <w:gridCol w:w="154"/>
      </w:tblGrid>
      <w:tr>
        <w:trPr/>
        <w:tc>
          <w:tcPr>
            <w:tcW w:w="1974"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63" w:type="dxa"/>
            <w:gridSpan w:val="8"/>
            <w:tcBorders/>
            <w:shd w:fill="auto" w:val="clear"/>
          </w:tcPr>
          <w:p>
            <w:pPr>
              <w:pStyle w:val="TableContents"/>
              <w:spacing w:before="0" w:after="283"/>
              <w:rPr>
                <w:sz w:val="4"/>
                <w:szCs w:val="4"/>
              </w:rPr>
            </w:pPr>
            <w:r>
              <w:rPr>
                <w:sz w:val="4"/>
                <w:szCs w:val="4"/>
              </w:rPr>
            </w:r>
          </w:p>
        </w:tc>
      </w:tr>
      <w:tr>
        <w:trPr/>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412,511 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82,244 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121,444 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145,523 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56,812 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55,835 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103,437 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97,601 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24,299 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15,348 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24,288 </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485,615 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459,551 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134,765 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24,682 </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110,083 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Margin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income available to stockholders and basic and diluted earnings per share are presented below:</w:t>
      </w:r>
    </w:p>
    <w:tbl>
      <w:tblPr>
        <w:tblW w:w="8397" w:type="dxa"/>
        <w:jc w:val="left"/>
        <w:tblInd w:w="0" w:type="dxa"/>
        <w:tblCellMar>
          <w:top w:w="28" w:type="dxa"/>
          <w:left w:w="28" w:type="dxa"/>
          <w:bottom w:w="28" w:type="dxa"/>
          <w:right w:w="28" w:type="dxa"/>
        </w:tblCellMar>
      </w:tblPr>
      <w:tblGrid>
        <w:gridCol w:w="1342"/>
        <w:gridCol w:w="1181"/>
        <w:gridCol w:w="1182"/>
        <w:gridCol w:w="109"/>
        <w:gridCol w:w="109"/>
        <w:gridCol w:w="109"/>
        <w:gridCol w:w="109"/>
        <w:gridCol w:w="109"/>
        <w:gridCol w:w="207"/>
        <w:gridCol w:w="207"/>
        <w:gridCol w:w="373"/>
        <w:gridCol w:w="1403"/>
        <w:gridCol w:w="207"/>
        <w:gridCol w:w="109"/>
        <w:gridCol w:w="109"/>
        <w:gridCol w:w="109"/>
        <w:gridCol w:w="221"/>
        <w:gridCol w:w="830"/>
        <w:gridCol w:w="109"/>
        <w:gridCol w:w="109"/>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0" w:type="dxa"/>
            <w:gridSpan w:val="8"/>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(52,202)</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97,795,957 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109,329,468 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97,813,691 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110,066,641 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Trading income, net.</w:t>
      </w:r>
      <w:r>
        <w:rPr>
          <w:color w:val="000000"/>
        </w:rPr>
        <w:t xml:space="preserve"> </w:t>
      </w:r>
      <w:r>
        <w:rPr>
          <w:rFonts w:ascii="Times New Roman;sans-serif" w:hAnsi="Times New Roman;sans-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66% and 74% of our total revenues for the three months ended March 31, 2023 and 2022, respectively.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 xml:space="preserve">We earn revenues on transactions for which we charge explicit commissions or commission equivalents,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Revenues are derived from fees generated by matching sell-side and buy-side clients orders, and from analytic products delivered to the clients.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We have interests in multiple strategic investments and telecommunications joint ventures (“JVs”). We record our pro-rata share of each JV’s earnings or losses within Other, net, while fees related to the use of communication services provided by the JVs are recorded within Communications and data processing.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net can also include gains on sales of strategic investments and businesses, as well as revenues from service agreements related to the sale of businesses.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Brokerage, exchange, clearance fees and payments for order flow, net.</w:t>
      </w:r>
      <w:r>
        <w:rPr>
          <w:color w:val="000000"/>
        </w:rPr>
        <w:t xml:space="preserve"> </w:t>
      </w:r>
      <w:r>
        <w:rPr>
          <w:rFonts w:ascii="Times New Roman;sans-serif" w:hAnsi="Times New Roman;sans-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Communication and data processing.</w:t>
      </w:r>
      <w:r>
        <w:rPr>
          <w:color w:val="000000"/>
        </w:rPr>
        <w:t xml:space="preserve"> </w:t>
      </w:r>
      <w:r>
        <w:rPr>
          <w:rFonts w:ascii="Times New Roman;sans-serif" w:hAnsi="Times New Roman;sans-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Employee compensation and payroll taxes.</w:t>
      </w:r>
      <w:r>
        <w:rPr>
          <w:color w:val="000000"/>
        </w:rPr>
        <w:t xml:space="preserve"> </w:t>
      </w:r>
      <w:r>
        <w:rPr>
          <w:rFonts w:ascii="Times New Roman;sans-serif" w:hAnsi="Times New Roman;sans-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Interest and dividends expense.</w:t>
      </w:r>
      <w:r>
        <w:rPr>
          <w:color w:val="000000"/>
        </w:rPr>
        <w:t xml:space="preserve"> </w:t>
      </w:r>
      <w:r>
        <w:rPr>
          <w:rFonts w:ascii="Times New Roman;sans-serif" w:hAnsi="Times New Roman;sans-serif"/>
          <w:b w:val="false"/>
          <w:color w:val="000000"/>
          <w:sz w:val="20"/>
        </w:rPr>
        <w:t>We incur interest expense from loaning certain equity securities in the general course of our market making activities pursuant to collateralized lending transactions. Typically, dividend expense is incurred when a dividend is paid on securities sold short.</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Operations and administrative.</w:t>
      </w:r>
      <w:r>
        <w:rPr>
          <w:color w:val="000000"/>
        </w:rPr>
        <w:t xml:space="preserve"> </w:t>
      </w:r>
      <w:r>
        <w:rPr>
          <w:rFonts w:ascii="Times New Roman;sans-serif" w:hAnsi="Times New Roman;sans-serif"/>
          <w:b w:val="false"/>
          <w:color w:val="000000"/>
          <w:sz w:val="20"/>
        </w:rPr>
        <w:t>Operations and administrative expense represents occupancy, recruiting, travel and related expense, professional fees and other expenses.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Amortization of purchased intangibles and acquired capitalized software.</w:t>
      </w:r>
      <w:r>
        <w:rPr>
          <w:color w:val="000000"/>
        </w:rPr>
        <w:t xml:space="preserve"> </w:t>
      </w:r>
      <w:r>
        <w:rPr>
          <w:rFonts w:ascii="Times New Roman;sans-serif" w:hAnsi="Times New Roman;sans-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represents the write-off expense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As a result of the refinancing or early termination of our long-term 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primarily reflect professional fees incurred by us in connection with one or more acquisitions or dispositions.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Financing interest expense on long-term borrowings.</w:t>
      </w:r>
      <w:r>
        <w:rPr>
          <w:color w:val="000000"/>
        </w:rPr>
        <w:t xml:space="preserve"> </w:t>
      </w:r>
      <w:r>
        <w:rPr>
          <w:rFonts w:ascii="Times New Roman;sans-serif" w:hAnsi="Times New Roman;sans-serif"/>
          <w:b w:val="false"/>
          <w:color w:val="000000"/>
          <w:sz w:val="20"/>
        </w:rPr>
        <w:t>Financing interest expense reflects interest accrued on outstanding indebtedness under our long-term borrowing arrangements.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Non-GAAP Financial Measures and Other Items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spacing w:before="0" w:after="0"/>
        <w:rPr/>
      </w:pPr>
      <w:r>
        <w:rPr/>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and the sales of businesses.</w:t>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Operating Margins, which are calculated by dividing net income, EBITDA, and Adjusted EBITDA by Adjusted Net Trading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spacing w:before="0" w:after="0"/>
        <w:rPr/>
      </w:pPr>
      <w:r>
        <w:rPr/>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they do not reflect every cash expenditure, future requirements for capital expenditures or contractual commitments;</w:t>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our EBITDA-based measures do not reflect the significant interest expense or the cash requirements necessary to service interest or principal payment on our debt;</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they are not adjusted for all non-cash income or expense items that are reflected in our consolidated statements of cash flows;</w:t>
      </w:r>
    </w:p>
    <w:p>
      <w:pPr>
        <w:pStyle w:val="TextBody"/>
        <w:spacing w:lineRule="auto" w:line="288" w:before="0" w:after="120"/>
        <w:ind w:left="0" w:right="0" w:hanging="270"/>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 and</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they do not reflect limitations on our costs related to transferring earnings from our subsidiaries to us.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Condensed Consolidated Statements of Comprehensive Income to arrive at Adjusted Net Trading Income, EBITDA, Adjusted EBITDA, and Operating Margins for the three months ended March 31, 2023, and 2022.</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983"/>
        <w:gridCol w:w="1750"/>
        <w:gridCol w:w="1765"/>
        <w:gridCol w:w="109"/>
        <w:gridCol w:w="109"/>
        <w:gridCol w:w="109"/>
        <w:gridCol w:w="109"/>
        <w:gridCol w:w="109"/>
        <w:gridCol w:w="187"/>
        <w:gridCol w:w="187"/>
        <w:gridCol w:w="337"/>
        <w:gridCol w:w="1269"/>
        <w:gridCol w:w="414"/>
        <w:gridCol w:w="109"/>
        <w:gridCol w:w="109"/>
        <w:gridCol w:w="109"/>
        <w:gridCol w:w="196"/>
        <w:gridCol w:w="736"/>
        <w:gridCol w:w="241"/>
        <w:gridCol w:w="109"/>
        <w:gridCol w:w="159"/>
      </w:tblGrid>
      <w:tr>
        <w:trPr/>
        <w:tc>
          <w:tcPr>
            <w:tcW w:w="1983"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68" w:type="dxa"/>
            <w:gridSpan w:val="8"/>
            <w:tcBorders/>
            <w:shd w:fill="auto" w:val="clear"/>
          </w:tcPr>
          <w:p>
            <w:pPr>
              <w:pStyle w:val="TableContents"/>
              <w:spacing w:before="0" w:after="283"/>
              <w:rPr>
                <w:sz w:val="4"/>
                <w:szCs w:val="4"/>
              </w:rPr>
            </w:pPr>
            <w:r>
              <w:rPr>
                <w:sz w:val="4"/>
                <w:szCs w:val="4"/>
              </w:rPr>
            </w:r>
          </w:p>
        </w:tc>
      </w:tr>
      <w:tr>
        <w:trPr/>
        <w:tc>
          <w:tcPr>
            <w:tcW w:w="54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412,511 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522,307 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82,244 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121,444 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(145,523)</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(150,380)</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(97,601)</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373,075 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110,083 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24,288 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15,348 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24,682 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192,597 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322,685 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w:t>
            </w:r>
          </w:p>
        </w:tc>
        <w:tc>
          <w:tcPr>
            <w:tcW w:w="4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15,583 </w:t>
            </w:r>
          </w:p>
        </w:tc>
        <w:tc>
          <w:tcPr>
            <w:tcW w:w="4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207,469 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343,789 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Margin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Margin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Margin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Adjusted Net Trading Income.</w:t>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(2)Calculated by dividing EBITDA by Adjusted Net Trading Income.</w:t>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(3)Calculated by dividing Adjusted EBITDA by Adjusted Net Trading Income.</w:t>
      </w:r>
    </w:p>
    <w:p>
      <w:pPr>
        <w:pStyle w:val="TextBody"/>
        <w:spacing w:before="0" w:after="0"/>
        <w:ind w:left="0" w:right="0" w:hanging="9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before="0" w:after="200"/>
        <w:ind w:left="0" w:right="0" w:firstLine="720"/>
        <w:rPr/>
      </w:pPr>
      <w:r>
        <w:rPr/>
      </w:r>
    </w:p>
    <w:p>
      <w:pPr>
        <w:pStyle w:val="TextBody"/>
        <w:spacing w:before="0" w:after="200"/>
        <w:ind w:left="0" w:right="0" w:firstLine="720"/>
        <w:rPr/>
      </w:pPr>
      <w:r>
        <w:rPr/>
      </w:r>
    </w:p>
    <w:p>
      <w:pPr>
        <w:pStyle w:val="TextBody"/>
        <w:spacing w:lineRule="auto" w:line="288" w:before="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to arrive at Normalized Adjusted Net Income before income taxes, Normalized provision for income taxes, Normalized Adjusted Net Income and Normalized Adjusted EPS for the three months ended March 31, 2023, and 2022:</w:t>
      </w:r>
    </w:p>
    <w:tbl>
      <w:tblPr>
        <w:tblW w:w="10197" w:type="dxa"/>
        <w:jc w:val="center"/>
        <w:tblInd w:w="0" w:type="dxa"/>
        <w:tblCellMar>
          <w:top w:w="28" w:type="dxa"/>
          <w:left w:w="28" w:type="dxa"/>
          <w:bottom w:w="28" w:type="dxa"/>
          <w:right w:w="28" w:type="dxa"/>
        </w:tblCellMar>
      </w:tblPr>
      <w:tblGrid>
        <w:gridCol w:w="1994"/>
        <w:gridCol w:w="1752"/>
        <w:gridCol w:w="1759"/>
        <w:gridCol w:w="109"/>
        <w:gridCol w:w="109"/>
        <w:gridCol w:w="109"/>
        <w:gridCol w:w="109"/>
        <w:gridCol w:w="109"/>
        <w:gridCol w:w="207"/>
        <w:gridCol w:w="207"/>
        <w:gridCol w:w="373"/>
        <w:gridCol w:w="1403"/>
        <w:gridCol w:w="207"/>
        <w:gridCol w:w="109"/>
        <w:gridCol w:w="109"/>
        <w:gridCol w:w="109"/>
        <w:gridCol w:w="221"/>
        <w:gridCol w:w="830"/>
        <w:gridCol w:w="109"/>
        <w:gridCol w:w="109"/>
        <w:gridCol w:w="154"/>
      </w:tblGrid>
      <w:tr>
        <w:trPr/>
        <w:tc>
          <w:tcPr>
            <w:tcW w:w="1994"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0" w:type="dxa"/>
            <w:gridSpan w:val="8"/>
            <w:tcBorders/>
            <w:shd w:fill="auto" w:val="clear"/>
          </w:tcPr>
          <w:p>
            <w:pPr>
              <w:pStyle w:val="TableContents"/>
              <w:spacing w:before="0" w:after="283"/>
              <w:rPr>
                <w:sz w:val="4"/>
                <w:szCs w:val="4"/>
              </w:rPr>
            </w:pPr>
            <w:r>
              <w:rPr>
                <w:sz w:val="4"/>
                <w:szCs w:val="4"/>
              </w:rPr>
            </w:r>
          </w:p>
        </w:tc>
      </w:tr>
      <w:tr>
        <w:trPr/>
        <w:tc>
          <w:tcPr>
            <w:tcW w:w="5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24,682 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134,765 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167,833 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provision for income taxes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40,281 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127,552 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Adjusted shares outstanding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171,353,224 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183,172,671 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(1)Reflects U.S. federal, state, and local income tax rate applicable to corporations of approximately 24% for all periods presented.</w:t>
      </w:r>
    </w:p>
    <w:p>
      <w:pPr>
        <w:pStyle w:val="TextBody"/>
        <w:spacing w:lineRule="auto" w:line="288" w:before="0" w:after="0"/>
        <w:ind w:left="0" w:right="0" w:hanging="450"/>
        <w:rPr>
          <w:rFonts w:ascii="Times New Roman;sans-serif" w:hAnsi="Times New Roman;sans-serif"/>
          <w:b w:val="false"/>
          <w:color w:val="000000"/>
          <w:sz w:val="18"/>
        </w:rPr>
      </w:pPr>
      <w:r>
        <w:rPr>
          <w:rFonts w:ascii="Times New Roman;sans-serif" w:hAnsi="Times New Roman;sans-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months ended March 31, 2023 and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Trading income, net to Adjusted Net Trading Income by segment for the three months ended March 31, 2023, and 2022:</w:t>
      </w:r>
    </w:p>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599"/>
        <w:gridCol w:w="1374"/>
        <w:gridCol w:w="1380"/>
        <w:gridCol w:w="109"/>
        <w:gridCol w:w="109"/>
        <w:gridCol w:w="109"/>
        <w:gridCol w:w="227"/>
        <w:gridCol w:w="856"/>
        <w:gridCol w:w="126"/>
        <w:gridCol w:w="109"/>
        <w:gridCol w:w="109"/>
        <w:gridCol w:w="109"/>
        <w:gridCol w:w="283"/>
        <w:gridCol w:w="933"/>
        <w:gridCol w:w="156"/>
        <w:gridCol w:w="109"/>
        <w:gridCol w:w="109"/>
        <w:gridCol w:w="109"/>
        <w:gridCol w:w="240"/>
        <w:gridCol w:w="497"/>
        <w:gridCol w:w="134"/>
        <w:gridCol w:w="109"/>
        <w:gridCol w:w="109"/>
        <w:gridCol w:w="109"/>
        <w:gridCol w:w="196"/>
        <w:gridCol w:w="736"/>
        <w:gridCol w:w="160"/>
      </w:tblGrid>
      <w:tr>
        <w:trPr/>
        <w:tc>
          <w:tcPr>
            <w:tcW w:w="1599"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3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43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5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408,343 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111,743 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(122,950)</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(145,523)</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(96,924)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(97,601)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277,857 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373,075 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43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516,358 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145,607 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(123,515)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(26,865)</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(150,380)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(41,027)</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381,846 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505,055 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Adjusted Net Trading Income and average daily Adjusted Net Trading Income by segment for the three months ended March 31, 2023, and 2022:</w:t>
      </w:r>
    </w:p>
    <w:tbl>
      <w:tblPr>
        <w:tblW w:w="234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234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85"/>
        <w:gridCol w:w="601"/>
        <w:gridCol w:w="604"/>
        <w:gridCol w:w="109"/>
        <w:gridCol w:w="109"/>
        <w:gridCol w:w="109"/>
        <w:gridCol w:w="196"/>
        <w:gridCol w:w="736"/>
        <w:gridCol w:w="109"/>
        <w:gridCol w:w="109"/>
        <w:gridCol w:w="109"/>
        <w:gridCol w:w="109"/>
        <w:gridCol w:w="225"/>
        <w:gridCol w:w="638"/>
        <w:gridCol w:w="125"/>
        <w:gridCol w:w="109"/>
        <w:gridCol w:w="109"/>
        <w:gridCol w:w="109"/>
        <w:gridCol w:w="278"/>
        <w:gridCol w:w="278"/>
        <w:gridCol w:w="241"/>
        <w:gridCol w:w="109"/>
        <w:gridCol w:w="109"/>
        <w:gridCol w:w="109"/>
        <w:gridCol w:w="196"/>
        <w:gridCol w:w="736"/>
        <w:gridCol w:w="109"/>
        <w:gridCol w:w="109"/>
        <w:gridCol w:w="109"/>
        <w:gridCol w:w="109"/>
        <w:gridCol w:w="225"/>
        <w:gridCol w:w="638"/>
        <w:gridCol w:w="125"/>
        <w:gridCol w:w="109"/>
        <w:gridCol w:w="109"/>
        <w:gridCol w:w="109"/>
        <w:gridCol w:w="278"/>
        <w:gridCol w:w="278"/>
        <w:gridCol w:w="241"/>
        <w:gridCol w:w="109"/>
        <w:gridCol w:w="109"/>
        <w:gridCol w:w="109"/>
        <w:gridCol w:w="109"/>
        <w:gridCol w:w="109"/>
        <w:gridCol w:w="156"/>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 by Segment: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Three Months Ended March 31, 2023 Compared to Three Months Ended March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revenues decreased $80.9 million, or 11.5%, to $620.4 million for the three months ended March 31, 2023, compared to $701.3 million for the three months ended March 31, 2022. The decrease was primarily driven by lower market volumes and lower volatility across global markets, and decreased opportunity in our customer market making trading as a result of lower spread opportunity and decreased quality of the order flow with which we interacted during the three months ended March 31, 2023 compared to the same period in 2022.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total revenues by segment for the three months ended March 31, 2023 and 2022.</w:t>
      </w:r>
    </w:p>
    <w:tbl>
      <w:tblPr>
        <w:tblW w:w="7024" w:type="dxa"/>
        <w:jc w:val="center"/>
        <w:tblInd w:w="0" w:type="dxa"/>
        <w:tblCellMar>
          <w:top w:w="28" w:type="dxa"/>
          <w:left w:w="28" w:type="dxa"/>
          <w:bottom w:w="28" w:type="dxa"/>
          <w:right w:w="28" w:type="dxa"/>
        </w:tblCellMar>
      </w:tblPr>
      <w:tblGrid>
        <w:gridCol w:w="1104"/>
        <w:gridCol w:w="967"/>
        <w:gridCol w:w="974"/>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10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percentage)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(20.9)%</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279.8%</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587.9%</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3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(29.9)%</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8,717.2%</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(23.3)%</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(93.8)%</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(21.9)%</w:t>
            </w:r>
          </w:p>
        </w:tc>
      </w:tr>
      <w:tr>
        <w:trPr/>
        <w:tc>
          <w:tcPr>
            <w:tcW w:w="3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0.8%</w:t>
            </w:r>
          </w:p>
        </w:tc>
      </w:tr>
      <w:tr>
        <w:trPr/>
        <w:tc>
          <w:tcPr>
            <w:tcW w:w="3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(21.0)%</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291.4%</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(21.5)%</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w:t>
            </w:r>
          </w:p>
        </w:tc>
      </w:tr>
      <w:tr>
        <w:trPr/>
        <w:tc>
          <w:tcPr>
            <w:tcW w:w="3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c>
      </w:tr>
    </w:tbl>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i/>
          <w:color w:val="000000"/>
          <w:sz w:val="20"/>
        </w:rPr>
        <w:t xml:space="preserve">Trading income, net. </w:t>
      </w:r>
      <w:r>
        <w:rPr>
          <w:rFonts w:ascii="Times New Roman;sans-serif" w:hAnsi="Times New Roman;sans-serif"/>
          <w:b w:val="false"/>
          <w:color w:val="000000"/>
          <w:sz w:val="20"/>
        </w:rPr>
        <w:t>Trading income, net was primarily earned by our Market Making segment. Trading income, net decreased $109.8 million, or 21.0% to $412.5 million for the three months ended March 31, 2023, compared to $522.3 million for the three months ended March 31, 2022. The decrease was largely a result of lower market volumes and lower volatility across global markets and decreased opportunity in our customer market making trading as a result of lower spread opportunity and decreased quality of the order flow with which we interacted.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Interest and dividends income was primarily earned by our Market Making segment. Interest and dividends income increased $61.2 million, or 291.4%, to $82.2 million for the three months ended March 31, 2023, compared to $21.0 million for the three months ended March 31, 2022. This increase was primarily attributable to the higher dividends earned on market making trading assets held over periods when dividends are paid along with an increase in interest income earned on cash collateral posted as part of securities borrowing transactions and interest earned on balances maintained at banks and prime brokers,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Commissions, net and technology services revenues were primarily earned by our Execution Services segment. Commissions, net and technology services revenues decreased $33.2 million, or 21.5%, to $121.4 million for the three months ended March 31, 2023, compared to $154.7 million for the three months ended March 31, 2022. This decrease was driven by lower market volumes, a reduction of institutional investors' commissions available, and declining institutional engagement. As indicated above, rather than analyzing interest and dividends income in isolation, we evaluate it in the broader context of our Adjusted Net Trading Income.</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Other, net. </w:t>
      </w:r>
      <w:r>
        <w:rPr>
          <w:rFonts w:ascii="Times New Roman;sans-serif" w:hAnsi="Times New Roman;sans-serif"/>
          <w:b w:val="false"/>
          <w:color w:val="000000"/>
          <w:sz w:val="20"/>
        </w:rPr>
        <w:t xml:space="preserve">Other, net increased $0.9 million, or 27.1%, to $4.2 million for the three months ended March 31, 2023, compared to $3.3 million for the three months ended March 31, 2022. Other, net comprises changes in the valuation on our level 3 investment, as well as other miscellaneous income including gains and losses attributable to our variable interest entities.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9 "Financial Assets and Liabilities" in Part I Item 1 “Financial Statements” of this Quarterly Report on Form 10-Q for more details on our level 3 investment.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Adjusted Net Trading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which is a non-GAAP measure, decreased $132.0 million, or 26.1%, to $373.1 million for the three months ended March 31, 2023, compared to $505.1 million for the three months ended March 31, 2022. This decrease was primarily attributable to lower Trading income, net in the Market Making segment during the three months ended March 31, 2023 compared to the same period in 2022, as noted above. Adjusted Net Trading Income per day decreased $2.1 million, or 25.9%, to $6.0 million for the three months ended March 31, 2023, compared to $8.1 million for the three months ended March 31, 2022.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$26.1 million, or 5.7%, to $485.6 million for the three months ended March 31, 2023, compared to $459.6 million for the three months ended March 31, 2022. The increase in operating expenses is primarily due to an increase in Interest and dividends expense, partially offset by a decline in Debt issue cost related to debt refinancing, prepayment and commitment fees, described in more detail below.</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Brokerage, exchange, clearance fees and payments for order flow, net. </w:t>
      </w:r>
      <w:r>
        <w:rPr>
          <w:rFonts w:ascii="Times New Roman;sans-serif" w:hAnsi="Times New Roman;sans-serif"/>
          <w:b w:val="false"/>
          <w:color w:val="000000"/>
          <w:sz w:val="20"/>
        </w:rPr>
        <w:t xml:space="preserve">Brokerage exchange, clearance fees and payments for order flow, net, decreased $4.9 million, or 3.2%, to $145.5 million for the three months ended March 31, 2023, compared to $150.4 million for the three months ended March 31, 2022.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Communication and data processing. </w:t>
      </w:r>
      <w:r>
        <w:rPr>
          <w:rFonts w:ascii="Times New Roman;sans-serif" w:hAnsi="Times New Roman;sans-serif"/>
          <w:b w:val="false"/>
          <w:color w:val="000000"/>
          <w:sz w:val="20"/>
        </w:rPr>
        <w:t>Communication and data processing expense increased $1.0 million, or 1.7%, to $56.8 million for the three months ended March 31, 2023, compared to $55.8 million for the three months ended March 31, 2022. This increase was primarily due to increased connectivity spending in various communication and data processing services and subscriptions.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i/>
          <w:color w:val="000000"/>
          <w:sz w:val="20"/>
        </w:rPr>
        <w:t xml:space="preserve">Employee compensation and payroll taxes. </w:t>
      </w:r>
      <w:r>
        <w:rPr>
          <w:rFonts w:ascii="Times New Roman;sans-serif" w:hAnsi="Times New Roman;sans-serif"/>
          <w:b w:val="false"/>
          <w:color w:val="000000"/>
          <w:sz w:val="20"/>
        </w:rPr>
        <w:t xml:space="preserve">Employee compensation and payroll taxes remained consistent at $103.4 million for the three months ended March 31, 2023, compared to $103.5 million for the three months ended March 31, 2022.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capitalized and therefore excluded employee compensation and benefits related to software development of $8.4 million and $8.5 million for the three months ended March 31, 2023, and 2022, respectively.</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i/>
          <w:color w:val="000000"/>
          <w:sz w:val="20"/>
        </w:rPr>
        <w:t xml:space="preserve">Interest and dividends expense. </w:t>
      </w:r>
      <w:r>
        <w:rPr>
          <w:rFonts w:ascii="Times New Roman;sans-serif" w:hAnsi="Times New Roman;sans-serif"/>
          <w:b w:val="false"/>
          <w:color w:val="000000"/>
          <w:sz w:val="20"/>
        </w:rPr>
        <w:t>Interest and dividends expense increased $55.1 million or 129.4% to $97.6 million for the three months ended March 31, 2023, compared to $42.5 million for the three months ended March 31, 2022. This increase was primarily attributable to higher dividend expense with respect to securities sold, not yet purchased and higher interest expense incurred on cash collateral received as part of securities lending transactions and higher financing costs with respect to trading assets driven by higher interest rates. As indicated above, rather than analyzing interest and dividends expense in isolation, we evaluate it in the broader context of our Adjusted Net Trading Income.</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i/>
          <w:color w:val="000000"/>
          <w:sz w:val="20"/>
        </w:rPr>
        <w:t xml:space="preserve">Operations and administrative. </w:t>
      </w:r>
      <w:r>
        <w:rPr>
          <w:rFonts w:ascii="Times New Roman;sans-serif" w:hAnsi="Times New Roman;sans-serif"/>
          <w:b w:val="false"/>
          <w:color w:val="000000"/>
          <w:sz w:val="20"/>
        </w:rPr>
        <w:t>Operations and administrative expense decreased $0.9 million or 3.6% to $24.3 million for the three months ended March 31, 2023, compared to $25.2 million for the three months ended March 31, 2022. This decrease was primarily driven by decreased regulatory expenses incurred during the three months ended March 31, 2023.</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Depreciation and amortization decreased $2.1 million, or 12.2% to $15.3 million for the three months ended March 31, 2023, compared to $17.5 million for the three months ended March 31, 2022. The decrease is driven primarily by decreased amortization of capitalized software compared to the prior period.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Amortization of purchased intangibles and acquired capitalized software. </w:t>
      </w:r>
      <w:r>
        <w:rPr>
          <w:rFonts w:ascii="Times New Roman;sans-serif" w:hAnsi="Times New Roman;sans-serif"/>
          <w:b w:val="false"/>
          <w:color w:val="000000"/>
          <w:sz w:val="20"/>
        </w:rPr>
        <w:t>Amortization of purchased intangibles and acquired capitalized software decreased $0.5 million, or 2.8%, to $16.0 million for the three months ended March 31, 2023, compared to $16.5 million for the three months ended March 31, 2022. This decrease was due to certain intangible assets being fully amortized during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was $0.1 million for the three months ended March 31, 2023, compared to $0.7 million for the three months ended March 31, 2022. There were no significant lease terminations in either period.</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Debt issue cost related to debt refinancing, prepayment and commitment fees. </w:t>
      </w:r>
      <w:r>
        <w:rPr>
          <w:rFonts w:ascii="Times New Roman;sans-serif" w:hAnsi="Times New Roman;sans-serif"/>
          <w:b w:val="false"/>
          <w:color w:val="000000"/>
          <w:sz w:val="20"/>
        </w:rPr>
        <w:t xml:space="preserve">Expense from debt issue cost related to debt refinancing, prepayment and commitment fees decreased to $2.2 million for the three months ended March 31, 2023, compared to $25.7 million for the three months ended March 31, 2022. The decrease was primarily driven by the acceleration of deferred debt issuance costs incurred as a result of refinancing our long-term debt transaction in January 2022, described in further detail below. </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were immaterial for the three months ended March 31, 2023, compared to $0.4 million for the three months ended March 31, 2022. These expenses were primarily incurred in relation to our strategic investment portfolio.</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i/>
          <w:color w:val="000000"/>
          <w:sz w:val="20"/>
        </w:rPr>
        <w:t xml:space="preserve">Financing interest expense on long-term borrowings. </w:t>
      </w:r>
      <w:r>
        <w:rPr>
          <w:rFonts w:ascii="Times New Roman;sans-serif" w:hAnsi="Times New Roman;sans-serif"/>
          <w:b w:val="false"/>
          <w:color w:val="000000"/>
          <w:sz w:val="20"/>
        </w:rPr>
        <w:t>Financing interest expense on long-term borrowings increased $3.0 million or 13.9% to $24.3 million for the three months ended March 31, 2023, compared to $21.3 million for the three months ended March 31, 2022.The increase was attributable to the increase in outstanding principal as a result of refinancing our long-term debt transaction in January 2022, as described in further detail below, and the effect of higher interest rates.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Provision for income taxes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$24.7 million and 18.3% for the three months ended March 31, 2023, compared to $41.8 million and 17.3% for the three months ended March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$769.0 million in Cash and cash equivalents. This balance is maintained primarily to support operating activities, for capital expenditures and for short-term access to liquidity, and for other general corporate purposes. As of March 31, 2023, we had borrowings under our prime brokerage credit facilities of approximately $285.1 million, borrowings under our broker dealer facilities of $125.0 million, and long-term debt outstanding in an aggregate principal amount of approximately $1,808.3 million.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Short-term Liquidity and Capital Resources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limits, but we select financial institutions deemed highly credit worthy to minimize risk. We consider highly liquid investments with original maturities of less than three months, when acquired, to be cash equivalents.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Long-term Liquidity and Capital Resources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$36.4 thousand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and $21.3 million in March 2022. Future payments under the tax receivable agreements in respect of subsequent exchanges would be in addition to these amounts. We currently expect to fund these payments from realized cash tax savings from the favorable tax attributes.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Regulatory Capital Requirements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 subsidiary, Virtu Americas LLC ("VAL") is subject to separate regulation and capital requirements in the U.S. and other jurisdictions. VAL is a registered U.S. broker-dealer, and its primary regulators include the SEC and the Financial Industry Regulatory Authority ("FINRA").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Canadian subsidiaries, Virtu Canada Corp (f/k/a Virtu ITG Canada Corp.) and Virtu Financial Canada ULC, are subject to regulatory capital requirements and periodic requirements to report their regulatory capital and submit other regulatory reports set forth by the Investment Industry Regulatory Organization of Canada.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19 "Regulatory Requirement" of Part I Item 1 “Financial Statements” of this Quarterly Report on Form 10-Q for a discussion of regulatory capital requirements of our regulated subsidiaries.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Broker Dealer Credit Facilities, Short-Term Bank Loans, and Prime Brokerage Credit Facilities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maintain various broker-dealer facilities and short-term credit facilities as part of our daily trading operations. See Note 8 "Borrowings" of Part I Item 1 “Financial Statements” of this Quarterly Report on Form 10-Q for details on our various credit facilities. As of March 31, 2023, there was an outstanding principal balance on our broker-dealer facilities of $125.0 million, and the outstanding aggregate short-term credit facilities with various prime brokers and other financial institutions from which the Company receives execution or clearing services was approximately $285.1 million, which was netted within Receivables from broker-dealers and clearing organizations on the Condensed Consolidated Statements of Financial Condition of Part I Item 1 “Financial Statements” of this Quarterly Report on Form 10-Q.</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 </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and up to and including January 15, 2022 at a price of $22.98.</w:t>
      </w:r>
      <w:r>
        <w:rPr>
          <w:color w:val="EE2724"/>
        </w:rPr>
        <w:t xml:space="preserve"> </w:t>
      </w:r>
      <w:r>
        <w:rPr>
          <w:rFonts w:ascii="Times New Roman;sans-serif" w:hAnsi="Times New Roman;sans-serif"/>
          <w:b w:val="false"/>
          <w:color w:val="000000"/>
          <w:sz w:val="20"/>
        </w:rPr>
        <w:t>The Warrant was exercised on December 17, 2021 for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 Financial entered into the Credit Agreement. The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the term loans will mature on January 13, 2029. The term loans amortize in annual installments equal to 1.0% of the original aggregate principal amount of the term loans. The revolving commitments will terminate on January 13, 2025. As of March 31, 2023, $1,782.0 million was outstanding under the term loans. We were in compliance with all applicable covenants under the Credit Agreement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primary sources and uses of cash for the three months ended March 31, 2023, and 2022.</w:t>
      </w:r>
    </w:p>
    <w:p>
      <w:pPr>
        <w:pStyle w:val="TextBody"/>
        <w:spacing w:before="0" w:after="0"/>
        <w:rPr/>
      </w:pPr>
      <w:r>
        <w:rPr/>
      </w:r>
    </w:p>
    <w:tbl>
      <w:tblPr>
        <w:tblW w:w="7529" w:type="dxa"/>
        <w:jc w:val="center"/>
        <w:tblInd w:w="0" w:type="dxa"/>
        <w:tblCellMar>
          <w:top w:w="28" w:type="dxa"/>
          <w:left w:w="28" w:type="dxa"/>
          <w:bottom w:w="28" w:type="dxa"/>
          <w:right w:w="28" w:type="dxa"/>
        </w:tblCellMar>
      </w:tblPr>
      <w:tblGrid>
        <w:gridCol w:w="1584"/>
        <w:gridCol w:w="1395"/>
        <w:gridCol w:w="1401"/>
        <w:gridCol w:w="109"/>
        <w:gridCol w:w="109"/>
        <w:gridCol w:w="109"/>
        <w:gridCol w:w="196"/>
        <w:gridCol w:w="811"/>
        <w:gridCol w:w="109"/>
        <w:gridCol w:w="109"/>
        <w:gridCol w:w="109"/>
        <w:gridCol w:w="109"/>
        <w:gridCol w:w="196"/>
        <w:gridCol w:w="811"/>
        <w:gridCol w:w="109"/>
        <w:gridCol w:w="109"/>
        <w:gridCol w:w="154"/>
      </w:tblGrid>
      <w:tr>
        <w:trPr/>
        <w:tc>
          <w:tcPr>
            <w:tcW w:w="1584"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(508,265)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$148.4 million for the three months ended March 31, 2023, compared to net cash used in operating activities of $255.2 million for the three months ended March 31, 2022. The decrease in net cash used in operating activities was primarily attributable to lower net income, as well as increases in operating assets, net of operating liabilities, related to our trading activities for the three months ended March 31, 2023 compared to the prior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$35.8 million for the three months ended March 31, 2023, consistent with net cash used in investing activities of $35.0 million for the three months ended March 31, 2022. Net cash used in investing activities for the three months ended March 31, 2023 and 2022 consists of cash used for the acquisition of property, equipment, and capitalized software, and transactions related to our strategic investments.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$46.5 million for the three months ended March 31, 2023, compared to $212.9 million for the three months ended March 31, 2022. The cash used in financing activities for the three months ended March 31, 2023 was primarily attributable to $52.0 million in dividends to stockholders and distributions made to noncontrolling interests and $93.2 million in purchases of treasury stock. The cash used in financing activities of $212.9 million during the same period of 2022 primarily reflects $125.8 million net dividends to stockholders, and distributions to noncontrolling interests, and $305.6 million purchase of treasury stock, partially offset by $164.4 million of net proceeds from long term borrowings, and an increase of $78.9 million in short-term borrowings.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6, 2020, the Company's Board of Directors authorized a new share repurchase program of up to $100.0 million in Class A common stock and Virtu Financial Units by December 31, 2021.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2021, the Company's Board of Directors authorized the expansion of the Company's share repurchase program, increasing the total authorized amount by $70.0 million to $170.0 million in Class A Common Stock and Virtu Financial Units up to December 31, 2021.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3, 2021, the Company's Board of Directors authorized the expansion of the Company's current share repurchase program, increasing the total authorized amount by $750 million to $1,220 million and extended the duration through November 3,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2023, the Company repurchased approximately 36.3 million shares of Class A Common Stock and Virtu Financial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Units for approximately $975.2 million. As of March 31, 2023, the Company has approximately of $244.8 million remaining capacity for future purchases of shares of Class A Common Stock and Virtu Financial Units under the program.</w:t>
      </w:r>
    </w:p>
    <w:p>
      <w:pPr>
        <w:pStyle w:val="TextBody"/>
        <w:spacing w:before="0" w:after="0"/>
        <w:ind w:left="0" w:right="0" w:firstLine="7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Valuation of Financial Instruments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Level 2 — Quoted prices in markets that are not active and financial instruments for which all significant inputs are observable, either directly or indirectly; or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9 "Financial Assets and Liabilities" of Part I Item 1 “Financial Statements” of this Quarterly Report on Form 10-Q for further information about fair value measurements.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Trading Income,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and Dividends Income/Interest and Dividends Expense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Commissions, net and Technology Services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spacing w:before="0" w:after="0"/>
        <w:rPr/>
      </w:pPr>
      <w:r>
        <w:rPr/>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(i)the commission value for each customer for the products and services it receives, which is priced using the value for similar stand-alone subscription arrangements; and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(ii)a calculated ratio of the commission value for the products and services relative to the total amount of commissions generated from the customer.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general economic conditions;</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limitations on accessing capital;</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fluctuations in foreign exchange rates or other developments in equity and credit markets;</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cost factors such as increases in raw materials, labor, or other costs that have a negative effect on earnings and cash flows;</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spacing w:lineRule="auto" w:line="288" w:before="0" w:after="0"/>
        <w:ind w:left="0" w:right="0" w:firstLine="360"/>
        <w:rPr/>
      </w:pPr>
      <w:r>
        <w:rPr>
          <w:color w:val="000000"/>
        </w:rPr>
        <w:t>•</w:t>
      </w:r>
      <w:r>
        <w:rPr>
          <w:rFonts w:ascii="Times New Roman;sans-serif" w:hAnsi="Times New Roman;sans-serif"/>
          <w:b w:val="false"/>
          <w:color w:val="000000"/>
          <w:sz w:val="20"/>
        </w:rPr>
        <w:t xml:space="preserve">other relevant entity-specific events such as changes in management, key personnel, strategy, or customers, contemplation of bankruptcy, or litigation.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assess goodwill for impairment on an annual basis as of July 1st and on an interim basis when certain events or circumstances exist. In the impairment assessment as of July 1, 2022, we performed a qualitative assessment as described above for each reporting unit. No impairment of goodwill was identified.</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ans-serif" w:hAnsi="Times New Roman;sans-serif"/>
          <w:b w:val="false"/>
          <w:color w:val="000000"/>
          <w:sz w:val="20"/>
        </w:rPr>
        <w:t xml:space="preserve">We amortize finite-lived intangible assets over their estimated useful lives. Our largest finite-lived intangible asset is customer relationships, which is being amortized over an estimated useful life of ten years. Had we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used a shorter estimated useful life of seven years, the Company would have recorded an additional $4.1 million of amortization expense for the three months ended March 31, 2023, and 2022. We test finite-lived intangible assets for impairment when impairment indicators are present, and if impaired, they are written down to fair value.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Depository Receipts (“ADRs”), options, bonds, futures, spot currencies and commodities. Substantially all of the financial instruments we trade are liquid and can be liquidated within a short time frame at low cost.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March 31, 2023 and December 31, 2022 was $5.4 billion and $4.6 billion, respectively, in long positions and $5.1 billion and $4.2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 Derivative Instruments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Futures Contracts</w:t>
      </w:r>
      <w:r>
        <w:rPr>
          <w:rFonts w:ascii="Times New Roman;sans-serif" w:hAnsi="Times New Roman;sans-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Due from Broker-Dealers and Clearing Organizations</w:t>
      </w:r>
      <w:r>
        <w:rPr>
          <w:rFonts w:ascii="Times New Roman;sans-serif" w:hAnsi="Times New Roman;sans-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15.8% and 21.6% of our total revenues for the three months ended March 31, 2023 and 2022, respectively, were denominated in non-U.S. dollar currencies. We estimate that a hypothetical 10% adverse change in the value of the U.S. dollar relative to our foreign denominated earnings would have resulted in decreases in total revenues of $9.8 million and $15.2 million for the three months ended March 31, 2023 and 2022, respectively.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Instruments with Off Balance Sheet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2023. Based upon that evaluation, our Chief Executive Officer and Chief Financial Officer concluded that, as of March 31, 2023,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 13a-15(f) under the Exchange Act) occurred during the three months ended March 31, 2023 that has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described in Part I Item 1A. “Risk Factors” in our 2022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share repurchases for the three months ended March 31, 2023 were as follows:</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663"/>
        <w:gridCol w:w="469"/>
        <w:gridCol w:w="476"/>
        <w:gridCol w:w="109"/>
        <w:gridCol w:w="109"/>
        <w:gridCol w:w="109"/>
        <w:gridCol w:w="664"/>
        <w:gridCol w:w="426"/>
        <w:gridCol w:w="428"/>
        <w:gridCol w:w="109"/>
        <w:gridCol w:w="109"/>
        <w:gridCol w:w="109"/>
        <w:gridCol w:w="262"/>
        <w:gridCol w:w="745"/>
        <w:gridCol w:w="145"/>
        <w:gridCol w:w="109"/>
        <w:gridCol w:w="109"/>
        <w:gridCol w:w="109"/>
        <w:gridCol w:w="679"/>
        <w:gridCol w:w="679"/>
        <w:gridCol w:w="681"/>
        <w:gridCol w:w="109"/>
        <w:gridCol w:w="109"/>
        <w:gridCol w:w="109"/>
        <w:gridCol w:w="360"/>
        <w:gridCol w:w="1930"/>
        <w:gridCol w:w="290"/>
      </w:tblGrid>
      <w:tr>
        <w:trPr/>
        <w:tc>
          <w:tcPr>
            <w:tcW w:w="663"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1,105,158 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794,513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304,289,306 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Virtu Financial Units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21,498 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16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1, 2023 - February 28,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2,448,127 </w:t>
            </w:r>
          </w:p>
        </w:tc>
        <w:tc>
          <w:tcPr>
            <w:tcW w:w="4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1,855,825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267,799,616</w:t>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1, 2023 -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 Virtu Financial Units repurchases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1,282,161 </w:t>
            </w:r>
          </w:p>
        </w:tc>
        <w:tc>
          <w:tcPr>
            <w:tcW w:w="4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1,282,161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244,801,566</w:t>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Common Stock / Virtu Financial Unit repurchases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4,856,944 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3,932,499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$244,801,566</w:t>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r>
        <w:trPr/>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the repurchase of 902,947 shares from employees in order to satisfy statutory tax withholding requirements upon the net settlement of equity awards for the three months ended March 31, 2023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2023, the Company repurchased approximately 36.3 million shares of Class A Common Stock and Virtu Financial Units for approximately $975.2 million. As of March 31, 2023, the Company has approximately $244.8 million remaining capacity for future purchases of shares of Class A Common Stock and Virtu Financial Units under the program.</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462"/>
        <w:gridCol w:w="406"/>
        <w:gridCol w:w="408"/>
        <w:gridCol w:w="109"/>
        <w:gridCol w:w="109"/>
        <w:gridCol w:w="109"/>
        <w:gridCol w:w="2594"/>
        <w:gridCol w:w="2476"/>
        <w:gridCol w:w="3532"/>
      </w:tblGrid>
      <w:tr>
        <w:trPr/>
        <w:tc>
          <w:tcPr>
            <w:tcW w:w="46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4"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3532"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2" w:type="dxa"/>
            <w:gridSpan w:val="3"/>
            <w:tcBorders/>
            <w:shd w:fill="auto" w:val="clear"/>
            <w:vAlign w:val="center"/>
          </w:tcPr>
          <w:p>
            <w:pPr>
              <w:pStyle w:val="TableContents"/>
              <w:spacing w:before="0" w:after="283"/>
              <w:rPr>
                <w:sz w:val="4"/>
                <w:szCs w:val="4"/>
              </w:rPr>
            </w:pPr>
            <w:r>
              <w:rPr>
                <w:sz w:val="4"/>
                <w:szCs w:val="4"/>
              </w:rPr>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top w:val="single" w:sz="8" w:space="0" w:color="000000"/>
            </w:tcBorders>
            <w:shd w:fill="FEFEFE" w:val="clear"/>
            <w:tcMar>
              <w:top w:w="30" w:type="dxa"/>
              <w:left w:w="0" w:type="dxa"/>
              <w:bottom w:w="0" w:type="dxa"/>
              <w:right w:w="0" w:type="dxa"/>
            </w:tcMar>
            <w:vAlign w:val="center"/>
          </w:tcPr>
          <w:p>
            <w:pPr>
              <w:pStyle w:val="TableContents"/>
              <w:spacing w:lineRule="auto" w:line="240" w:before="0" w:after="0"/>
              <w:jc w:val="left"/>
              <w:rPr/>
            </w:pPr>
            <w:hyperlink w:anchor="exhibit101q123.htm">
              <w:r>
                <w:rPr>
                  <w:rStyle w:val="InternetLink"/>
                  <w:rFonts w:ascii="Times New Roman;sans-serif" w:hAnsi="Times New Roman;sans-serif"/>
                  <w:b w:val="false"/>
                  <w:color w:val="0000FF"/>
                  <w:sz w:val="20"/>
                  <w:u w:val="single"/>
                </w:rPr>
                <w:t>Virtu Financial, Inc. Amended and Restated 2015 Management Incentive Plan Employee Restricted Stock Unit Award Agreement, dated as of February 3, 2023, by and between Virtu Financial, Inc. and Douglas A. Cifu</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102q123.htm">
              <w:r>
                <w:rPr>
                  <w:rStyle w:val="InternetLink"/>
                  <w:rFonts w:ascii="Times New Roman;sans-serif" w:hAnsi="Times New Roman;sans-serif"/>
                  <w:b w:val="false"/>
                  <w:color w:val="0000FF"/>
                  <w:sz w:val="20"/>
                  <w:u w:val="single"/>
                </w:rPr>
                <w:t xml:space="preserve">Virtu Financial, Inc. Amended and Restated 2015 Management Incentive Plan Employee Restricted Stock Unit Award Agreement, dated as of February 3, 2023, by and between Virtu Financial, Inc. and Joseph Mulluso. </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103q123.htm">
              <w:r>
                <w:rPr>
                  <w:rStyle w:val="InternetLink"/>
                  <w:rFonts w:ascii="Times New Roman;sans-serif" w:hAnsi="Times New Roman;sans-serif"/>
                  <w:b w:val="false"/>
                  <w:color w:val="0000FF"/>
                  <w:sz w:val="20"/>
                  <w:u w:val="single"/>
                </w:rPr>
                <w:t xml:space="preserve">Virtu Financial, Inc. Amended and Restated 2015 Management Incentive Plan Employee Restricted Stock Unit Award Agreement, dated as of February 3, 2023, by and between Virtu Financial, Inc. and Stephen Cavoli. </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104q123.htm">
              <w:r>
                <w:rPr>
                  <w:rStyle w:val="InternetLink"/>
                  <w:rFonts w:ascii="Times New Roman;sans-serif" w:hAnsi="Times New Roman;sans-serif"/>
                  <w:b w:val="false"/>
                  <w:color w:val="0000FF"/>
                  <w:sz w:val="20"/>
                  <w:u w:val="single"/>
                </w:rPr>
                <w:t xml:space="preserve">Virtu Financial, Inc. Amended and Restated 2015 Management Incentive Plan Employee Restricted Stock Unit Award Agreement, dated as of February 3, 2023, by and between Virtu Financial, Inc. and Brett Fairclough. </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311q123.htm">
              <w:r>
                <w:rPr>
                  <w:rStyle w:val="InternetLink"/>
                  <w:rFonts w:ascii="Times New Roman;sans-serif" w:hAnsi="Times New Roman;sans-serif"/>
                  <w:b w:val="false"/>
                  <w:color w:val="0000FF"/>
                  <w:sz w:val="20"/>
                  <w:u w:val="single"/>
                </w:rPr>
                <w:t xml:space="preserve">Certification of Chief Executive Officer required by Rule 13a-14(a)/15d-14(a) under the Securities Exchange Act of 1934, as amended, as adopted pursuant to Section 302 of the Sarbanes-Oxley Act of 2002. </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312q123.htm">
              <w:r>
                <w:rPr>
                  <w:rStyle w:val="InternetLink"/>
                  <w:rFonts w:ascii="Times New Roman;sans-serif" w:hAnsi="Times New Roman;sans-serif"/>
                  <w:b w:val="false"/>
                  <w:color w:val="0000FF"/>
                  <w:sz w:val="20"/>
                  <w:u w:val="single"/>
                </w:rPr>
                <w:t xml:space="preserve">Certification of Chief Financial Officer required by Rule 13a-14(a)/15d-14(a) under the Securities Exchange Act of 1934, as amended, as adopted pursuant to Section 302 of the Sarbanes-Oxley Act of 2002. </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321q1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0"/>
              <w:jc w:val="left"/>
              <w:rPr/>
            </w:pPr>
            <w:hyperlink w:anchor="exhibit322q1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p>
      <w:pPr>
        <w:pStyle w:val="TextBody"/>
        <w:spacing w:before="0" w:after="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73" w:type="dxa"/>
        <w:jc w:val="center"/>
        <w:tblInd w:w="0" w:type="dxa"/>
        <w:tblCellMar>
          <w:top w:w="28" w:type="dxa"/>
          <w:left w:w="28" w:type="dxa"/>
          <w:bottom w:w="28" w:type="dxa"/>
          <w:right w:w="28" w:type="dxa"/>
        </w:tblCellMar>
      </w:tblPr>
      <w:tblGrid>
        <w:gridCol w:w="249"/>
        <w:gridCol w:w="220"/>
        <w:gridCol w:w="221"/>
        <w:gridCol w:w="429"/>
        <w:gridCol w:w="429"/>
        <w:gridCol w:w="431"/>
        <w:gridCol w:w="275"/>
        <w:gridCol w:w="275"/>
        <w:gridCol w:w="275"/>
        <w:gridCol w:w="603"/>
        <w:gridCol w:w="603"/>
        <w:gridCol w:w="863"/>
      </w:tblGrid>
      <w:tr>
        <w:trPr/>
        <w:tc>
          <w:tcPr>
            <w:tcW w:w="24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Inc.</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P. Galvin</w:t>
            </w:r>
          </w:p>
        </w:tc>
      </w:tr>
      <w:tr>
        <w:trPr/>
        <w:tc>
          <w:tcPr>
            <w:tcW w:w="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VIRTU FINANCIAL,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AND RESTATED </w:t>
        <w:br/>
        <w:t>2015 MANAGEMENT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EMPLOYEE</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AWARD AGREEMENT</w:t>
      </w:r>
    </w:p>
    <w:p>
      <w:pPr>
        <w:pStyle w:val="TextBody"/>
        <w:spacing w:lineRule="auto" w:line="240" w:before="180" w:after="283"/>
        <w:ind w:left="0" w:right="0" w:firstLine="720"/>
        <w:rPr/>
      </w:pPr>
      <w:r>
        <w:rPr>
          <w:rFonts w:ascii="Times New Roman;sans-serif" w:hAnsi="Times New Roman;sans-serif"/>
          <w:b w:val="false"/>
          <w:color w:val="000000"/>
          <w:sz w:val="22"/>
        </w:rPr>
        <w:t>THIS RESTRICTED STOCK UNIT AWARD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February 3, 2023 (the “</w:t>
      </w:r>
      <w:r>
        <w:rPr>
          <w:rFonts w:ascii="Times New Roman;sans-serif" w:hAnsi="Times New Roman;sans-serif"/>
          <w:b w:val="false"/>
          <w:color w:val="000000"/>
          <w:sz w:val="22"/>
          <w:u w:val="single"/>
        </w:rPr>
        <w:t>Date of Grant</w:t>
      </w:r>
      <w:r>
        <w:rPr>
          <w:color w:val="000000"/>
        </w:rPr>
        <w:t>”</w:t>
      </w:r>
      <w:r>
        <w:rPr>
          <w:rFonts w:ascii="Times New Roman;sans-serif" w:hAnsi="Times New Roman;sans-serif"/>
          <w:b w:val="false"/>
          <w:color w:val="000000"/>
          <w:sz w:val="22"/>
        </w:rPr>
        <w:t>), by and between Virtu Financial,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Douglas A. Cifu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has adopted the Virtu Financial, Inc. Amended and Restated 2015 Management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pursuant to which Restricted Stock Units (the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xml:space="preserve">) may be granted;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and the Participant entered into that certain Amended and Restated Employment Agreement, dated as of April 29, 2022 (the “</w:t>
      </w:r>
      <w:r>
        <w:rPr>
          <w:rFonts w:ascii="Times New Roman;sans-serif" w:hAnsi="Times New Roman;sans-serif"/>
          <w:b w:val="false"/>
          <w:color w:val="000000"/>
          <w:sz w:val="22"/>
          <w:u w:val="single"/>
        </w:rPr>
        <w:t>Employment Agreement</w:t>
      </w:r>
      <w:r>
        <w:rPr>
          <w:color w:val="000000"/>
        </w:rPr>
        <w:t>”</w:t>
      </w:r>
      <w:r>
        <w:rPr>
          <w:rFonts w:ascii="Times New Roman;sans-serif" w:hAnsi="Times New Roman;sans-serif"/>
          <w:b w:val="false"/>
          <w:color w:val="000000"/>
          <w:sz w:val="22"/>
        </w:rPr>
        <w:t xml:space="preserve">), pursuant to which the Participant is eligible to receive an equity award at the beginning of each calendar year during the Term (as defined in the Employment Agreement); </w:t>
      </w:r>
    </w:p>
    <w:p>
      <w:pPr>
        <w:pStyle w:val="TextBody"/>
        <w:spacing w:lineRule="auto" w:line="240" w:before="18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pStyle w:val="TextBody"/>
        <w:spacing w:lineRule="auto" w:line="240" w:before="18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1.Grant of Restricted Stock Units.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xml:space="preserve">. The Company hereby grants to the Participant 150,000 RSUs on the terms and conditions set forth in this Agreement and as otherwise provided in the Plan. The RSUs shall be credited to a separate book-entry account maintained for the Participant on the books of the Company, which may be maintained by a third party.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 xml:space="preserve">2.Vesting; Settlement of Restricted Stock Units.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January 31, 2024 and January 31, 2025 (each such date, a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number of RSUs earned under this Agreement shall be determined in accordance with the criteria set forth in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Vested RSUs shall be settled in shares of Class A Common Stock, or cash, as determined by the Committee in its sole discretion. </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3.</w:t>
      </w:r>
      <w:r>
        <w:rPr>
          <w:rFonts w:ascii="Times New Roman;sans-serif" w:hAnsi="Times New Roman;sans-serif"/>
          <w:b/>
          <w:color w:val="000000"/>
          <w:sz w:val="22"/>
        </w:rPr>
        <w:t>Dividends Equivalents.</w:t>
      </w:r>
      <w:r>
        <w:rPr>
          <w:color w:val="000000"/>
        </w:rPr>
        <w:t xml:space="preserve"> </w:t>
      </w:r>
      <w:r>
        <w:rPr>
          <w:rFonts w:ascii="Times New Roman;sans-serif" w:hAnsi="Times New Roman;sans-serif"/>
          <w:b w:val="false"/>
          <w:color w:val="000000"/>
          <w:sz w:val="22"/>
        </w:rPr>
        <w:t>In the event of any issuance of a cash dividend on the shares of Class A Common Stock (a “</w:t>
      </w:r>
      <w:r>
        <w:rPr>
          <w:rFonts w:ascii="Times New Roman;sans-serif" w:hAnsi="Times New Roman;sans-serif"/>
          <w:b w:val="false"/>
          <w:color w:val="000000"/>
          <w:sz w:val="22"/>
          <w:u w:val="single"/>
        </w:rPr>
        <w:t>Dividend</w:t>
      </w:r>
      <w:r>
        <w:rPr>
          <w:color w:val="000000"/>
        </w:rPr>
        <w:t>”</w:t>
      </w:r>
      <w:r>
        <w:rPr>
          <w:rFonts w:ascii="Times New Roman;sans-serif" w:hAnsi="Times New Roman;sans-serif"/>
          <w:b w:val="false"/>
          <w:color w:val="000000"/>
          <w:sz w:val="22"/>
        </w:rPr>
        <w:t xml:space="preserve">),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p>
    <w:p>
      <w:pPr>
        <w:pStyle w:val="TextBody"/>
        <w:spacing w:lineRule="auto" w:line="240" w:before="0" w:after="240"/>
        <w:rPr/>
      </w:pPr>
      <w:r>
        <w:rPr>
          <w:rFonts w:ascii="Times New Roman;sans-serif" w:hAnsi="Times New Roman;sans-serif"/>
          <w:b/>
          <w:color w:val="000000"/>
          <w:sz w:val="22"/>
        </w:rPr>
        <w:t>4.</w:t>
      </w:r>
      <w:r>
        <w:rPr>
          <w:rFonts w:ascii="Times New Roman;sans-serif" w:hAnsi="Times New Roman;sans-serif"/>
          <w:b/>
          <w:color w:val="000000"/>
          <w:sz w:val="22"/>
        </w:rPr>
        <w:t>Termination of Employment or Service.</w:t>
      </w:r>
      <w:r>
        <w:rPr>
          <w:color w:val="000000"/>
        </w:rPr>
        <w:t xml:space="preserve"> </w:t>
      </w:r>
      <w:r>
        <w:rPr>
          <w:rFonts w:ascii="Times New Roman;sans-serif" w:hAnsi="Times New Roman;sans-serif"/>
          <w:b w:val="false"/>
          <w:color w:val="000000"/>
          <w:sz w:val="22"/>
        </w:rPr>
        <w:t xml:space="preserve">If the Participant’s employment or service with the Company and its Affiliates terminates for any reason, any unearned and unvested RSUs shall be accelerated, remain eligible to be earned or cancelled in accordance with the terms of the Employment Agreement. </w:t>
      </w:r>
    </w:p>
    <w:p>
      <w:pPr>
        <w:pStyle w:val="TextBody"/>
        <w:spacing w:lineRule="auto" w:line="240" w:before="0" w:after="240"/>
        <w:rPr/>
      </w:pPr>
      <w:r>
        <w:rPr>
          <w:rFonts w:ascii="Times New Roman;sans-serif" w:hAnsi="Times New Roman;sans-serif"/>
          <w:b/>
          <w:color w:val="000000"/>
          <w:sz w:val="22"/>
        </w:rPr>
        <w:t>5.</w:t>
      </w:r>
      <w:r>
        <w:rPr>
          <w:rFonts w:ascii="Times New Roman;sans-serif" w:hAnsi="Times New Roman;sans-serif"/>
          <w:b/>
          <w:color w:val="000000"/>
          <w:sz w:val="22"/>
        </w:rPr>
        <w:t>Rights as a Stockholder.</w:t>
      </w:r>
      <w:r>
        <w:rPr>
          <w:color w:val="000000"/>
        </w:rPr>
        <w:t xml:space="preserve"> </w:t>
      </w:r>
      <w:r>
        <w:rPr>
          <w:rFonts w:ascii="Times New Roman;sans-serif" w:hAnsi="Times New Roman;sans-serif"/>
          <w:b w:val="false"/>
          <w:color w:val="000000"/>
          <w:sz w:val="22"/>
        </w:rPr>
        <w:t>The Participant shall not be deemed for any purpose to be the owner of any shares of Class A Common Stock 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pStyle w:val="TextBody"/>
        <w:spacing w:lineRule="auto" w:line="240" w:before="0" w:after="240"/>
        <w:rPr/>
      </w:pPr>
      <w:r>
        <w:rPr>
          <w:rFonts w:ascii="Times New Roman;sans-serif" w:hAnsi="Times New Roman;sans-serif"/>
          <w:b/>
          <w:color w:val="000000"/>
          <w:sz w:val="22"/>
        </w:rPr>
        <w:t>6.</w:t>
      </w:r>
      <w:r>
        <w:rPr>
          <w:rFonts w:ascii="Times New Roman;sans-serif" w:hAnsi="Times New Roman;sans-serif"/>
          <w:b/>
          <w:color w:val="000000"/>
          <w:sz w:val="22"/>
        </w:rPr>
        <w:t>Compliance with Legal Requirements.</w:t>
      </w:r>
      <w:r>
        <w:rPr>
          <w:color w:val="000000"/>
        </w:rPr>
        <w:t xml:space="preserve">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Taxes and Withholding</w:t>
      </w:r>
      <w:r>
        <w:rPr>
          <w:rFonts w:ascii="Times New Roman;sans-serif" w:hAnsi="Times New Roman;sans-serif"/>
          <w:b w:val="false"/>
          <w:color w:val="000000"/>
          <w:sz w:val="22"/>
        </w:rPr>
        <w:t xml:space="preserve">.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7.Restrictive Covenants.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Nothing in this Agreement shall supersede, modify, replace or cancel any existing contractual obligations, including but not limited to restrictive covenants, applicable to Participant in </w:t>
      </w:r>
      <w:r>
        <w:rPr>
          <w:rFonts w:ascii="Times New Roman;sans-serif" w:hAnsi="Times New Roman;sans-serif"/>
          <w:b w:val="false"/>
          <w:i/>
          <w:color w:val="000000"/>
          <w:sz w:val="22"/>
          <w:u w:val="single"/>
        </w:rPr>
        <w:t>any</w:t>
      </w:r>
      <w:r>
        <w:rPr>
          <w:color w:val="000000"/>
          <w:u w:val="single"/>
        </w:rPr>
        <w:t xml:space="preserve"> </w:t>
      </w:r>
      <w:r>
        <w:rPr>
          <w:rFonts w:ascii="Times New Roman;sans-serif" w:hAnsi="Times New Roman;sans-serif"/>
          <w:b w:val="false"/>
          <w:color w:val="000000"/>
          <w:sz w:val="22"/>
        </w:rPr>
        <w:t>employment agreement, offer letter, prior equity award agreement or any other agreement or contract with the Company or its Affiliates.</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one or more actions in any applicable jurisdiction to recover damages as a result of the Participant’s breach of such restrictive covenants.</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8.Miscellaneous.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Transferability</w:t>
      </w:r>
      <w:r>
        <w:rPr>
          <w:rFonts w:ascii="Times New Roman;sans-serif" w:hAnsi="Times New Roman;sans-serif"/>
          <w:b w:val="false"/>
          <w:color w:val="000000"/>
          <w:sz w:val="22"/>
        </w:rPr>
        <w:t>. The RSUs may not be assigned, alienated, pledged, attached, sold or otherwise transferred or encumbered (a “</w:t>
      </w:r>
      <w:r>
        <w:rPr>
          <w:rFonts w:ascii="Times New Roman;sans-serif" w:hAnsi="Times New Roman;sans-serif"/>
          <w:b w:val="false"/>
          <w:color w:val="000000"/>
          <w:sz w:val="22"/>
          <w:u w:val="single"/>
        </w:rPr>
        <w:t>Transfer</w:t>
      </w:r>
      <w:r>
        <w:rPr>
          <w:color w:val="000000"/>
        </w:rPr>
        <w:t>”</w:t>
      </w:r>
      <w:r>
        <w:rPr>
          <w:rFonts w:ascii="Times New Roman;sans-serif" w:hAnsi="Times New Roman;sans-serif"/>
          <w:b w:val="false"/>
          <w:color w:val="000000"/>
          <w:sz w:val="22"/>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RSUs will not be subject to interest and penalties under Section 409A.</w:t>
      </w:r>
    </w:p>
    <w:p>
      <w:pPr>
        <w:pStyle w:val="TextBody"/>
        <w:spacing w:lineRule="auto" w:line="240"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General Assets</w:t>
      </w:r>
      <w:r>
        <w:rPr>
          <w:rFonts w:ascii="Times New Roman;sans-serif" w:hAnsi="Times New Roman;sans-serif"/>
          <w:b w:val="false"/>
          <w:color w:val="000000"/>
          <w:sz w:val="22"/>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pStyle w:val="TextBody"/>
        <w:spacing w:lineRule="auto" w:line="240"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pStyle w:val="TextBody"/>
        <w:spacing w:lineRule="auto" w:line="240"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spacing w:lineRule="auto" w:line="240"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No Rights to Employment or Service</w:t>
      </w:r>
      <w:r>
        <w:rPr>
          <w:rFonts w:ascii="Times New Roman;sans-serif" w:hAnsi="Times New Roman;sans-serif"/>
          <w:b w:val="false"/>
          <w:color w:val="000000"/>
          <w:sz w:val="22"/>
        </w:rPr>
        <w:t xml:space="preserve">.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w:t>
      </w:r>
    </w:p>
    <w:p>
      <w:pPr>
        <w:pStyle w:val="TextBody"/>
        <w:spacing w:lineRule="auto" w:line="240"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xml:space="preserve">.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 </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Beneficiary</w:t>
      </w:r>
      <w:r>
        <w:rPr>
          <w:rFonts w:ascii="Times New Roman;sans-serif" w:hAnsi="Times New Roman;sans-serif"/>
          <w:b w:val="false"/>
          <w:color w:val="000000"/>
          <w:sz w:val="22"/>
        </w:rPr>
        <w:t xml:space="preserve">. The Participant may file with the Committee a written designation of a beneficiary on such form as may be prescribed by the Committee and may, from time to time, amend or revoke such designation. </w:t>
      </w:r>
    </w:p>
    <w:p>
      <w:pPr>
        <w:pStyle w:val="TextBody"/>
        <w:spacing w:lineRule="auto" w:line="240" w:before="0" w:after="240"/>
        <w:ind w:left="0" w:right="0" w:firstLine="720"/>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xml:space="preserve">. The terms of this Agreement shall be binding upon and inure to the benefit of the Company and its successors and assigns, and of the Participant and the beneficiaries, executors, administrators, heirs and successors of the Participant. </w:t>
      </w:r>
    </w:p>
    <w:p>
      <w:pPr>
        <w:pStyle w:val="TextBody"/>
        <w:spacing w:lineRule="auto" w:line="240" w:before="0" w:after="240"/>
        <w:ind w:left="0" w:right="0" w:firstLine="720"/>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w:t>
      </w:r>
    </w:p>
    <w:p>
      <w:pPr>
        <w:pStyle w:val="TextBody"/>
        <w:spacing w:lineRule="auto" w:line="240" w:before="0" w:after="240"/>
        <w:ind w:left="0" w:right="0" w:firstLine="720"/>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Governing Law and Venue</w:t>
      </w:r>
      <w:r>
        <w:rPr>
          <w:rFonts w:ascii="Times New Roman;sans-serif" w:hAnsi="Times New Roman;sans-serif"/>
          <w:b w:val="false"/>
          <w:color w:val="000000"/>
          <w:sz w:val="22"/>
        </w:rPr>
        <w:t xml:space="preserve">.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 </w: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Dispute Resolution; Consent to Jurisdiction</w:t>
      </w:r>
      <w:r>
        <w:rPr>
          <w:rFonts w:ascii="Times New Roman;sans-serif" w:hAnsi="Times New Roman;sans-serif"/>
          <w:b w:val="false"/>
          <w:color w:val="000000"/>
          <w:sz w:val="22"/>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pStyle w:val="TextBody"/>
        <w:spacing w:lineRule="auto" w:line="240" w:before="0" w:after="240"/>
        <w:ind w:left="0" w:right="0" w:firstLine="72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spacing w:lineRule="auto" w:line="240" w:before="0" w:after="240"/>
        <w:ind w:left="0" w:right="0" w:firstLine="720"/>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Headings; Gender</w:t>
      </w:r>
      <w:r>
        <w:rPr>
          <w:rFonts w:ascii="Times New Roman;sans-serif" w:hAnsi="Times New Roman;sans-serif"/>
          <w:b w:val="false"/>
          <w:color w:val="000000"/>
          <w:sz w:val="22"/>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pStyle w:val="TextBody"/>
        <w:spacing w:lineRule="auto" w:line="240" w:before="0" w:after="240"/>
        <w:ind w:left="0" w:right="0" w:firstLine="720"/>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pStyle w:val="TextBody"/>
        <w:spacing w:lineRule="auto" w:line="240" w:before="0" w:after="240"/>
        <w:ind w:left="0" w:right="0" w:firstLine="720"/>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Electronic Signature and Delivery</w:t>
      </w:r>
      <w:r>
        <w:rPr>
          <w:rFonts w:ascii="Times New Roman;sans-serif" w:hAnsi="Times New Roman;sans-serif"/>
          <w:b w:val="false"/>
          <w:color w:val="000000"/>
          <w:sz w:val="22"/>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upon three business days’ notice to the Company, in which case subsequent prospectuses, annual reports and other information will be delivered in hard copy to the Participant).</w:t>
      </w:r>
    </w:p>
    <w:p>
      <w:pPr>
        <w:pStyle w:val="TextBody"/>
        <w:spacing w:lineRule="auto" w:line="240" w:before="0" w:after="240"/>
        <w:ind w:left="0" w:right="0" w:firstLine="720"/>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Electronic Participation in Plan</w:t>
      </w:r>
      <w:r>
        <w:rPr>
          <w:rFonts w:ascii="Times New Roman;sans-serif" w:hAnsi="Times New Roman;sans-serif"/>
          <w:b w:val="false"/>
          <w:color w:val="000000"/>
          <w:sz w:val="22"/>
        </w:rPr>
        <w:t>. The Company</w:t>
      </w:r>
      <w:r>
        <w:rPr>
          <w:color w:val="000000"/>
        </w:rPr>
        <w:t xml:space="preserve"> </w:t>
      </w:r>
      <w:r>
        <w:rPr>
          <w:rFonts w:ascii="Times New Roman;sans-serif" w:hAnsi="Times New Roman;sans-serif"/>
          <w:b w:val="false"/>
          <w:color w:val="000000"/>
          <w:sz w:val="22"/>
        </w:rPr>
        <w:t>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w:t>
      </w:r>
      <w:r>
        <w:rPr>
          <w:color w:val="000000"/>
        </w:rPr>
        <w:t xml:space="preserve"> </w:t>
      </w:r>
      <w:r>
        <w:rPr>
          <w:rFonts w:ascii="Times New Roman;sans-serif" w:hAnsi="Times New Roman;sans-serif"/>
          <w:b w:val="false"/>
          <w:color w:val="000000"/>
          <w:sz w:val="22"/>
        </w:rPr>
        <w:t>or a third party designated by the Company.</w:t>
      </w:r>
    </w:p>
    <w:p>
      <w:pPr>
        <w:pStyle w:val="TextBody"/>
        <w:spacing w:before="0" w:after="240"/>
        <w:jc w:val="center"/>
        <w:rPr/>
      </w:pPr>
      <w:r>
        <w:rPr/>
      </w:r>
    </w:p>
    <w:p>
      <w:pPr>
        <w:pStyle w:val="TextBody"/>
        <w:spacing w:before="0" w:after="240"/>
        <w:jc w:val="center"/>
        <w:rPr/>
      </w:pPr>
      <w:r>
        <w:rPr/>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0"/>
        <w:ind w:left="0" w:right="0" w:firstLine="979"/>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by the Company and the Participant as of the day first written above. </w:t>
      </w:r>
    </w:p>
    <w:p>
      <w:pPr>
        <w:pStyle w:val="TextBody"/>
        <w:spacing w:before="0" w:after="0"/>
        <w:ind w:left="0" w:right="0" w:firstLine="979"/>
        <w:rPr/>
      </w:pPr>
      <w:r>
        <w:rPr/>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VIRTU FINANCIAL, INC.</w:t>
      </w:r>
    </w:p>
    <w:p>
      <w:pPr>
        <w:pStyle w:val="TextBody"/>
        <w:spacing w:lineRule="auto" w:line="240"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Robert Greifeld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Robert Greifeld</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Chairman</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Douglas A. Cifu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Douglas A. Cifu</w:t>
      </w:r>
    </w:p>
    <w:p>
      <w:pPr>
        <w:pStyle w:val="TextBody"/>
        <w:spacing w:before="0" w:after="24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81" name="Frame8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VIRTU FINANCIAL,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AND RESTATED </w:t>
        <w:br/>
        <w:t>2015 MANAGEMENT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EMPLOYEE</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AWARD AGREEMENT</w:t>
      </w:r>
    </w:p>
    <w:p>
      <w:pPr>
        <w:pStyle w:val="TextBody"/>
        <w:spacing w:lineRule="auto" w:line="240" w:before="180" w:after="283"/>
        <w:ind w:left="0" w:right="0" w:firstLine="720"/>
        <w:rPr/>
      </w:pPr>
      <w:r>
        <w:rPr>
          <w:rFonts w:ascii="Times New Roman;sans-serif" w:hAnsi="Times New Roman;sans-serif"/>
          <w:b w:val="false"/>
          <w:color w:val="000000"/>
          <w:sz w:val="22"/>
        </w:rPr>
        <w:t>THIS RESTRICTED STOCK UNIT AWARD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February 3, 2023 (the “</w:t>
      </w:r>
      <w:r>
        <w:rPr>
          <w:rFonts w:ascii="Times New Roman;sans-serif" w:hAnsi="Times New Roman;sans-serif"/>
          <w:b w:val="false"/>
          <w:color w:val="000000"/>
          <w:sz w:val="22"/>
          <w:u w:val="single"/>
        </w:rPr>
        <w:t>Date of Grant</w:t>
      </w:r>
      <w:r>
        <w:rPr>
          <w:color w:val="000000"/>
        </w:rPr>
        <w:t>”</w:t>
      </w:r>
      <w:r>
        <w:rPr>
          <w:rFonts w:ascii="Times New Roman;sans-serif" w:hAnsi="Times New Roman;sans-serif"/>
          <w:b w:val="false"/>
          <w:color w:val="000000"/>
          <w:sz w:val="22"/>
        </w:rPr>
        <w:t>), by and between Virtu Financial,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Joseph Molluso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has adopted the Virtu Financial, Inc. Amended and Restated 2015 Management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pursuant to which Restricted Stock Units (the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xml:space="preserve">) may be granted;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and the Participant entered into that certain Amended and Restated Employment Agreement, dated as of December 1, 2022 (the “</w:t>
      </w:r>
      <w:r>
        <w:rPr>
          <w:rFonts w:ascii="Times New Roman;sans-serif" w:hAnsi="Times New Roman;sans-serif"/>
          <w:b w:val="false"/>
          <w:color w:val="000000"/>
          <w:sz w:val="22"/>
          <w:u w:val="single"/>
        </w:rPr>
        <w:t>Employment Agreement</w:t>
      </w:r>
      <w:r>
        <w:rPr>
          <w:color w:val="000000"/>
        </w:rPr>
        <w:t>”</w:t>
      </w:r>
      <w:r>
        <w:rPr>
          <w:rFonts w:ascii="Times New Roman;sans-serif" w:hAnsi="Times New Roman;sans-serif"/>
          <w:b w:val="false"/>
          <w:color w:val="000000"/>
          <w:sz w:val="22"/>
        </w:rPr>
        <w:t xml:space="preserve">), pursuant to which the Participant is eligible to receive an equity award at the beginning of each calendar year during the Term (as defined in the Employment Agreement); </w:t>
      </w:r>
    </w:p>
    <w:p>
      <w:pPr>
        <w:pStyle w:val="TextBody"/>
        <w:spacing w:lineRule="auto" w:line="240" w:before="18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pStyle w:val="TextBody"/>
        <w:spacing w:lineRule="auto" w:line="240" w:before="18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1.Grant of Restricted Stock Units.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xml:space="preserve">. The Company hereby grants to the Participant 75,000 RSUs on the terms and conditions set forth in this Agreement and as otherwise provided in the Plan. The RSUs shall be credited to a separate book-entry account maintained for the Participant on the books of the Company, which may be maintained by a third party.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 xml:space="preserve">2.Vesting; Settlement of Restricted Stock Units.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January 31, 2024 and January 31, 2025 (each such date, a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number of RSUs earned under this Agreement shall be determined in accordance with the criteria set forth in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Vested RSUs shall be settled in shares of Class A Common Stock, or cash, as determined by the Committee in its sole discretion. </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3.</w:t>
      </w:r>
      <w:r>
        <w:rPr>
          <w:rFonts w:ascii="Times New Roman;sans-serif" w:hAnsi="Times New Roman;sans-serif"/>
          <w:b/>
          <w:color w:val="000000"/>
          <w:sz w:val="22"/>
        </w:rPr>
        <w:t>Dividends Equivalents.</w:t>
      </w:r>
      <w:r>
        <w:rPr>
          <w:color w:val="000000"/>
        </w:rPr>
        <w:t xml:space="preserve"> </w:t>
      </w:r>
      <w:r>
        <w:rPr>
          <w:rFonts w:ascii="Times New Roman;sans-serif" w:hAnsi="Times New Roman;sans-serif"/>
          <w:b w:val="false"/>
          <w:color w:val="000000"/>
          <w:sz w:val="22"/>
        </w:rPr>
        <w:t>In the event of any issuance of a cash dividend on the shares of Class A Common Stock (a “</w:t>
      </w:r>
      <w:r>
        <w:rPr>
          <w:rFonts w:ascii="Times New Roman;sans-serif" w:hAnsi="Times New Roman;sans-serif"/>
          <w:b w:val="false"/>
          <w:color w:val="000000"/>
          <w:sz w:val="22"/>
          <w:u w:val="single"/>
        </w:rPr>
        <w:t>Dividend</w:t>
      </w:r>
      <w:r>
        <w:rPr>
          <w:color w:val="000000"/>
        </w:rPr>
        <w:t>”</w:t>
      </w:r>
      <w:r>
        <w:rPr>
          <w:rFonts w:ascii="Times New Roman;sans-serif" w:hAnsi="Times New Roman;sans-serif"/>
          <w:b w:val="false"/>
          <w:color w:val="000000"/>
          <w:sz w:val="22"/>
        </w:rPr>
        <w:t xml:space="preserve">),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p>
    <w:p>
      <w:pPr>
        <w:pStyle w:val="TextBody"/>
        <w:spacing w:lineRule="auto" w:line="240" w:before="0" w:after="240"/>
        <w:rPr/>
      </w:pPr>
      <w:r>
        <w:rPr>
          <w:rFonts w:ascii="Times New Roman;sans-serif" w:hAnsi="Times New Roman;sans-serif"/>
          <w:b/>
          <w:color w:val="000000"/>
          <w:sz w:val="22"/>
        </w:rPr>
        <w:t>4.</w:t>
      </w:r>
      <w:r>
        <w:rPr>
          <w:rFonts w:ascii="Times New Roman;sans-serif" w:hAnsi="Times New Roman;sans-serif"/>
          <w:b/>
          <w:color w:val="000000"/>
          <w:sz w:val="22"/>
        </w:rPr>
        <w:t>Termination of Employment or Service.</w:t>
      </w:r>
      <w:r>
        <w:rPr>
          <w:color w:val="000000"/>
        </w:rPr>
        <w:t xml:space="preserve"> </w:t>
      </w:r>
      <w:r>
        <w:rPr>
          <w:rFonts w:ascii="Times New Roman;sans-serif" w:hAnsi="Times New Roman;sans-serif"/>
          <w:b w:val="false"/>
          <w:color w:val="000000"/>
          <w:sz w:val="22"/>
        </w:rPr>
        <w:t xml:space="preserve">If the Participant’s employment or service with the Company and its Affiliates terminates for any reason, any unearned and unvested RSUs shall be accelerated, remain eligible to be earned or cancelled in accordance with the terms of the Employment Agreement. </w:t>
      </w:r>
    </w:p>
    <w:p>
      <w:pPr>
        <w:pStyle w:val="TextBody"/>
        <w:spacing w:lineRule="auto" w:line="240" w:before="0" w:after="240"/>
        <w:rPr/>
      </w:pPr>
      <w:r>
        <w:rPr>
          <w:rFonts w:ascii="Times New Roman;sans-serif" w:hAnsi="Times New Roman;sans-serif"/>
          <w:b/>
          <w:color w:val="000000"/>
          <w:sz w:val="22"/>
        </w:rPr>
        <w:t>5.</w:t>
      </w:r>
      <w:r>
        <w:rPr>
          <w:rFonts w:ascii="Times New Roman;sans-serif" w:hAnsi="Times New Roman;sans-serif"/>
          <w:b/>
          <w:color w:val="000000"/>
          <w:sz w:val="22"/>
        </w:rPr>
        <w:t>Rights as a Stockholder.</w:t>
      </w:r>
      <w:r>
        <w:rPr>
          <w:color w:val="000000"/>
        </w:rPr>
        <w:t xml:space="preserve"> </w:t>
      </w:r>
      <w:r>
        <w:rPr>
          <w:rFonts w:ascii="Times New Roman;sans-serif" w:hAnsi="Times New Roman;sans-serif"/>
          <w:b w:val="false"/>
          <w:color w:val="000000"/>
          <w:sz w:val="22"/>
        </w:rPr>
        <w:t>The Participant shall not be deemed for any purpose to be the owner of any shares of Class A Common Stock 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pStyle w:val="TextBody"/>
        <w:spacing w:lineRule="auto" w:line="240" w:before="0" w:after="240"/>
        <w:rPr/>
      </w:pPr>
      <w:r>
        <w:rPr>
          <w:rFonts w:ascii="Times New Roman;sans-serif" w:hAnsi="Times New Roman;sans-serif"/>
          <w:b/>
          <w:color w:val="000000"/>
          <w:sz w:val="22"/>
        </w:rPr>
        <w:t>6.</w:t>
      </w:r>
      <w:r>
        <w:rPr>
          <w:rFonts w:ascii="Times New Roman;sans-serif" w:hAnsi="Times New Roman;sans-serif"/>
          <w:b/>
          <w:color w:val="000000"/>
          <w:sz w:val="22"/>
        </w:rPr>
        <w:t>Compliance with Legal Requirements.</w:t>
      </w:r>
      <w:r>
        <w:rPr>
          <w:color w:val="000000"/>
        </w:rPr>
        <w:t xml:space="preserve">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Taxes and Withholding</w:t>
      </w:r>
      <w:r>
        <w:rPr>
          <w:rFonts w:ascii="Times New Roman;sans-serif" w:hAnsi="Times New Roman;sans-serif"/>
          <w:b w:val="false"/>
          <w:color w:val="000000"/>
          <w:sz w:val="22"/>
        </w:rPr>
        <w:t xml:space="preserve">.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7.Restrictive Covenants.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Nothing in this Agreement shall supersede, modify, replace or cancel any existing contractual obligations, including but not limited to restrictive covenants, applicable to Participant in </w:t>
      </w:r>
      <w:r>
        <w:rPr>
          <w:rFonts w:ascii="Times New Roman;sans-serif" w:hAnsi="Times New Roman;sans-serif"/>
          <w:b w:val="false"/>
          <w:i/>
          <w:color w:val="000000"/>
          <w:sz w:val="22"/>
          <w:u w:val="single"/>
        </w:rPr>
        <w:t>any</w:t>
      </w:r>
      <w:r>
        <w:rPr>
          <w:color w:val="000000"/>
          <w:u w:val="single"/>
        </w:rPr>
        <w:t xml:space="preserve"> </w:t>
      </w:r>
      <w:r>
        <w:rPr>
          <w:rFonts w:ascii="Times New Roman;sans-serif" w:hAnsi="Times New Roman;sans-serif"/>
          <w:b w:val="false"/>
          <w:color w:val="000000"/>
          <w:sz w:val="22"/>
        </w:rPr>
        <w:t>employment agreement, offer letter, prior equity award agreement or any other agreement or contract with the Company or its Affiliates.</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one or more actions in any applicable jurisdiction to recover damages as a result of the Participant’s breach of such restrictive covenants.</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8.Miscellaneous.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Transferability</w:t>
      </w:r>
      <w:r>
        <w:rPr>
          <w:rFonts w:ascii="Times New Roman;sans-serif" w:hAnsi="Times New Roman;sans-serif"/>
          <w:b w:val="false"/>
          <w:color w:val="000000"/>
          <w:sz w:val="22"/>
        </w:rPr>
        <w:t>. The RSUs may not be assigned, alienated, pledged, attached, sold or otherwise transferred or encumbered (a “</w:t>
      </w:r>
      <w:r>
        <w:rPr>
          <w:rFonts w:ascii="Times New Roman;sans-serif" w:hAnsi="Times New Roman;sans-serif"/>
          <w:b w:val="false"/>
          <w:color w:val="000000"/>
          <w:sz w:val="22"/>
          <w:u w:val="single"/>
        </w:rPr>
        <w:t>Transfer</w:t>
      </w:r>
      <w:r>
        <w:rPr>
          <w:color w:val="000000"/>
        </w:rPr>
        <w:t>”</w:t>
      </w:r>
      <w:r>
        <w:rPr>
          <w:rFonts w:ascii="Times New Roman;sans-serif" w:hAnsi="Times New Roman;sans-serif"/>
          <w:b w:val="false"/>
          <w:color w:val="000000"/>
          <w:sz w:val="22"/>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RSUs will not be subject to interest and penalties under Section 409A.</w:t>
      </w:r>
    </w:p>
    <w:p>
      <w:pPr>
        <w:pStyle w:val="TextBody"/>
        <w:spacing w:lineRule="auto" w:line="240"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General Assets</w:t>
      </w:r>
      <w:r>
        <w:rPr>
          <w:rFonts w:ascii="Times New Roman;sans-serif" w:hAnsi="Times New Roman;sans-serif"/>
          <w:b w:val="false"/>
          <w:color w:val="000000"/>
          <w:sz w:val="22"/>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pStyle w:val="TextBody"/>
        <w:spacing w:lineRule="auto" w:line="240"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pStyle w:val="TextBody"/>
        <w:spacing w:lineRule="auto" w:line="240"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spacing w:lineRule="auto" w:line="240"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No Rights to Employment or Service</w:t>
      </w:r>
      <w:r>
        <w:rPr>
          <w:rFonts w:ascii="Times New Roman;sans-serif" w:hAnsi="Times New Roman;sans-serif"/>
          <w:b w:val="false"/>
          <w:color w:val="000000"/>
          <w:sz w:val="22"/>
        </w:rPr>
        <w:t xml:space="preserve">.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w:t>
      </w:r>
    </w:p>
    <w:p>
      <w:pPr>
        <w:pStyle w:val="TextBody"/>
        <w:spacing w:lineRule="auto" w:line="240"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xml:space="preserve">.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 </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Beneficiary</w:t>
      </w:r>
      <w:r>
        <w:rPr>
          <w:rFonts w:ascii="Times New Roman;sans-serif" w:hAnsi="Times New Roman;sans-serif"/>
          <w:b w:val="false"/>
          <w:color w:val="000000"/>
          <w:sz w:val="22"/>
        </w:rPr>
        <w:t xml:space="preserve">. The Participant may file with the Committee a written designation of a beneficiary on such form as may be prescribed by the Committee and may, from time to time, amend or revoke such designation. </w:t>
      </w:r>
    </w:p>
    <w:p>
      <w:pPr>
        <w:pStyle w:val="TextBody"/>
        <w:spacing w:lineRule="auto" w:line="240" w:before="0" w:after="240"/>
        <w:ind w:left="0" w:right="0" w:firstLine="720"/>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xml:space="preserve">. The terms of this Agreement shall be binding upon and inure to the benefit of the Company and its successors and assigns, and of the Participant and the beneficiaries, executors, administrators, heirs and successors of the Participant. </w:t>
      </w:r>
    </w:p>
    <w:p>
      <w:pPr>
        <w:pStyle w:val="TextBody"/>
        <w:spacing w:lineRule="auto" w:line="240" w:before="0" w:after="240"/>
        <w:ind w:left="0" w:right="0" w:firstLine="720"/>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w:t>
      </w:r>
    </w:p>
    <w:p>
      <w:pPr>
        <w:pStyle w:val="TextBody"/>
        <w:spacing w:lineRule="auto" w:line="240" w:before="0" w:after="240"/>
        <w:ind w:left="0" w:right="0" w:firstLine="720"/>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Governing Law and Venue</w:t>
      </w:r>
      <w:r>
        <w:rPr>
          <w:rFonts w:ascii="Times New Roman;sans-serif" w:hAnsi="Times New Roman;sans-serif"/>
          <w:b w:val="false"/>
          <w:color w:val="000000"/>
          <w:sz w:val="22"/>
        </w:rPr>
        <w:t xml:space="preserve">.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 </w: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Dispute Resolution; Consent to Jurisdiction</w:t>
      </w:r>
      <w:r>
        <w:rPr>
          <w:rFonts w:ascii="Times New Roman;sans-serif" w:hAnsi="Times New Roman;sans-serif"/>
          <w:b w:val="false"/>
          <w:color w:val="000000"/>
          <w:sz w:val="22"/>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pStyle w:val="TextBody"/>
        <w:spacing w:lineRule="auto" w:line="240" w:before="0" w:after="240"/>
        <w:ind w:left="0" w:right="0" w:firstLine="72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spacing w:lineRule="auto" w:line="240" w:before="0" w:after="240"/>
        <w:ind w:left="0" w:right="0" w:firstLine="720"/>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Headings; Gender</w:t>
      </w:r>
      <w:r>
        <w:rPr>
          <w:rFonts w:ascii="Times New Roman;sans-serif" w:hAnsi="Times New Roman;sans-serif"/>
          <w:b w:val="false"/>
          <w:color w:val="000000"/>
          <w:sz w:val="22"/>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pStyle w:val="TextBody"/>
        <w:spacing w:lineRule="auto" w:line="240" w:before="0" w:after="240"/>
        <w:ind w:left="0" w:right="0" w:firstLine="720"/>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pStyle w:val="TextBody"/>
        <w:spacing w:lineRule="auto" w:line="240" w:before="0" w:after="240"/>
        <w:ind w:left="0" w:right="0" w:firstLine="720"/>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Electronic Signature and Delivery</w:t>
      </w:r>
      <w:r>
        <w:rPr>
          <w:rFonts w:ascii="Times New Roman;sans-serif" w:hAnsi="Times New Roman;sans-serif"/>
          <w:b w:val="false"/>
          <w:color w:val="000000"/>
          <w:sz w:val="22"/>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upon three business days’ notice to the Company, in which case subsequent prospectuses, annual reports and other information will be delivered in hard copy to the Participant).</w:t>
      </w:r>
    </w:p>
    <w:p>
      <w:pPr>
        <w:pStyle w:val="TextBody"/>
        <w:spacing w:lineRule="auto" w:line="240" w:before="0" w:after="240"/>
        <w:ind w:left="0" w:right="0" w:firstLine="720"/>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Electronic Participation in Plan</w:t>
      </w:r>
      <w:r>
        <w:rPr>
          <w:rFonts w:ascii="Times New Roman;sans-serif" w:hAnsi="Times New Roman;sans-serif"/>
          <w:b w:val="false"/>
          <w:color w:val="000000"/>
          <w:sz w:val="22"/>
        </w:rPr>
        <w:t>. The Company</w:t>
      </w:r>
      <w:r>
        <w:rPr>
          <w:color w:val="000000"/>
        </w:rPr>
        <w:t xml:space="preserve"> </w:t>
      </w:r>
      <w:r>
        <w:rPr>
          <w:rFonts w:ascii="Times New Roman;sans-serif" w:hAnsi="Times New Roman;sans-serif"/>
          <w:b w:val="false"/>
          <w:color w:val="000000"/>
          <w:sz w:val="22"/>
        </w:rPr>
        <w:t>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w:t>
      </w:r>
      <w:r>
        <w:rPr>
          <w:color w:val="000000"/>
        </w:rPr>
        <w:t xml:space="preserve"> </w:t>
      </w:r>
      <w:r>
        <w:rPr>
          <w:rFonts w:ascii="Times New Roman;sans-serif" w:hAnsi="Times New Roman;sans-serif"/>
          <w:b w:val="false"/>
          <w:color w:val="000000"/>
          <w:sz w:val="22"/>
        </w:rPr>
        <w:t>or a third party designated by the Company.</w:t>
      </w:r>
    </w:p>
    <w:p>
      <w:pPr>
        <w:pStyle w:val="TextBody"/>
        <w:spacing w:before="0" w:after="240"/>
        <w:jc w:val="center"/>
        <w:rPr/>
      </w:pPr>
      <w:r>
        <w:rPr/>
      </w:r>
    </w:p>
    <w:p>
      <w:pPr>
        <w:pStyle w:val="TextBody"/>
        <w:spacing w:before="0" w:after="240"/>
        <w:jc w:val="center"/>
        <w:rPr/>
      </w:pPr>
      <w:r>
        <w:rPr/>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0"/>
        <w:ind w:left="0" w:right="0" w:firstLine="979"/>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by the Company and the Participant as of the day first written above. </w:t>
      </w:r>
    </w:p>
    <w:p>
      <w:pPr>
        <w:pStyle w:val="TextBody"/>
        <w:spacing w:before="0" w:after="0"/>
        <w:ind w:left="0" w:right="0" w:firstLine="979"/>
        <w:rPr/>
      </w:pPr>
      <w:r>
        <w:rPr/>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VIRTU FINANCIAL, INC.</w:t>
      </w:r>
    </w:p>
    <w:p>
      <w:pPr>
        <w:pStyle w:val="TextBody"/>
        <w:spacing w:lineRule="auto" w:line="240"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Douglas A. Cifu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Douglas A. Cifu</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2"/>
        </w:rPr>
        <w:t>/</w:t>
      </w:r>
      <w:r>
        <w:rPr>
          <w:rFonts w:ascii="Times New Roman;sans-serif" w:hAnsi="Times New Roman;sans-serif"/>
          <w:b w:val="false"/>
          <w:color w:val="000000"/>
          <w:sz w:val="22"/>
          <w:u w:val="single"/>
        </w:rPr>
        <w:t>s/ Joseph Mulluso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Joseph Molluso</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VIRTU FINANCIAL,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AND RESTATED </w:t>
        <w:br/>
        <w:t>2015 MANAGEMENT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EMPLOYEE</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AWARD AGREEMENT</w:t>
      </w:r>
    </w:p>
    <w:p>
      <w:pPr>
        <w:pStyle w:val="TextBody"/>
        <w:spacing w:lineRule="auto" w:line="240" w:before="180" w:after="283"/>
        <w:ind w:left="0" w:right="0" w:firstLine="720"/>
        <w:rPr/>
      </w:pPr>
      <w:r>
        <w:rPr>
          <w:rFonts w:ascii="Times New Roman;sans-serif" w:hAnsi="Times New Roman;sans-serif"/>
          <w:b w:val="false"/>
          <w:color w:val="000000"/>
          <w:sz w:val="22"/>
        </w:rPr>
        <w:t>THIS RESTRICTED STOCK UNIT AWARD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February 3, 2023 (the “</w:t>
      </w:r>
      <w:r>
        <w:rPr>
          <w:rFonts w:ascii="Times New Roman;sans-serif" w:hAnsi="Times New Roman;sans-serif"/>
          <w:b w:val="false"/>
          <w:color w:val="000000"/>
          <w:sz w:val="22"/>
          <w:u w:val="single"/>
        </w:rPr>
        <w:t>Date of Grant</w:t>
      </w:r>
      <w:r>
        <w:rPr>
          <w:color w:val="000000"/>
        </w:rPr>
        <w:t>”</w:t>
      </w:r>
      <w:r>
        <w:rPr>
          <w:rFonts w:ascii="Times New Roman;sans-serif" w:hAnsi="Times New Roman;sans-serif"/>
          <w:b w:val="false"/>
          <w:color w:val="000000"/>
          <w:sz w:val="22"/>
        </w:rPr>
        <w:t>), by and between Virtu Financial,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Stephen Cavoli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has adopted the Virtu Financial, Inc. Amended and Restated 2015 Management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pursuant to which Restricted Stock Units (the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xml:space="preserve">) may be granted;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and the Participant entered into that certain Amended and Restated Employment Agreement, dated as of December 1, 2022 (the “</w:t>
      </w:r>
      <w:r>
        <w:rPr>
          <w:rFonts w:ascii="Times New Roman;sans-serif" w:hAnsi="Times New Roman;sans-serif"/>
          <w:b w:val="false"/>
          <w:color w:val="000000"/>
          <w:sz w:val="22"/>
          <w:u w:val="single"/>
        </w:rPr>
        <w:t>Employment Agreement</w:t>
      </w:r>
      <w:r>
        <w:rPr>
          <w:color w:val="000000"/>
        </w:rPr>
        <w:t>”</w:t>
      </w:r>
      <w:r>
        <w:rPr>
          <w:rFonts w:ascii="Times New Roman;sans-serif" w:hAnsi="Times New Roman;sans-serif"/>
          <w:b w:val="false"/>
          <w:color w:val="000000"/>
          <w:sz w:val="22"/>
        </w:rPr>
        <w:t xml:space="preserve">), pursuant to which the Participant is eligible to receive an equity award at the beginning of each calendar year during the Term (as defined in the Employment Agreement); </w:t>
      </w:r>
    </w:p>
    <w:p>
      <w:pPr>
        <w:pStyle w:val="TextBody"/>
        <w:spacing w:lineRule="auto" w:line="240" w:before="18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pStyle w:val="TextBody"/>
        <w:spacing w:lineRule="auto" w:line="240" w:before="18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1.Grant of Restricted Stock Units.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xml:space="preserve">. The Company hereby grants to the Participant 75,000 RSUs on the terms and conditions set forth in this Agreement and as otherwise provided in the Plan. The RSUs shall be credited to a separate book-entry account maintained for the Participant on the books of the Company, which may be maintained by a third party.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 xml:space="preserve">2.Vesting; Settlement of Restricted Stock Units.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January 31, 2024 and January 31, 2025 (each such date, a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number of RSUs earned under this Agreement shall be determined in accordance with the criteria set forth in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Vested RSUs shall be settled in shares of Class A Common Stock, or cash, as determined by the Committee in its sole discretion. </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3.</w:t>
      </w:r>
      <w:r>
        <w:rPr>
          <w:rFonts w:ascii="Times New Roman;sans-serif" w:hAnsi="Times New Roman;sans-serif"/>
          <w:b/>
          <w:color w:val="000000"/>
          <w:sz w:val="22"/>
        </w:rPr>
        <w:t>Dividends Equivalents.</w:t>
      </w:r>
      <w:r>
        <w:rPr>
          <w:color w:val="000000"/>
        </w:rPr>
        <w:t xml:space="preserve"> </w:t>
      </w:r>
      <w:r>
        <w:rPr>
          <w:rFonts w:ascii="Times New Roman;sans-serif" w:hAnsi="Times New Roman;sans-serif"/>
          <w:b w:val="false"/>
          <w:color w:val="000000"/>
          <w:sz w:val="22"/>
        </w:rPr>
        <w:t>In the event of any issuance of a cash dividend on the shares of Class A Common Stock (a “</w:t>
      </w:r>
      <w:r>
        <w:rPr>
          <w:rFonts w:ascii="Times New Roman;sans-serif" w:hAnsi="Times New Roman;sans-serif"/>
          <w:b w:val="false"/>
          <w:color w:val="000000"/>
          <w:sz w:val="22"/>
          <w:u w:val="single"/>
        </w:rPr>
        <w:t>Dividend</w:t>
      </w:r>
      <w:r>
        <w:rPr>
          <w:color w:val="000000"/>
        </w:rPr>
        <w:t>”</w:t>
      </w:r>
      <w:r>
        <w:rPr>
          <w:rFonts w:ascii="Times New Roman;sans-serif" w:hAnsi="Times New Roman;sans-serif"/>
          <w:b w:val="false"/>
          <w:color w:val="000000"/>
          <w:sz w:val="22"/>
        </w:rPr>
        <w:t xml:space="preserve">),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p>
    <w:p>
      <w:pPr>
        <w:pStyle w:val="TextBody"/>
        <w:spacing w:lineRule="auto" w:line="240" w:before="0" w:after="240"/>
        <w:rPr/>
      </w:pPr>
      <w:r>
        <w:rPr>
          <w:rFonts w:ascii="Times New Roman;sans-serif" w:hAnsi="Times New Roman;sans-serif"/>
          <w:b/>
          <w:color w:val="000000"/>
          <w:sz w:val="22"/>
        </w:rPr>
        <w:t>4.</w:t>
      </w:r>
      <w:r>
        <w:rPr>
          <w:rFonts w:ascii="Times New Roman;sans-serif" w:hAnsi="Times New Roman;sans-serif"/>
          <w:b/>
          <w:color w:val="000000"/>
          <w:sz w:val="22"/>
        </w:rPr>
        <w:t>Termination of Employment or Service.</w:t>
      </w:r>
      <w:r>
        <w:rPr>
          <w:color w:val="000000"/>
        </w:rPr>
        <w:t xml:space="preserve"> </w:t>
      </w:r>
      <w:r>
        <w:rPr>
          <w:rFonts w:ascii="Times New Roman;sans-serif" w:hAnsi="Times New Roman;sans-serif"/>
          <w:b w:val="false"/>
          <w:color w:val="000000"/>
          <w:sz w:val="22"/>
        </w:rPr>
        <w:t xml:space="preserve">If the Participant’s employment or service with the Company and its Affiliates terminates for any reason, any unearned and unvested RSUs shall be accelerated, remain eligible to be earned or cancelled in accordance with the terms of the Employment Agreement. </w:t>
      </w:r>
    </w:p>
    <w:p>
      <w:pPr>
        <w:pStyle w:val="TextBody"/>
        <w:spacing w:lineRule="auto" w:line="240" w:before="0" w:after="240"/>
        <w:rPr/>
      </w:pPr>
      <w:r>
        <w:rPr>
          <w:rFonts w:ascii="Times New Roman;sans-serif" w:hAnsi="Times New Roman;sans-serif"/>
          <w:b/>
          <w:color w:val="000000"/>
          <w:sz w:val="22"/>
        </w:rPr>
        <w:t>5.</w:t>
      </w:r>
      <w:r>
        <w:rPr>
          <w:rFonts w:ascii="Times New Roman;sans-serif" w:hAnsi="Times New Roman;sans-serif"/>
          <w:b/>
          <w:color w:val="000000"/>
          <w:sz w:val="22"/>
        </w:rPr>
        <w:t>Rights as a Stockholder.</w:t>
      </w:r>
      <w:r>
        <w:rPr>
          <w:color w:val="000000"/>
        </w:rPr>
        <w:t xml:space="preserve"> </w:t>
      </w:r>
      <w:r>
        <w:rPr>
          <w:rFonts w:ascii="Times New Roman;sans-serif" w:hAnsi="Times New Roman;sans-serif"/>
          <w:b w:val="false"/>
          <w:color w:val="000000"/>
          <w:sz w:val="22"/>
        </w:rPr>
        <w:t>The Participant shall not be deemed for any purpose to be the owner of any shares of Class A Common Stock 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pStyle w:val="TextBody"/>
        <w:spacing w:lineRule="auto" w:line="240" w:before="0" w:after="240"/>
        <w:rPr/>
      </w:pPr>
      <w:r>
        <w:rPr>
          <w:rFonts w:ascii="Times New Roman;sans-serif" w:hAnsi="Times New Roman;sans-serif"/>
          <w:b/>
          <w:color w:val="000000"/>
          <w:sz w:val="22"/>
        </w:rPr>
        <w:t>6.</w:t>
      </w:r>
      <w:r>
        <w:rPr>
          <w:rFonts w:ascii="Times New Roman;sans-serif" w:hAnsi="Times New Roman;sans-serif"/>
          <w:b/>
          <w:color w:val="000000"/>
          <w:sz w:val="22"/>
        </w:rPr>
        <w:t>Compliance with Legal Requirements.</w:t>
      </w:r>
      <w:r>
        <w:rPr>
          <w:color w:val="000000"/>
        </w:rPr>
        <w:t xml:space="preserve">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Taxes and Withholding</w:t>
      </w:r>
      <w:r>
        <w:rPr>
          <w:rFonts w:ascii="Times New Roman;sans-serif" w:hAnsi="Times New Roman;sans-serif"/>
          <w:b w:val="false"/>
          <w:color w:val="000000"/>
          <w:sz w:val="22"/>
        </w:rPr>
        <w:t xml:space="preserve">.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7.Restrictive Covenants.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Nothing in this Agreement shall supersede, modify, replace or cancel any existing contractual obligations, including but not limited to restrictive covenants, applicable to Participant in </w:t>
      </w:r>
      <w:r>
        <w:rPr>
          <w:rFonts w:ascii="Times New Roman;sans-serif" w:hAnsi="Times New Roman;sans-serif"/>
          <w:b w:val="false"/>
          <w:i/>
          <w:color w:val="000000"/>
          <w:sz w:val="22"/>
          <w:u w:val="single"/>
        </w:rPr>
        <w:t>any</w:t>
      </w:r>
      <w:r>
        <w:rPr>
          <w:color w:val="000000"/>
          <w:u w:val="single"/>
        </w:rPr>
        <w:t xml:space="preserve"> </w:t>
      </w:r>
      <w:r>
        <w:rPr>
          <w:rFonts w:ascii="Times New Roman;sans-serif" w:hAnsi="Times New Roman;sans-serif"/>
          <w:b w:val="false"/>
          <w:color w:val="000000"/>
          <w:sz w:val="22"/>
        </w:rPr>
        <w:t>employment agreement, offer letter, prior equity award agreement or any other agreement or contract with the Company or its Affiliates.</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one or more actions in any applicable jurisdiction to recover damages as a result of the Participant’s breach of such restrictive covenants.</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8.Miscellaneous.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Transferability</w:t>
      </w:r>
      <w:r>
        <w:rPr>
          <w:rFonts w:ascii="Times New Roman;sans-serif" w:hAnsi="Times New Roman;sans-serif"/>
          <w:b w:val="false"/>
          <w:color w:val="000000"/>
          <w:sz w:val="22"/>
        </w:rPr>
        <w:t>. The RSUs may not be assigned, alienated, pledged, attached, sold or otherwise transferred or encumbered (a “</w:t>
      </w:r>
      <w:r>
        <w:rPr>
          <w:rFonts w:ascii="Times New Roman;sans-serif" w:hAnsi="Times New Roman;sans-serif"/>
          <w:b w:val="false"/>
          <w:color w:val="000000"/>
          <w:sz w:val="22"/>
          <w:u w:val="single"/>
        </w:rPr>
        <w:t>Transfer</w:t>
      </w:r>
      <w:r>
        <w:rPr>
          <w:color w:val="000000"/>
        </w:rPr>
        <w:t>”</w:t>
      </w:r>
      <w:r>
        <w:rPr>
          <w:rFonts w:ascii="Times New Roman;sans-serif" w:hAnsi="Times New Roman;sans-serif"/>
          <w:b w:val="false"/>
          <w:color w:val="000000"/>
          <w:sz w:val="22"/>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RSUs will not be subject to interest and penalties under Section 409A.</w:t>
      </w:r>
    </w:p>
    <w:p>
      <w:pPr>
        <w:pStyle w:val="TextBody"/>
        <w:spacing w:lineRule="auto" w:line="240"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General Assets</w:t>
      </w:r>
      <w:r>
        <w:rPr>
          <w:rFonts w:ascii="Times New Roman;sans-serif" w:hAnsi="Times New Roman;sans-serif"/>
          <w:b w:val="false"/>
          <w:color w:val="000000"/>
          <w:sz w:val="22"/>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pStyle w:val="TextBody"/>
        <w:spacing w:lineRule="auto" w:line="240"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pStyle w:val="TextBody"/>
        <w:spacing w:lineRule="auto" w:line="240"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spacing w:lineRule="auto" w:line="240"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No Rights to Employment or Service</w:t>
      </w:r>
      <w:r>
        <w:rPr>
          <w:rFonts w:ascii="Times New Roman;sans-serif" w:hAnsi="Times New Roman;sans-serif"/>
          <w:b w:val="false"/>
          <w:color w:val="000000"/>
          <w:sz w:val="22"/>
        </w:rPr>
        <w:t xml:space="preserve">.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w:t>
      </w:r>
    </w:p>
    <w:p>
      <w:pPr>
        <w:pStyle w:val="TextBody"/>
        <w:spacing w:lineRule="auto" w:line="240"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xml:space="preserve">.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 </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Beneficiary</w:t>
      </w:r>
      <w:r>
        <w:rPr>
          <w:rFonts w:ascii="Times New Roman;sans-serif" w:hAnsi="Times New Roman;sans-serif"/>
          <w:b w:val="false"/>
          <w:color w:val="000000"/>
          <w:sz w:val="22"/>
        </w:rPr>
        <w:t xml:space="preserve">. The Participant may file with the Committee a written designation of a beneficiary on such form as may be prescribed by the Committee and may, from time to time, amend or revoke such designation. </w:t>
      </w:r>
    </w:p>
    <w:p>
      <w:pPr>
        <w:pStyle w:val="TextBody"/>
        <w:spacing w:lineRule="auto" w:line="240" w:before="0" w:after="240"/>
        <w:ind w:left="0" w:right="0" w:firstLine="720"/>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xml:space="preserve">. The terms of this Agreement shall be binding upon and inure to the benefit of the Company and its successors and assigns, and of the Participant and the beneficiaries, executors, administrators, heirs and successors of the Participant. </w:t>
      </w:r>
    </w:p>
    <w:p>
      <w:pPr>
        <w:pStyle w:val="TextBody"/>
        <w:spacing w:lineRule="auto" w:line="240" w:before="0" w:after="240"/>
        <w:ind w:left="0" w:right="0" w:firstLine="720"/>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w:t>
      </w:r>
    </w:p>
    <w:p>
      <w:pPr>
        <w:pStyle w:val="TextBody"/>
        <w:spacing w:lineRule="auto" w:line="240" w:before="0" w:after="240"/>
        <w:ind w:left="0" w:right="0" w:firstLine="720"/>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Governing Law and Venue</w:t>
      </w:r>
      <w:r>
        <w:rPr>
          <w:rFonts w:ascii="Times New Roman;sans-serif" w:hAnsi="Times New Roman;sans-serif"/>
          <w:b w:val="false"/>
          <w:color w:val="000000"/>
          <w:sz w:val="22"/>
        </w:rPr>
        <w:t xml:space="preserve">.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 </w: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Dispute Resolution; Consent to Jurisdiction</w:t>
      </w:r>
      <w:r>
        <w:rPr>
          <w:rFonts w:ascii="Times New Roman;sans-serif" w:hAnsi="Times New Roman;sans-serif"/>
          <w:b w:val="false"/>
          <w:color w:val="000000"/>
          <w:sz w:val="22"/>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pStyle w:val="TextBody"/>
        <w:spacing w:lineRule="auto" w:line="240" w:before="0" w:after="240"/>
        <w:ind w:left="0" w:right="0" w:firstLine="72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spacing w:lineRule="auto" w:line="240" w:before="0" w:after="240"/>
        <w:ind w:left="0" w:right="0" w:firstLine="720"/>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Headings; Gender</w:t>
      </w:r>
      <w:r>
        <w:rPr>
          <w:rFonts w:ascii="Times New Roman;sans-serif" w:hAnsi="Times New Roman;sans-serif"/>
          <w:b w:val="false"/>
          <w:color w:val="000000"/>
          <w:sz w:val="22"/>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pStyle w:val="TextBody"/>
        <w:spacing w:lineRule="auto" w:line="240" w:before="0" w:after="240"/>
        <w:ind w:left="0" w:right="0" w:firstLine="720"/>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pStyle w:val="TextBody"/>
        <w:spacing w:lineRule="auto" w:line="240" w:before="0" w:after="240"/>
        <w:ind w:left="0" w:right="0" w:firstLine="720"/>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Electronic Signature and Delivery</w:t>
      </w:r>
      <w:r>
        <w:rPr>
          <w:rFonts w:ascii="Times New Roman;sans-serif" w:hAnsi="Times New Roman;sans-serif"/>
          <w:b w:val="false"/>
          <w:color w:val="000000"/>
          <w:sz w:val="22"/>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w:t>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upon three business days’ notice to the Company, in which case subsequent prospectuses, annual reports and other information will be delivered in hard copy to the Participant).</w:t>
      </w:r>
    </w:p>
    <w:p>
      <w:pPr>
        <w:pStyle w:val="TextBody"/>
        <w:spacing w:lineRule="auto" w:line="240" w:before="0" w:after="240"/>
        <w:ind w:left="0" w:right="0" w:firstLine="720"/>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Electronic Participation in Plan</w:t>
      </w:r>
      <w:r>
        <w:rPr>
          <w:rFonts w:ascii="Times New Roman;sans-serif" w:hAnsi="Times New Roman;sans-serif"/>
          <w:b w:val="false"/>
          <w:color w:val="000000"/>
          <w:sz w:val="22"/>
        </w:rPr>
        <w:t>. The Company</w:t>
      </w:r>
      <w:r>
        <w:rPr>
          <w:color w:val="000000"/>
        </w:rPr>
        <w:t xml:space="preserve"> </w:t>
      </w:r>
      <w:r>
        <w:rPr>
          <w:rFonts w:ascii="Times New Roman;sans-serif" w:hAnsi="Times New Roman;sans-serif"/>
          <w:b w:val="false"/>
          <w:color w:val="000000"/>
          <w:sz w:val="22"/>
        </w:rPr>
        <w:t>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w:t>
      </w:r>
      <w:r>
        <w:rPr>
          <w:color w:val="000000"/>
        </w:rPr>
        <w:t xml:space="preserve"> </w:t>
      </w:r>
      <w:r>
        <w:rPr>
          <w:rFonts w:ascii="Times New Roman;sans-serif" w:hAnsi="Times New Roman;sans-serif"/>
          <w:b w:val="false"/>
          <w:color w:val="000000"/>
          <w:sz w:val="22"/>
        </w:rPr>
        <w:t>or a third party designated by the Company.</w:t>
      </w:r>
    </w:p>
    <w:p>
      <w:pPr>
        <w:pStyle w:val="TextBody"/>
        <w:spacing w:before="0" w:after="240"/>
        <w:jc w:val="center"/>
        <w:rPr/>
      </w:pPr>
      <w:r>
        <w:rPr/>
      </w:r>
    </w:p>
    <w:p>
      <w:pPr>
        <w:pStyle w:val="TextBody"/>
        <w:spacing w:before="0" w:after="240"/>
        <w:jc w:val="center"/>
        <w:rPr/>
      </w:pPr>
      <w:r>
        <w:rPr/>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2" name="Frame9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0"/>
        <w:ind w:left="0" w:right="0" w:firstLine="979"/>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by the Company and the Participant as of the day first written above. </w:t>
      </w:r>
    </w:p>
    <w:p>
      <w:pPr>
        <w:pStyle w:val="TextBody"/>
        <w:spacing w:before="0" w:after="0"/>
        <w:ind w:left="0" w:right="0" w:firstLine="979"/>
        <w:rPr/>
      </w:pPr>
      <w:r>
        <w:rPr/>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VIRTU FINANCIAL, INC.</w:t>
      </w:r>
    </w:p>
    <w:p>
      <w:pPr>
        <w:pStyle w:val="TextBody"/>
        <w:spacing w:lineRule="auto" w:line="240"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4"/>
          <w:u w:val="single"/>
        </w:rPr>
        <w:t>/s/ Douglas A. Cifu</w:t>
      </w:r>
      <w:r>
        <w:rPr>
          <w:color w:val="000000"/>
          <w:u w:val="single"/>
        </w:rPr>
        <w:t>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Douglas A. Cifu</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Stephen Cavoli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Stephen Cavoli</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VIRTU FINANCIAL, INC.</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AMENDED AND RESTATED </w:t>
        <w:br/>
        <w:t>2015 MANAGEMENT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EMPLOYEE</w:t>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RESTRICTED STOCK UNIT AWARD AGREEMENT</w:t>
      </w:r>
    </w:p>
    <w:p>
      <w:pPr>
        <w:pStyle w:val="TextBody"/>
        <w:spacing w:lineRule="auto" w:line="240" w:before="180" w:after="283"/>
        <w:ind w:left="0" w:right="0" w:firstLine="720"/>
        <w:rPr/>
      </w:pPr>
      <w:r>
        <w:rPr>
          <w:rFonts w:ascii="Times New Roman;sans-serif" w:hAnsi="Times New Roman;sans-serif"/>
          <w:b w:val="false"/>
          <w:color w:val="000000"/>
          <w:sz w:val="22"/>
        </w:rPr>
        <w:t>THIS RESTRICTED STOCK UNIT AWARD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February 3, 2023 (the “</w:t>
      </w:r>
      <w:r>
        <w:rPr>
          <w:rFonts w:ascii="Times New Roman;sans-serif" w:hAnsi="Times New Roman;sans-serif"/>
          <w:b w:val="false"/>
          <w:color w:val="000000"/>
          <w:sz w:val="22"/>
          <w:u w:val="single"/>
        </w:rPr>
        <w:t>Date of Grant</w:t>
      </w:r>
      <w:r>
        <w:rPr>
          <w:color w:val="000000"/>
        </w:rPr>
        <w:t>”</w:t>
      </w:r>
      <w:r>
        <w:rPr>
          <w:rFonts w:ascii="Times New Roman;sans-serif" w:hAnsi="Times New Roman;sans-serif"/>
          <w:b w:val="false"/>
          <w:color w:val="000000"/>
          <w:sz w:val="22"/>
        </w:rPr>
        <w:t>), by and between Virtu Financial,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Brett Fairclough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has adopted the Virtu Financial, Inc. Amended and Restated 2015 Management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pursuant to which Restricted Stock Units (the “</w:t>
      </w:r>
      <w:r>
        <w:rPr>
          <w:rFonts w:ascii="Times New Roman;sans-serif" w:hAnsi="Times New Roman;sans-serif"/>
          <w:b w:val="false"/>
          <w:color w:val="000000"/>
          <w:sz w:val="22"/>
          <w:u w:val="single"/>
        </w:rPr>
        <w:t>RSUs</w:t>
      </w:r>
      <w:r>
        <w:rPr>
          <w:color w:val="000000"/>
        </w:rPr>
        <w:t>”</w:t>
      </w:r>
      <w:r>
        <w:rPr>
          <w:rFonts w:ascii="Times New Roman;sans-serif" w:hAnsi="Times New Roman;sans-serif"/>
          <w:b w:val="false"/>
          <w:color w:val="000000"/>
          <w:sz w:val="22"/>
        </w:rPr>
        <w:t xml:space="preserve">) may be granted; </w:t>
      </w:r>
    </w:p>
    <w:p>
      <w:pPr>
        <w:pStyle w:val="TextBody"/>
        <w:spacing w:lineRule="auto" w:line="240" w:before="180" w:after="283"/>
        <w:ind w:left="0" w:right="0" w:firstLine="720"/>
        <w:rPr/>
      </w:pPr>
      <w:r>
        <w:rPr>
          <w:rFonts w:ascii="Times New Roman;sans-serif" w:hAnsi="Times New Roman;sans-serif"/>
          <w:b w:val="false"/>
          <w:color w:val="000000"/>
          <w:sz w:val="22"/>
        </w:rPr>
        <w:t>WHEREAS, the Company and the Participant entered into that certain Amended and Restated Employment Agreement, dated as of December 1, 2022 (the “</w:t>
      </w:r>
      <w:r>
        <w:rPr>
          <w:rFonts w:ascii="Times New Roman;sans-serif" w:hAnsi="Times New Roman;sans-serif"/>
          <w:b w:val="false"/>
          <w:color w:val="000000"/>
          <w:sz w:val="22"/>
          <w:u w:val="single"/>
        </w:rPr>
        <w:t>Employment Agreement</w:t>
      </w:r>
      <w:r>
        <w:rPr>
          <w:color w:val="000000"/>
        </w:rPr>
        <w:t>”</w:t>
      </w:r>
      <w:r>
        <w:rPr>
          <w:rFonts w:ascii="Times New Roman;sans-serif" w:hAnsi="Times New Roman;sans-serif"/>
          <w:b w:val="false"/>
          <w:color w:val="000000"/>
          <w:sz w:val="22"/>
        </w:rPr>
        <w:t xml:space="preserve">), pursuant to which the Participant is eligible to receive an equity award at the beginning of each calendar year during the Term (as defined in the Employment Agreement); </w:t>
      </w:r>
    </w:p>
    <w:p>
      <w:pPr>
        <w:pStyle w:val="TextBody"/>
        <w:spacing w:lineRule="auto" w:line="240" w:before="180"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pStyle w:val="TextBody"/>
        <w:spacing w:lineRule="auto" w:line="240" w:before="18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1.Grant of Restricted Stock Units.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Grant</w:t>
      </w:r>
      <w:r>
        <w:rPr>
          <w:rFonts w:ascii="Times New Roman;sans-serif" w:hAnsi="Times New Roman;sans-serif"/>
          <w:b w:val="false"/>
          <w:color w:val="000000"/>
          <w:sz w:val="22"/>
        </w:rPr>
        <w:t xml:space="preserve">. The Company hereby grants to the Participant 75,000 RSUs on the terms and conditions set forth in this Agreement and as otherwise provided in the Plan. The RSUs shall be credited to a separate book-entry account maintained for the Participant on the books of the Company, which may be maintained by a third party.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Incorporation by Reference</w:t>
      </w:r>
      <w:r>
        <w:rPr>
          <w:rFonts w:ascii="Times New Roman;sans-serif" w:hAnsi="Times New Roman;sans-serif"/>
          <w:b w:val="false"/>
          <w:color w:val="000000"/>
          <w:sz w:val="22"/>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 xml:space="preserve">2.Vesting; Settlement of Restricted Stock Units.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January 31, 2024 and January 31, 2025 (each such date, a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number of RSUs earned under this Agreement shall be determined in accordance with the criteria set forth in </w:t>
      </w:r>
      <w:r>
        <w:rPr>
          <w:rFonts w:ascii="Times New Roman;sans-serif" w:hAnsi="Times New Roman;sans-serif"/>
          <w:b/>
          <w:color w:val="000000"/>
          <w:sz w:val="22"/>
          <w:u w:val="single"/>
        </w:rPr>
        <w:t>Exhibit A</w:t>
      </w:r>
      <w:r>
        <w:rPr>
          <w:rFonts w:ascii="Times New Roman;sans-serif" w:hAnsi="Times New Roman;sans-serif"/>
          <w:b w:val="false"/>
          <w:color w:val="000000"/>
          <w:sz w:val="22"/>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txbxContent>
                </v:textbox>
              </v:rect>
            </w:pict>
          </mc:Fallback>
        </mc:AlternateContent>
      </w:r>
    </w:p>
    <w:p>
      <w:pPr>
        <w:pStyle w:val="TextBody"/>
        <w:spacing w:lineRule="auto" w:line="240" w:before="0" w:after="0"/>
        <w:ind w:left="0" w:right="0" w:firstLine="720"/>
        <w:rPr/>
      </w:pPr>
      <w:r>
        <w:rPr>
          <w:rFonts w:ascii="Times New Roman;sans-serif" w:hAnsi="Times New Roman;sans-serif"/>
          <w:b w:val="false"/>
          <w:color w:val="000000"/>
          <w:sz w:val="24"/>
        </w:rPr>
        <w:t>(c)</w:t>
      </w:r>
      <w:r>
        <w:rPr>
          <w:rFonts w:ascii="Times New Roman;sans-serif" w:hAnsi="Times New Roman;sans-serif"/>
          <w:b w:val="false"/>
          <w:color w:val="000000"/>
          <w:sz w:val="22"/>
        </w:rPr>
        <w:t xml:space="preserve">Vested RSUs shall be settled in shares of Class A Common Stock, or cash, as determined by the Committee in its sole discretion. </w: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2"/>
        </w:rPr>
        <w:t>3.</w:t>
      </w:r>
      <w:r>
        <w:rPr>
          <w:rFonts w:ascii="Times New Roman;sans-serif" w:hAnsi="Times New Roman;sans-serif"/>
          <w:b/>
          <w:color w:val="000000"/>
          <w:sz w:val="22"/>
        </w:rPr>
        <w:t>Dividends Equivalents.</w:t>
      </w:r>
      <w:r>
        <w:rPr>
          <w:color w:val="000000"/>
        </w:rPr>
        <w:t xml:space="preserve"> </w:t>
      </w:r>
      <w:r>
        <w:rPr>
          <w:rFonts w:ascii="Times New Roman;sans-serif" w:hAnsi="Times New Roman;sans-serif"/>
          <w:b w:val="false"/>
          <w:color w:val="000000"/>
          <w:sz w:val="22"/>
        </w:rPr>
        <w:t>In the event of any issuance of a cash dividend on the shares of Class A Common Stock (a “</w:t>
      </w:r>
      <w:r>
        <w:rPr>
          <w:rFonts w:ascii="Times New Roman;sans-serif" w:hAnsi="Times New Roman;sans-serif"/>
          <w:b w:val="false"/>
          <w:color w:val="000000"/>
          <w:sz w:val="22"/>
          <w:u w:val="single"/>
        </w:rPr>
        <w:t>Dividend</w:t>
      </w:r>
      <w:r>
        <w:rPr>
          <w:color w:val="000000"/>
        </w:rPr>
        <w:t>”</w:t>
      </w:r>
      <w:r>
        <w:rPr>
          <w:rFonts w:ascii="Times New Roman;sans-serif" w:hAnsi="Times New Roman;sans-serif"/>
          <w:b w:val="false"/>
          <w:color w:val="000000"/>
          <w:sz w:val="22"/>
        </w:rPr>
        <w:t xml:space="preserve">),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 </w:t>
      </w:r>
    </w:p>
    <w:p>
      <w:pPr>
        <w:pStyle w:val="TextBody"/>
        <w:spacing w:lineRule="auto" w:line="240" w:before="0" w:after="240"/>
        <w:rPr/>
      </w:pPr>
      <w:r>
        <w:rPr>
          <w:rFonts w:ascii="Times New Roman;sans-serif" w:hAnsi="Times New Roman;sans-serif"/>
          <w:b/>
          <w:color w:val="000000"/>
          <w:sz w:val="22"/>
        </w:rPr>
        <w:t>4.</w:t>
      </w:r>
      <w:r>
        <w:rPr>
          <w:rFonts w:ascii="Times New Roman;sans-serif" w:hAnsi="Times New Roman;sans-serif"/>
          <w:b/>
          <w:color w:val="000000"/>
          <w:sz w:val="22"/>
        </w:rPr>
        <w:t>Termination of Employment or Service.</w:t>
      </w:r>
      <w:r>
        <w:rPr>
          <w:color w:val="000000"/>
        </w:rPr>
        <w:t xml:space="preserve"> </w:t>
      </w:r>
      <w:r>
        <w:rPr>
          <w:rFonts w:ascii="Times New Roman;sans-serif" w:hAnsi="Times New Roman;sans-serif"/>
          <w:b w:val="false"/>
          <w:color w:val="000000"/>
          <w:sz w:val="22"/>
        </w:rPr>
        <w:t xml:space="preserve">If the Participant’s employment or service with the Company and its Affiliates terminates for any reason, any unearned and unvested RSUs shall be accelerated, remain eligible to be earned or cancelled in accordance with the terms of the Employment Agreement. </w:t>
      </w:r>
    </w:p>
    <w:p>
      <w:pPr>
        <w:pStyle w:val="TextBody"/>
        <w:spacing w:lineRule="auto" w:line="240" w:before="0" w:after="240"/>
        <w:rPr/>
      </w:pPr>
      <w:r>
        <w:rPr>
          <w:rFonts w:ascii="Times New Roman;sans-serif" w:hAnsi="Times New Roman;sans-serif"/>
          <w:b/>
          <w:color w:val="000000"/>
          <w:sz w:val="22"/>
        </w:rPr>
        <w:t>5.</w:t>
      </w:r>
      <w:r>
        <w:rPr>
          <w:rFonts w:ascii="Times New Roman;sans-serif" w:hAnsi="Times New Roman;sans-serif"/>
          <w:b/>
          <w:color w:val="000000"/>
          <w:sz w:val="22"/>
        </w:rPr>
        <w:t>Rights as a Stockholder.</w:t>
      </w:r>
      <w:r>
        <w:rPr>
          <w:color w:val="000000"/>
        </w:rPr>
        <w:t xml:space="preserve"> </w:t>
      </w:r>
      <w:r>
        <w:rPr>
          <w:rFonts w:ascii="Times New Roman;sans-serif" w:hAnsi="Times New Roman;sans-serif"/>
          <w:b w:val="false"/>
          <w:color w:val="000000"/>
          <w:sz w:val="22"/>
        </w:rPr>
        <w:t>The Participant shall not be deemed for any purpose to be the owner of any shares of Class A Common Stock 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pStyle w:val="TextBody"/>
        <w:spacing w:lineRule="auto" w:line="240" w:before="0" w:after="240"/>
        <w:rPr/>
      </w:pPr>
      <w:r>
        <w:rPr>
          <w:rFonts w:ascii="Times New Roman;sans-serif" w:hAnsi="Times New Roman;sans-serif"/>
          <w:b/>
          <w:color w:val="000000"/>
          <w:sz w:val="22"/>
        </w:rPr>
        <w:t>6.</w:t>
      </w:r>
      <w:r>
        <w:rPr>
          <w:rFonts w:ascii="Times New Roman;sans-serif" w:hAnsi="Times New Roman;sans-serif"/>
          <w:b/>
          <w:color w:val="000000"/>
          <w:sz w:val="22"/>
        </w:rPr>
        <w:t>Compliance with Legal Requirements.</w:t>
      </w:r>
      <w:r>
        <w:rPr>
          <w:color w:val="000000"/>
        </w:rPr>
        <w:t xml:space="preserve"> </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 </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Taxes and Withholding</w:t>
      </w:r>
      <w:r>
        <w:rPr>
          <w:rFonts w:ascii="Times New Roman;sans-serif" w:hAnsi="Times New Roman;sans-serif"/>
          <w:b w:val="false"/>
          <w:color w:val="000000"/>
          <w:sz w:val="22"/>
        </w:rPr>
        <w:t xml:space="preserve">.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 </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7.Restrictive Covenants.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Nothing in this Agreement shall supersede, modify, replace or cancel any existing contractual obligations, including but not limited to restrictive covenants, applicable to Participant in </w:t>
      </w:r>
      <w:r>
        <w:rPr>
          <w:rFonts w:ascii="Times New Roman;sans-serif" w:hAnsi="Times New Roman;sans-serif"/>
          <w:b w:val="false"/>
          <w:i/>
          <w:color w:val="000000"/>
          <w:sz w:val="22"/>
          <w:u w:val="single"/>
        </w:rPr>
        <w:t>any</w:t>
      </w:r>
      <w:r>
        <w:rPr>
          <w:color w:val="000000"/>
          <w:u w:val="single"/>
        </w:rPr>
        <w:t xml:space="preserve"> </w:t>
      </w:r>
      <w:r>
        <w:rPr>
          <w:rFonts w:ascii="Times New Roman;sans-serif" w:hAnsi="Times New Roman;sans-serif"/>
          <w:b w:val="false"/>
          <w:color w:val="000000"/>
          <w:sz w:val="22"/>
        </w:rPr>
        <w:t>employment agreement, offer letter, prior equity award agreement or any other agreement or contract with the Company or its Affiliates.</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w:t>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5" name="Frame9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one or more actions in any applicable jurisdiction to recover damages as a result of the Participant’s breach of such restrictive covenants.</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8.Miscellaneous.</w:t>
      </w:r>
    </w:p>
    <w:p>
      <w:pPr>
        <w:pStyle w:val="TextBody"/>
        <w:spacing w:lineRule="auto" w:line="240" w:before="0" w:after="240"/>
        <w:ind w:left="0" w:right="0" w:firstLine="720"/>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Transferability</w:t>
      </w:r>
      <w:r>
        <w:rPr>
          <w:rFonts w:ascii="Times New Roman;sans-serif" w:hAnsi="Times New Roman;sans-serif"/>
          <w:b w:val="false"/>
          <w:color w:val="000000"/>
          <w:sz w:val="22"/>
        </w:rPr>
        <w:t>. The RSUs may not be assigned, alienated, pledged, attached, sold or otherwise transferred or encumbered (a “</w:t>
      </w:r>
      <w:r>
        <w:rPr>
          <w:rFonts w:ascii="Times New Roman;sans-serif" w:hAnsi="Times New Roman;sans-serif"/>
          <w:b w:val="false"/>
          <w:color w:val="000000"/>
          <w:sz w:val="22"/>
          <w:u w:val="single"/>
        </w:rPr>
        <w:t>Transfer</w:t>
      </w:r>
      <w:r>
        <w:rPr>
          <w:color w:val="000000"/>
        </w:rPr>
        <w:t>”</w:t>
      </w:r>
      <w:r>
        <w:rPr>
          <w:rFonts w:ascii="Times New Roman;sans-serif" w:hAnsi="Times New Roman;sans-serif"/>
          <w:b w:val="false"/>
          <w:color w:val="000000"/>
          <w:sz w:val="22"/>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pStyle w:val="TextBody"/>
        <w:spacing w:lineRule="auto" w:line="240" w:before="0" w:after="240"/>
        <w:ind w:left="0" w:right="0" w:firstLine="720"/>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 </w:t>
      </w:r>
    </w:p>
    <w:p>
      <w:pPr>
        <w:pStyle w:val="TextBody"/>
        <w:spacing w:lineRule="auto" w:line="240" w:before="0" w:after="240"/>
        <w:ind w:left="0" w:right="0" w:firstLine="720"/>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8(c) does not create an obligation on the part of the Company to modify the Plan or this Agreement and does not guarantee that the RSUs will not be subject to interest and penalties under Section 409A.</w:t>
      </w:r>
    </w:p>
    <w:p>
      <w:pPr>
        <w:pStyle w:val="TextBody"/>
        <w:spacing w:lineRule="auto" w:line="240" w:before="0" w:after="240"/>
        <w:ind w:left="0" w:right="0" w:firstLine="720"/>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General Assets</w:t>
      </w:r>
      <w:r>
        <w:rPr>
          <w:rFonts w:ascii="Times New Roman;sans-serif" w:hAnsi="Times New Roman;sans-serif"/>
          <w:b w:val="false"/>
          <w:color w:val="000000"/>
          <w:sz w:val="22"/>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pStyle w:val="TextBody"/>
        <w:spacing w:lineRule="auto" w:line="240" w:before="0" w:after="240"/>
        <w:ind w:left="0" w:right="0" w:firstLine="720"/>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pStyle w:val="TextBody"/>
        <w:spacing w:lineRule="auto" w:line="240" w:before="0" w:after="240"/>
        <w:ind w:left="0" w:right="0" w:firstLine="720"/>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invalidity or unenforceability of any provision of this Agreement shall not affect the validity or enforceability of any other provision of this Agreement, and each other provision of this Agreement shall be severable and enforceable to the extent permitted by law. </w:t>
      </w:r>
    </w:p>
    <w:p>
      <w:pPr>
        <w:pStyle w:val="TextBody"/>
        <w:spacing w:lineRule="auto" w:line="240" w:before="0" w:after="240"/>
        <w:ind w:left="0" w:right="0" w:firstLine="720"/>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No Rights to Employment or Service</w:t>
      </w:r>
      <w:r>
        <w:rPr>
          <w:rFonts w:ascii="Times New Roman;sans-serif" w:hAnsi="Times New Roman;sans-serif"/>
          <w:b w:val="false"/>
          <w:color w:val="000000"/>
          <w:sz w:val="22"/>
        </w:rPr>
        <w:t xml:space="preserve">.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w:t>
      </w:r>
    </w:p>
    <w:p>
      <w:pPr>
        <w:pStyle w:val="TextBody"/>
        <w:spacing w:lineRule="auto" w:line="240" w:before="0" w:after="240"/>
        <w:ind w:left="0" w:right="0" w:firstLine="720"/>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Fractional Shares</w:t>
      </w:r>
      <w:r>
        <w:rPr>
          <w:rFonts w:ascii="Times New Roman;sans-serif" w:hAnsi="Times New Roman;sans-serif"/>
          <w:b w:val="false"/>
          <w:color w:val="000000"/>
          <w:sz w:val="22"/>
        </w:rPr>
        <w:t xml:space="preserve">.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 </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Beneficiary</w:t>
      </w:r>
      <w:r>
        <w:rPr>
          <w:rFonts w:ascii="Times New Roman;sans-serif" w:hAnsi="Times New Roman;sans-serif"/>
          <w:b w:val="false"/>
          <w:color w:val="000000"/>
          <w:sz w:val="22"/>
        </w:rPr>
        <w:t xml:space="preserve">. The Participant may file with the Committee a written designation of a beneficiary on such form as may be prescribed by the Committee and may, from time to time, amend or revoke such designation. </w:t>
      </w:r>
    </w:p>
    <w:p>
      <w:pPr>
        <w:pStyle w:val="TextBody"/>
        <w:spacing w:lineRule="auto" w:line="240" w:before="0" w:after="240"/>
        <w:ind w:left="0" w:right="0" w:firstLine="720"/>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Successors</w:t>
      </w:r>
      <w:r>
        <w:rPr>
          <w:rFonts w:ascii="Times New Roman;sans-serif" w:hAnsi="Times New Roman;sans-serif"/>
          <w:b w:val="false"/>
          <w:color w:val="000000"/>
          <w:sz w:val="22"/>
        </w:rPr>
        <w:t xml:space="preserve">. The terms of this Agreement shall be binding upon and inure to the benefit of the Company and its successors and assigns, and of the Participant and the beneficiaries, executors, administrators, heirs and successors of the Participant. </w:t>
      </w:r>
    </w:p>
    <w:p>
      <w:pPr>
        <w:pStyle w:val="TextBody"/>
        <w:spacing w:lineRule="auto" w:line="240" w:before="0" w:after="240"/>
        <w:ind w:left="0" w:right="0" w:firstLine="720"/>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w:t>
      </w:r>
    </w:p>
    <w:p>
      <w:pPr>
        <w:pStyle w:val="TextBody"/>
        <w:spacing w:lineRule="auto" w:line="240" w:before="0" w:after="240"/>
        <w:ind w:left="0" w:right="0" w:firstLine="720"/>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Governing Law and Venue</w:t>
      </w:r>
      <w:r>
        <w:rPr>
          <w:rFonts w:ascii="Times New Roman;sans-serif" w:hAnsi="Times New Roman;sans-serif"/>
          <w:b w:val="false"/>
          <w:color w:val="000000"/>
          <w:sz w:val="22"/>
        </w:rPr>
        <w:t xml:space="preserve">.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 </w:t>
      </w:r>
    </w:p>
    <w:p>
      <w:pPr>
        <w:pStyle w:val="TextBody"/>
        <w:spacing w:lineRule="auto" w:line="240" w:before="0" w:after="240"/>
        <w:ind w:left="0" w:right="0" w:firstLine="720"/>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Dispute Resolution; Consent to Jurisdiction</w:t>
      </w:r>
      <w:r>
        <w:rPr>
          <w:rFonts w:ascii="Times New Roman;sans-serif" w:hAnsi="Times New Roman;sans-serif"/>
          <w:b w:val="false"/>
          <w:color w:val="000000"/>
          <w:sz w:val="22"/>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pStyle w:val="TextBody"/>
        <w:spacing w:lineRule="auto" w:line="240" w:before="0" w:after="240"/>
        <w:ind w:left="0" w:right="0" w:firstLine="720"/>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Waiver of Jury Trial</w:t>
      </w:r>
      <w:r>
        <w:rPr>
          <w:rFonts w:ascii="Times New Roman;sans-serif" w:hAnsi="Times New Roman;sans-serif"/>
          <w:b w:val="false"/>
          <w:color w:val="000000"/>
          <w:sz w:val="22"/>
        </w:rPr>
        <w:t xml:space="preserve">.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spacing w:lineRule="auto" w:line="240" w:before="0" w:after="240"/>
        <w:ind w:left="0" w:right="0" w:firstLine="720"/>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Headings; Gender</w:t>
      </w:r>
      <w:r>
        <w:rPr>
          <w:rFonts w:ascii="Times New Roman;sans-serif" w:hAnsi="Times New Roman;sans-serif"/>
          <w:b w:val="false"/>
          <w:color w:val="000000"/>
          <w:sz w:val="22"/>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pStyle w:val="TextBody"/>
        <w:spacing w:lineRule="auto" w:line="240" w:before="0" w:after="240"/>
        <w:ind w:left="0" w:right="0" w:firstLine="720"/>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pStyle w:val="TextBody"/>
        <w:spacing w:lineRule="auto" w:line="240" w:before="0" w:after="240"/>
        <w:ind w:left="0" w:right="0" w:firstLine="720"/>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Electronic Signature and Delivery</w:t>
      </w:r>
      <w:r>
        <w:rPr>
          <w:rFonts w:ascii="Times New Roman;sans-serif" w:hAnsi="Times New Roman;sans-serif"/>
          <w:b w:val="false"/>
          <w:color w:val="000000"/>
          <w:sz w:val="22"/>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upon three business days’ notice to the Company, in which case subsequent prospectuses, annual reports and other information will be delivered in hard copy to the Participant).</w:t>
      </w:r>
    </w:p>
    <w:p>
      <w:pPr>
        <w:pStyle w:val="TextBody"/>
        <w:spacing w:lineRule="auto" w:line="240" w:before="0" w:after="240"/>
        <w:ind w:left="0" w:right="0" w:firstLine="720"/>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Electronic Participation in Plan</w:t>
      </w:r>
      <w:r>
        <w:rPr>
          <w:rFonts w:ascii="Times New Roman;sans-serif" w:hAnsi="Times New Roman;sans-serif"/>
          <w:b w:val="false"/>
          <w:color w:val="000000"/>
          <w:sz w:val="22"/>
        </w:rPr>
        <w:t>. The Company</w:t>
      </w:r>
      <w:r>
        <w:rPr>
          <w:color w:val="000000"/>
        </w:rPr>
        <w:t xml:space="preserve"> </w:t>
      </w:r>
      <w:r>
        <w:rPr>
          <w:rFonts w:ascii="Times New Roman;sans-serif" w:hAnsi="Times New Roman;sans-serif"/>
          <w:b w:val="false"/>
          <w:color w:val="000000"/>
          <w:sz w:val="22"/>
        </w:rPr>
        <w:t>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w:t>
      </w:r>
      <w:r>
        <w:rPr>
          <w:color w:val="000000"/>
        </w:rPr>
        <w:t xml:space="preserve"> </w:t>
      </w:r>
      <w:r>
        <w:rPr>
          <w:rFonts w:ascii="Times New Roman;sans-serif" w:hAnsi="Times New Roman;sans-serif"/>
          <w:b w:val="false"/>
          <w:color w:val="000000"/>
          <w:sz w:val="22"/>
        </w:rPr>
        <w:t>or a third party designated by the Company.</w:t>
      </w:r>
    </w:p>
    <w:p>
      <w:pPr>
        <w:pStyle w:val="TextBody"/>
        <w:spacing w:before="0" w:after="240"/>
        <w:jc w:val="center"/>
        <w:rPr/>
      </w:pPr>
      <w:r>
        <w:rPr/>
      </w:r>
    </w:p>
    <w:p>
      <w:pPr>
        <w:pStyle w:val="TextBody"/>
        <w:spacing w:before="0" w:after="240"/>
        <w:jc w:val="center"/>
        <w:rPr/>
      </w:pPr>
      <w:r>
        <w:rPr/>
      </w:r>
    </w:p>
    <w:p>
      <w:pPr>
        <w:pStyle w:val="TextBody"/>
        <w:spacing w:lineRule="auto" w:line="240" w:before="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remainder of page intentionally left blank</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FF0000"/>
          <w:sz w:val="22"/>
        </w:rPr>
      </w:pPr>
      <w:r>
        <w:rPr>
          <w:rFonts w:ascii="Times New Roman;sans-serif" w:hAnsi="Times New Roman;sans-serif"/>
          <w:b/>
          <w:color w:val="FF0000"/>
          <w:sz w:val="22"/>
        </w:rPr>
        <w:t>E</w:t>
      </w:r>
      <w:r>
        <w:rPr>
          <w:rFonts w:ascii="Times New Roman;sans-serif" w:hAnsi="Times New Roman;sans-serif"/>
          <w:b/>
          <w:color w:val="FF0000"/>
          <w:sz w:val="22"/>
        </w:rPr>
        <w:t>XECUTION COPY</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81.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0"/>
        <w:ind w:left="0" w:right="0" w:firstLine="979"/>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this Agreement has been executed by the Company and the Participant as of the day first written above. </w:t>
      </w:r>
    </w:p>
    <w:p>
      <w:pPr>
        <w:pStyle w:val="TextBody"/>
        <w:spacing w:before="0" w:after="0"/>
        <w:ind w:left="0" w:right="0" w:firstLine="979"/>
        <w:rPr/>
      </w:pPr>
      <w:r>
        <w:rPr/>
      </w:r>
    </w:p>
    <w:p>
      <w:pPr>
        <w:pStyle w:val="TextBody"/>
        <w:spacing w:lineRule="auto" w:line="240" w:before="0" w:after="480"/>
        <w:rPr>
          <w:rFonts w:ascii="Times New Roman;sans-serif" w:hAnsi="Times New Roman;sans-serif"/>
          <w:b w:val="false"/>
          <w:color w:val="000000"/>
          <w:sz w:val="22"/>
        </w:rPr>
      </w:pPr>
      <w:r>
        <w:rPr>
          <w:rFonts w:ascii="Times New Roman;sans-serif" w:hAnsi="Times New Roman;sans-serif"/>
          <w:b w:val="false"/>
          <w:color w:val="000000"/>
          <w:sz w:val="22"/>
        </w:rPr>
        <w:t>VIRTU FINANCIAL, INC.</w:t>
      </w:r>
    </w:p>
    <w:p>
      <w:pPr>
        <w:pStyle w:val="TextBody"/>
        <w:spacing w:lineRule="auto" w:line="240"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Douglas A. Cifu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Name: Douglas A. Cifu</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 Brett Fairclough    </w:t>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Brett Fairclough</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CEO CERTIFICATION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Douglas A. Cifu,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March 31, 2023 of Virtu Financial, Inc. (the “registrant”) as filed with the Securities and Exchange Commission on the date hereof;</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7" w:type="dxa"/>
        <w:jc w:val="left"/>
        <w:tblInd w:w="0" w:type="dxa"/>
        <w:tblCellMar>
          <w:top w:w="28" w:type="dxa"/>
          <w:left w:w="28" w:type="dxa"/>
          <w:bottom w:w="28" w:type="dxa"/>
          <w:right w:w="28" w:type="dxa"/>
        </w:tblCellMar>
      </w:tblPr>
      <w:tblGrid>
        <w:gridCol w:w="645"/>
        <w:gridCol w:w="568"/>
        <w:gridCol w:w="571"/>
        <w:gridCol w:w="134"/>
        <w:gridCol w:w="134"/>
        <w:gridCol w:w="136"/>
        <w:gridCol w:w="603"/>
        <w:gridCol w:w="603"/>
        <w:gridCol w:w="86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CFO CERTIFICATION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Sean Galvin,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March 31, 2023 of Virtu Financial, Inc. (the “registrant”) as filed with the Securities and Exchange Commission on the date hereof;</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ind w:left="0" w:right="0" w:firstLine="1620"/>
        <w:rPr>
          <w:color w:val="000000"/>
        </w:rPr>
      </w:pPr>
      <w:r>
        <w:rPr>
          <w:color w:val="000000"/>
        </w:rPr>
        <w:t> </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98" w:type="dxa"/>
        <w:jc w:val="left"/>
        <w:tblInd w:w="0" w:type="dxa"/>
        <w:tblCellMar>
          <w:top w:w="28" w:type="dxa"/>
          <w:left w:w="28" w:type="dxa"/>
          <w:bottom w:w="28" w:type="dxa"/>
          <w:right w:w="28" w:type="dxa"/>
        </w:tblCellMar>
      </w:tblPr>
      <w:tblGrid>
        <w:gridCol w:w="645"/>
        <w:gridCol w:w="568"/>
        <w:gridCol w:w="571"/>
        <w:gridCol w:w="134"/>
        <w:gridCol w:w="134"/>
        <w:gridCol w:w="136"/>
        <w:gridCol w:w="586"/>
        <w:gridCol w:w="586"/>
        <w:gridCol w:w="838"/>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March 31, 2023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pStyle w:val="TextBody"/>
        <w:spacing w:before="0" w:after="0"/>
        <w:ind w:left="0" w:right="0" w:firstLine="126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0"/>
        <w:ind w:left="0" w:right="0" w:firstLine="1260"/>
        <w:jc w:val="center"/>
        <w:rPr>
          <w:color w:val="000000"/>
        </w:rPr>
      </w:pPr>
      <w:r>
        <w:rPr>
          <w:color w:val="000000"/>
        </w:rPr>
        <w:t> </w:t>
      </w:r>
    </w:p>
    <w:tbl>
      <w:tblPr>
        <w:tblW w:w="2411" w:type="dxa"/>
        <w:jc w:val="left"/>
        <w:tblInd w:w="0" w:type="dxa"/>
        <w:tblCellMar>
          <w:top w:w="28" w:type="dxa"/>
          <w:left w:w="28" w:type="dxa"/>
          <w:bottom w:w="28" w:type="dxa"/>
          <w:right w:w="28" w:type="dxa"/>
        </w:tblCellMar>
      </w:tblPr>
      <w:tblGrid>
        <w:gridCol w:w="124"/>
        <w:gridCol w:w="109"/>
        <w:gridCol w:w="109"/>
        <w:gridCol w:w="603"/>
        <w:gridCol w:w="603"/>
        <w:gridCol w:w="8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March 31, 2023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352" w:type="dxa"/>
        <w:jc w:val="left"/>
        <w:tblInd w:w="0" w:type="dxa"/>
        <w:tblCellMar>
          <w:top w:w="28" w:type="dxa"/>
          <w:left w:w="28" w:type="dxa"/>
          <w:bottom w:w="28" w:type="dxa"/>
          <w:right w:w="28" w:type="dxa"/>
        </w:tblCellMar>
      </w:tblPr>
      <w:tblGrid>
        <w:gridCol w:w="124"/>
        <w:gridCol w:w="109"/>
        <w:gridCol w:w="109"/>
        <w:gridCol w:w="586"/>
        <w:gridCol w:w="586"/>
        <w:gridCol w:w="8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P. Galvin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Galvin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50185</Words>
  <CharactersWithSpaces>326610</CharactersWithSpaces>
  <Paragraphs>5310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