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jc w:val="center"/>
        <w:ind w:left="3980" w:right="1000" w:hanging="2966"/>
        <w:spacing w:after="0" w:line="281" w:lineRule="auto"/>
        <w:tabs>
          <w:tab w:leader="none" w:pos="12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June 30, 2019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1220" w:hanging="213"/>
        <w:spacing w:after="0"/>
        <w:tabs>
          <w:tab w:leader="none" w:pos="1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45" w:lineRule="exact"/>
        <w:rPr>
          <w:sz w:val="24"/>
          <w:szCs w:val="24"/>
          <w:color w:val="auto"/>
        </w:rPr>
      </w:pPr>
    </w:p>
    <w:p>
      <w:pPr>
        <w:ind w:left="42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3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number: 001-37352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Virtu Financial,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1420"/>
          </w:cols>
          <w:pgMar w:left="240" w:top="543" w:right="239" w:bottom="1440" w:gutter="0" w:footer="0" w:header="0"/>
        </w:sectPr>
      </w:pPr>
    </w:p>
    <w:p>
      <w:pPr>
        <w:spacing w:after="0" w:line="14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32-0420206</w:t>
      </w:r>
    </w:p>
    <w:p>
      <w:pPr>
        <w:spacing w:after="0" w:line="74" w:lineRule="exact"/>
        <w:rPr>
          <w:sz w:val="24"/>
          <w:szCs w:val="24"/>
          <w:color w:val="auto"/>
        </w:rPr>
      </w:pPr>
    </w:p>
    <w:p>
      <w:pPr>
        <w:sectPr>
          <w:pgSz w:w="11900" w:h="16838" w:orient="portrait"/>
          <w:cols w:equalWidth="0" w:num="2">
            <w:col w:w="7420" w:space="720"/>
            <w:col w:w="3280"/>
          </w:cols>
          <w:pgMar w:left="240" w:top="543"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75" w:lineRule="exact"/>
        <w:rPr>
          <w:sz w:val="24"/>
          <w:szCs w:val="24"/>
          <w:color w:val="auto"/>
        </w:rPr>
      </w:pPr>
    </w:p>
    <w:p>
      <w:pPr>
        <w:sectPr>
          <w:pgSz w:w="11900" w:h="16838" w:orient="portrait"/>
          <w:cols w:equalWidth="0" w:num="2">
            <w:col w:w="6800" w:space="720"/>
            <w:col w:w="3900"/>
          </w:cols>
          <w:pgMar w:left="240" w:top="543" w:right="239" w:bottom="1440" w:gutter="0" w:footer="0" w:header="0"/>
          <w:type w:val="continuous"/>
        </w:sectPr>
      </w:pPr>
    </w:p>
    <w:p>
      <w:pPr>
        <w:jc w:val="center"/>
        <w:ind w:right="4760"/>
        <w:spacing w:after="0"/>
        <w:rPr>
          <w:sz w:val="20"/>
          <w:szCs w:val="20"/>
          <w:color w:val="auto"/>
        </w:rPr>
      </w:pPr>
      <w:r>
        <w:rPr>
          <w:rFonts w:ascii="Times New Roman" w:cs="Times New Roman" w:eastAsia="Times New Roman" w:hAnsi="Times New Roman"/>
          <w:sz w:val="14"/>
          <w:szCs w:val="14"/>
          <w:b w:val="1"/>
          <w:bCs w:val="1"/>
          <w:color w:val="auto"/>
        </w:rPr>
        <w:t>One Liberty Plaza</w:t>
      </w:r>
    </w:p>
    <w:p>
      <w:pPr>
        <w:spacing w:after="0" w:line="6" w:lineRule="exact"/>
        <w:rPr>
          <w:sz w:val="24"/>
          <w:szCs w:val="24"/>
          <w:color w:val="auto"/>
        </w:rPr>
      </w:pPr>
    </w:p>
    <w:p>
      <w:pPr>
        <w:jc w:val="center"/>
        <w:ind w:right="4760"/>
        <w:spacing w:after="0"/>
        <w:rPr>
          <w:sz w:val="20"/>
          <w:szCs w:val="20"/>
          <w:color w:val="auto"/>
        </w:rPr>
      </w:pPr>
      <w:r>
        <w:rPr>
          <w:rFonts w:ascii="Times New Roman" w:cs="Times New Roman" w:eastAsia="Times New Roman" w:hAnsi="Times New Roman"/>
          <w:sz w:val="14"/>
          <w:szCs w:val="14"/>
          <w:b w:val="1"/>
          <w:bCs w:val="1"/>
          <w:color w:val="auto"/>
        </w:rPr>
        <w:t>165 Broadway</w:t>
      </w:r>
    </w:p>
    <w:p>
      <w:pPr>
        <w:sectPr>
          <w:pgSz w:w="11900" w:h="16838" w:orient="portrait"/>
          <w:cols w:equalWidth="0" w:num="1">
            <w:col w:w="11420"/>
          </w:cols>
          <w:pgMar w:left="240" w:top="543" w:right="239" w:bottom="1440" w:gutter="0" w:footer="0" w:header="0"/>
          <w:type w:val="continuous"/>
        </w:sectPr>
      </w:pPr>
    </w:p>
    <w:p>
      <w:pPr>
        <w:spacing w:after="0" w:line="24"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10006</w:t>
      </w:r>
    </w:p>
    <w:p>
      <w:pPr>
        <w:spacing w:after="0" w:line="44" w:lineRule="exact"/>
        <w:rPr>
          <w:sz w:val="24"/>
          <w:szCs w:val="24"/>
          <w:color w:val="auto"/>
        </w:rPr>
      </w:pPr>
    </w:p>
    <w:p>
      <w:pPr>
        <w:sectPr>
          <w:pgSz w:w="11900" w:h="16838" w:orient="portrait"/>
          <w:cols w:equalWidth="0" w:num="2">
            <w:col w:w="7200" w:space="720"/>
            <w:col w:w="3500"/>
          </w:cols>
          <w:pgMar w:left="240" w:top="543" w:right="239" w:bottom="1440" w:gutter="0" w:footer="0" w:header="0"/>
          <w:type w:val="continuous"/>
        </w:sectPr>
      </w:pPr>
    </w:p>
    <w:p>
      <w:pPr>
        <w:ind w:left="21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000"/>
        <w:spacing w:after="0"/>
        <w:rPr>
          <w:sz w:val="20"/>
          <w:szCs w:val="20"/>
          <w:color w:val="auto"/>
        </w:rPr>
      </w:pPr>
      <w:r>
        <w:rPr>
          <w:rFonts w:ascii="Times New Roman" w:cs="Times New Roman" w:eastAsia="Times New Roman" w:hAnsi="Times New Roman"/>
          <w:sz w:val="14"/>
          <w:szCs w:val="14"/>
          <w:color w:val="auto"/>
        </w:rPr>
        <w:t>(Zip Code)</w:t>
      </w:r>
    </w:p>
    <w:p>
      <w:pPr>
        <w:spacing w:after="0" w:line="130" w:lineRule="exact"/>
        <w:rPr>
          <w:sz w:val="24"/>
          <w:szCs w:val="24"/>
          <w:color w:val="auto"/>
        </w:rPr>
      </w:pPr>
    </w:p>
    <w:p>
      <w:pPr>
        <w:sectPr>
          <w:pgSz w:w="11900" w:h="16838" w:orient="portrait"/>
          <w:cols w:equalWidth="0" w:num="2">
            <w:col w:w="7060" w:space="720"/>
            <w:col w:w="3640"/>
          </w:cols>
          <w:pgMar w:left="240" w:top="543"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418-0100</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3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w:t>
      </w:r>
    </w:p>
    <w:p>
      <w:pPr>
        <w:spacing w:after="0" w:line="32" w:lineRule="exact"/>
        <w:rPr>
          <w:sz w:val="24"/>
          <w:szCs w:val="24"/>
          <w:color w:val="auto"/>
        </w:rPr>
      </w:pPr>
    </w:p>
    <w:p>
      <w:pPr>
        <w:ind w:right="180"/>
        <w:spacing w:after="0" w:line="226"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60" w:firstLine="324"/>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10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p>
      <w:pPr>
        <w:ind w:left="1780"/>
        <w:spacing w:after="0" w:line="288" w:lineRule="exact"/>
        <w:tabs>
          <w:tab w:leader="none" w:pos="4060" w:val="left"/>
          <w:tab w:leader="none" w:pos="5880" w:val="left"/>
          <w:tab w:leader="none" w:pos="79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25"/>
          <w:szCs w:val="25"/>
          <w:color w:val="auto"/>
          <w:vertAlign w:val="superscript"/>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3" w:lineRule="exact"/>
        <w:rPr>
          <w:sz w:val="24"/>
          <w:szCs w:val="24"/>
          <w:color w:val="auto"/>
        </w:rPr>
      </w:pPr>
    </w:p>
    <w:p>
      <w:pPr>
        <w:ind w:left="79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ind w:right="44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120" w:type="dxa"/>
            <w:vAlign w:val="bottom"/>
          </w:tcPr>
          <w:p>
            <w:pPr>
              <w:spacing w:after="0"/>
              <w:rPr>
                <w:sz w:val="16"/>
                <w:szCs w:val="16"/>
                <w:color w:val="auto"/>
              </w:rPr>
            </w:pPr>
          </w:p>
        </w:tc>
        <w:tc>
          <w:tcPr>
            <w:tcW w:w="39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6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w w:val="96"/>
              </w:rPr>
              <w:t>VIRT</w:t>
            </w:r>
          </w:p>
        </w:tc>
        <w:tc>
          <w:tcPr>
            <w:tcW w:w="33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4240" w:type="dxa"/>
            <w:vAlign w:val="bottom"/>
            <w:gridSpan w:val="3"/>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outstanding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4240" w:type="dxa"/>
            <w:vAlign w:val="bottom"/>
            <w:tcBorders>
              <w:bottom w:val="single" w:sz="8" w:color="auto"/>
            </w:tcBorders>
            <w:gridSpan w:val="3"/>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9, 2019</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3"/>
            <w:shd w:val="clear" w:color="auto" w:fill="CCEEFF"/>
          </w:tcPr>
          <w:p>
            <w:pPr>
              <w:jc w:val="center"/>
              <w:ind w:left="1601"/>
              <w:spacing w:after="0"/>
              <w:rPr>
                <w:sz w:val="20"/>
                <w:szCs w:val="20"/>
                <w:color w:val="auto"/>
              </w:rPr>
            </w:pPr>
            <w:r>
              <w:rPr>
                <w:rFonts w:ascii="Times New Roman" w:cs="Times New Roman" w:eastAsia="Times New Roman" w:hAnsi="Times New Roman"/>
                <w:sz w:val="16"/>
                <w:szCs w:val="16"/>
                <w:color w:val="auto"/>
                <w:w w:val="99"/>
              </w:rPr>
              <w:t>117,380,768</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4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left="1601"/>
              <w:spacing w:after="0"/>
              <w:rPr>
                <w:sz w:val="20"/>
                <w:szCs w:val="20"/>
                <w:color w:val="auto"/>
              </w:rPr>
            </w:pPr>
            <w:r>
              <w:rPr>
                <w:rFonts w:ascii="Times New Roman" w:cs="Times New Roman" w:eastAsia="Times New Roman" w:hAnsi="Times New Roman"/>
                <w:sz w:val="16"/>
                <w:szCs w:val="16"/>
                <w:color w:val="auto"/>
                <w:w w:val="99"/>
              </w:rPr>
              <w:t>13,138,402</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4240" w:type="dxa"/>
            <w:vAlign w:val="bottom"/>
            <w:gridSpan w:val="3"/>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3"/>
            <w:shd w:val="clear" w:color="auto" w:fill="CCEEFF"/>
          </w:tcPr>
          <w:p>
            <w:pPr>
              <w:jc w:val="center"/>
              <w:ind w:left="1601"/>
              <w:spacing w:after="0"/>
              <w:rPr>
                <w:sz w:val="20"/>
                <w:szCs w:val="20"/>
                <w:color w:val="auto"/>
              </w:rPr>
            </w:pPr>
            <w:r>
              <w:rPr>
                <w:rFonts w:ascii="Times New Roman" w:cs="Times New Roman" w:eastAsia="Times New Roman" w:hAnsi="Times New Roman"/>
                <w:sz w:val="16"/>
                <w:szCs w:val="16"/>
                <w:color w:val="auto"/>
                <w:w w:val="99"/>
              </w:rPr>
              <w:t>60,091,740</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1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43"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JUNE 30, 2019</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7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PART I -</w:t>
            </w:r>
          </w:p>
        </w:tc>
        <w:tc>
          <w:tcPr>
            <w:tcW w:w="800" w:type="dxa"/>
            <w:vAlign w:val="bottom"/>
            <w:gridSpan w:val="2"/>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1140" w:type="dxa"/>
            <w:vAlign w:val="bottom"/>
          </w:tcPr>
          <w:p>
            <w:pPr>
              <w:spacing w:after="0"/>
              <w:rPr>
                <w:sz w:val="24"/>
                <w:szCs w:val="24"/>
                <w:color w:val="auto"/>
              </w:rPr>
            </w:pPr>
          </w:p>
        </w:tc>
      </w:tr>
      <w:tr>
        <w:trPr>
          <w:trHeight w:val="520"/>
        </w:trPr>
        <w:tc>
          <w:tcPr>
            <w:tcW w:w="5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120" w:type="dxa"/>
            <w:vAlign w:val="bottom"/>
            <w:tcBorders>
              <w:top w:val="single" w:sz="8" w:color="0000EE"/>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740" w:type="dxa"/>
            <w:vAlign w:val="bottom"/>
            <w:tcBorders>
              <w:top w:val="single" w:sz="8" w:color="0000EE"/>
            </w:tcBorders>
            <w:gridSpan w:val="3"/>
          </w:tcPr>
          <w:p>
            <w:pPr>
              <w:spacing w:after="0"/>
              <w:rPr>
                <w:sz w:val="24"/>
                <w:szCs w:val="24"/>
                <w:color w:val="auto"/>
              </w:rPr>
            </w:pPr>
          </w:p>
        </w:tc>
        <w:tc>
          <w:tcPr>
            <w:tcW w:w="6480" w:type="dxa"/>
            <w:vAlign w:val="bottom"/>
            <w:gridSpan w:val="10"/>
          </w:tcPr>
          <w:p>
            <w:pPr>
              <w:spacing w:after="0"/>
              <w:rPr>
                <w:sz w:val="24"/>
                <w:szCs w:val="24"/>
                <w:color w:val="auto"/>
              </w:rPr>
            </w:pPr>
          </w:p>
        </w:tc>
        <w:tc>
          <w:tcPr>
            <w:tcW w:w="1140" w:type="dxa"/>
            <w:vAlign w:val="bottom"/>
          </w:tcPr>
          <w:p>
            <w:pPr>
              <w:spacing w:after="0"/>
              <w:rPr>
                <w:sz w:val="24"/>
                <w:szCs w:val="24"/>
                <w:color w:val="auto"/>
              </w:rPr>
            </w:pPr>
          </w:p>
        </w:tc>
      </w:tr>
      <w:tr>
        <w:trPr>
          <w:trHeight w:val="52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Financial Condition (Unaudited)</w:t>
              </w:r>
            </w:hyperlink>
          </w:p>
        </w:tc>
        <w:tc>
          <w:tcPr>
            <w:tcW w:w="3500" w:type="dxa"/>
            <w:vAlign w:val="bottom"/>
            <w:gridSpan w:val="3"/>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(Loss) (Unaudited)</w:t>
              </w:r>
            </w:hyperlink>
          </w:p>
        </w:tc>
        <w:tc>
          <w:tcPr>
            <w:tcW w:w="2720" w:type="dxa"/>
            <w:vAlign w:val="bottom"/>
            <w:gridSpan w:val="2"/>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Changes in Equity (Unaudited)</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1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Cash Flows (Unaudited)</w:t>
              </w:r>
            </w:hyperlink>
          </w:p>
        </w:tc>
        <w:tc>
          <w:tcPr>
            <w:tcW w:w="3620" w:type="dxa"/>
            <w:vAlign w:val="bottom"/>
            <w:gridSpan w:val="4"/>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Notes to Condensed Consolidated Financial Statements (Unaudited)</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10</w:t>
              </w:r>
            </w:hyperlink>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0"/>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Item 2.</w:t>
              </w:r>
            </w:hyperlink>
          </w:p>
        </w:tc>
        <w:tc>
          <w:tcPr>
            <w:tcW w:w="920" w:type="dxa"/>
            <w:vAlign w:val="bottom"/>
            <w:gridSpan w:val="3"/>
          </w:tcPr>
          <w:p>
            <w:pPr>
              <w:spacing w:after="0"/>
              <w:rPr>
                <w:sz w:val="24"/>
                <w:szCs w:val="24"/>
                <w:color w:val="auto"/>
              </w:rPr>
            </w:pP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260" w:type="dxa"/>
            <w:vAlign w:val="bottom"/>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55</w:t>
              </w:r>
            </w:hyperlink>
          </w:p>
        </w:tc>
      </w:tr>
      <w:tr>
        <w:trPr>
          <w:trHeight w:val="520"/>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Item 3.</w:t>
              </w:r>
            </w:hyperlink>
          </w:p>
        </w:tc>
        <w:tc>
          <w:tcPr>
            <w:tcW w:w="920" w:type="dxa"/>
            <w:vAlign w:val="bottom"/>
            <w:gridSpan w:val="3"/>
          </w:tcPr>
          <w:p>
            <w:pPr>
              <w:spacing w:after="0"/>
              <w:rPr>
                <w:sz w:val="24"/>
                <w:szCs w:val="24"/>
                <w:color w:val="auto"/>
              </w:rPr>
            </w:pP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Quantitative and Qualitative Disclosures About Market Risk</w:t>
              </w:r>
            </w:hyperlink>
          </w:p>
        </w:tc>
        <w:tc>
          <w:tcPr>
            <w:tcW w:w="4360" w:type="dxa"/>
            <w:vAlign w:val="bottom"/>
            <w:gridSpan w:val="7"/>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86</w:t>
              </w:r>
            </w:hyperlink>
          </w:p>
        </w:tc>
      </w:tr>
      <w:tr>
        <w:trPr>
          <w:trHeight w:val="520"/>
        </w:trPr>
        <w:tc>
          <w:tcPr>
            <w:tcW w:w="560" w:type="dxa"/>
            <w:vAlign w:val="bottom"/>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 4.</w:t>
              </w:r>
            </w:hyperlink>
          </w:p>
        </w:tc>
        <w:tc>
          <w:tcPr>
            <w:tcW w:w="920" w:type="dxa"/>
            <w:vAlign w:val="bottom"/>
            <w:gridSpan w:val="3"/>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Controls and Procedures</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0"/>
        </w:trPr>
        <w:tc>
          <w:tcPr>
            <w:tcW w:w="7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91">
              <w:r>
                <w:rPr>
                  <w:rFonts w:ascii="Times New Roman" w:cs="Times New Roman" w:eastAsia="Times New Roman" w:hAnsi="Times New Roman"/>
                  <w:sz w:val="18"/>
                  <w:szCs w:val="18"/>
                  <w:color w:val="0000EE"/>
                  <w:w w:val="98"/>
                </w:rPr>
                <w:t>PART II -</w:t>
              </w:r>
            </w:hyperlink>
          </w:p>
        </w:tc>
        <w:tc>
          <w:tcPr>
            <w:tcW w:w="740" w:type="dxa"/>
            <w:vAlign w:val="bottom"/>
          </w:tcPr>
          <w:p>
            <w:pPr>
              <w:spacing w:after="0"/>
              <w:rPr>
                <w:sz w:val="24"/>
                <w:szCs w:val="24"/>
                <w:color w:val="auto"/>
              </w:rPr>
            </w:pPr>
          </w:p>
        </w:tc>
        <w:tc>
          <w:tcPr>
            <w:tcW w:w="1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OTHER INFORMATION</w:t>
              </w:r>
            </w:hyperlink>
          </w:p>
        </w:tc>
        <w:tc>
          <w:tcPr>
            <w:tcW w:w="6840" w:type="dxa"/>
            <w:vAlign w:val="bottom"/>
            <w:gridSpan w:val="11"/>
          </w:tcPr>
          <w:p>
            <w:pPr>
              <w:spacing w:after="0"/>
              <w:rPr>
                <w:sz w:val="24"/>
                <w:szCs w:val="24"/>
                <w:color w:val="auto"/>
              </w:rPr>
            </w:pPr>
          </w:p>
        </w:tc>
        <w:tc>
          <w:tcPr>
            <w:tcW w:w="1140" w:type="dxa"/>
            <w:vAlign w:val="bottom"/>
          </w:tcPr>
          <w:p>
            <w:pPr>
              <w:spacing w:after="0"/>
              <w:rPr>
                <w:sz w:val="24"/>
                <w:szCs w:val="24"/>
                <w:color w:val="auto"/>
              </w:rPr>
            </w:pPr>
          </w:p>
        </w:tc>
      </w:tr>
      <w:tr>
        <w:trPr>
          <w:trHeight w:val="520"/>
        </w:trPr>
        <w:tc>
          <w:tcPr>
            <w:tcW w:w="560" w:type="dxa"/>
            <w:vAlign w:val="bottom"/>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1.</w:t>
              </w:r>
            </w:hyperlink>
          </w:p>
        </w:tc>
        <w:tc>
          <w:tcPr>
            <w:tcW w:w="920" w:type="dxa"/>
            <w:vAlign w:val="bottom"/>
            <w:gridSpan w:val="3"/>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Legal Proceedings</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0"/>
        </w:trPr>
        <w:tc>
          <w:tcPr>
            <w:tcW w:w="6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1A.</w:t>
              </w:r>
            </w:hyperlink>
          </w:p>
        </w:tc>
        <w:tc>
          <w:tcPr>
            <w:tcW w:w="800" w:type="dxa"/>
            <w:vAlign w:val="bottom"/>
            <w:gridSpan w:val="2"/>
          </w:tcPr>
          <w:p>
            <w:pPr>
              <w:spacing w:after="0"/>
              <w:rPr>
                <w:sz w:val="24"/>
                <w:szCs w:val="24"/>
                <w:color w:val="auto"/>
              </w:rPr>
            </w:pPr>
          </w:p>
        </w:tc>
        <w:tc>
          <w:tcPr>
            <w:tcW w:w="9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Risk Factors</w:t>
              </w:r>
            </w:hyperlink>
          </w:p>
        </w:tc>
        <w:tc>
          <w:tcPr>
            <w:tcW w:w="7820" w:type="dxa"/>
            <w:vAlign w:val="bottom"/>
            <w:gridSpan w:val="16"/>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89</w:t>
              </w:r>
            </w:hyperlink>
          </w:p>
        </w:tc>
      </w:tr>
      <w:tr>
        <w:trPr>
          <w:trHeight w:val="520"/>
        </w:trPr>
        <w:tc>
          <w:tcPr>
            <w:tcW w:w="560" w:type="dxa"/>
            <w:vAlign w:val="bottom"/>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2.</w:t>
              </w:r>
            </w:hyperlink>
          </w:p>
        </w:tc>
        <w:tc>
          <w:tcPr>
            <w:tcW w:w="920" w:type="dxa"/>
            <w:vAlign w:val="bottom"/>
            <w:gridSpan w:val="3"/>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Unregistered Sales of Equity Securities and Use of Proceeds</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89</w:t>
              </w:r>
            </w:hyperlink>
          </w:p>
        </w:tc>
      </w:tr>
      <w:tr>
        <w:trPr>
          <w:trHeight w:val="520"/>
        </w:trPr>
        <w:tc>
          <w:tcPr>
            <w:tcW w:w="5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Item 3.</w:t>
              </w:r>
            </w:hyperlink>
          </w:p>
        </w:tc>
        <w:tc>
          <w:tcPr>
            <w:tcW w:w="920" w:type="dxa"/>
            <w:vAlign w:val="bottom"/>
            <w:gridSpan w:val="3"/>
          </w:tcPr>
          <w:p>
            <w:pPr>
              <w:spacing w:after="0"/>
              <w:rPr>
                <w:sz w:val="24"/>
                <w:szCs w:val="24"/>
                <w:color w:val="auto"/>
              </w:rPr>
            </w:pPr>
          </w:p>
        </w:tc>
        <w:tc>
          <w:tcPr>
            <w:tcW w:w="23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92">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tcPr>
          <w:p>
            <w:pPr>
              <w:spacing w:after="0"/>
              <w:rPr>
                <w:sz w:val="24"/>
                <w:szCs w:val="24"/>
                <w:color w:val="auto"/>
              </w:rPr>
            </w:pPr>
          </w:p>
        </w:tc>
        <w:tc>
          <w:tcPr>
            <w:tcW w:w="4380" w:type="dxa"/>
            <w:vAlign w:val="bottom"/>
            <w:gridSpan w:val="8"/>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90</w:t>
              </w:r>
            </w:hyperlink>
          </w:p>
        </w:tc>
      </w:tr>
      <w:tr>
        <w:trPr>
          <w:trHeight w:val="520"/>
        </w:trPr>
        <w:tc>
          <w:tcPr>
            <w:tcW w:w="560" w:type="dxa"/>
            <w:vAlign w:val="bottom"/>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Item 4.</w:t>
              </w:r>
            </w:hyperlink>
          </w:p>
        </w:tc>
        <w:tc>
          <w:tcPr>
            <w:tcW w:w="920" w:type="dxa"/>
            <w:vAlign w:val="bottom"/>
            <w:gridSpan w:val="3"/>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Mine Safety Disclosures</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90</w:t>
              </w:r>
            </w:hyperlink>
          </w:p>
        </w:tc>
      </w:tr>
      <w:tr>
        <w:trPr>
          <w:trHeight w:val="520"/>
        </w:trPr>
        <w:tc>
          <w:tcPr>
            <w:tcW w:w="560" w:type="dxa"/>
            <w:vAlign w:val="bottom"/>
            <w:tcBorders>
              <w:top w:val="single" w:sz="8" w:color="0000EE"/>
            </w:tcBorders>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Item 5.</w:t>
              </w:r>
            </w:hyperlink>
          </w:p>
        </w:tc>
        <w:tc>
          <w:tcPr>
            <w:tcW w:w="920" w:type="dxa"/>
            <w:vAlign w:val="bottom"/>
            <w:gridSpan w:val="3"/>
          </w:tcPr>
          <w:p>
            <w:pPr>
              <w:spacing w:after="0"/>
              <w:rPr>
                <w:sz w:val="24"/>
                <w:szCs w:val="24"/>
                <w:color w:val="auto"/>
              </w:rPr>
            </w:pP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Other Information</w:t>
              </w:r>
            </w:hyperlink>
          </w:p>
        </w:tc>
        <w:tc>
          <w:tcPr>
            <w:tcW w:w="6960" w:type="dxa"/>
            <w:vAlign w:val="bottom"/>
            <w:gridSpan w:val="12"/>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90</w:t>
              </w:r>
            </w:hyperlink>
          </w:p>
        </w:tc>
      </w:tr>
      <w:tr>
        <w:trPr>
          <w:trHeight w:val="520"/>
        </w:trPr>
        <w:tc>
          <w:tcPr>
            <w:tcW w:w="5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Item 6.</w:t>
              </w:r>
            </w:hyperlink>
          </w:p>
        </w:tc>
        <w:tc>
          <w:tcPr>
            <w:tcW w:w="92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93">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gridSpan w:val="3"/>
          </w:tcPr>
          <w:p>
            <w:pPr>
              <w:spacing w:after="0"/>
              <w:rPr>
                <w:sz w:val="24"/>
                <w:szCs w:val="24"/>
                <w:color w:val="auto"/>
              </w:rPr>
            </w:pPr>
          </w:p>
        </w:tc>
        <w:tc>
          <w:tcPr>
            <w:tcW w:w="7400" w:type="dxa"/>
            <w:vAlign w:val="bottom"/>
            <w:gridSpan w:val="14"/>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91</w:t>
              </w:r>
            </w:hyperlink>
          </w:p>
        </w:tc>
      </w:tr>
      <w:tr>
        <w:trPr>
          <w:trHeight w:val="52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94">
              <w:r>
                <w:rPr>
                  <w:rFonts w:ascii="Times New Roman" w:cs="Times New Roman" w:eastAsia="Times New Roman" w:hAnsi="Times New Roman"/>
                  <w:sz w:val="18"/>
                  <w:szCs w:val="18"/>
                  <w:color w:val="0000EE"/>
                  <w:w w:val="96"/>
                </w:rPr>
                <w:t>SIGNATURES</w:t>
              </w:r>
            </w:hyperlink>
          </w:p>
        </w:tc>
        <w:tc>
          <w:tcPr>
            <w:tcW w:w="7620" w:type="dxa"/>
            <w:vAlign w:val="bottom"/>
            <w:gridSpan w:val="15"/>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92</w:t>
              </w:r>
            </w:hyperlink>
          </w:p>
        </w:tc>
      </w:tr>
    </w:tbl>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1"/>
        </w:trPr>
        <w:tc>
          <w:tcPr>
            <w:tcW w:w="5220" w:type="dxa"/>
            <w:vAlign w:val="bottom"/>
            <w:tcBorders>
              <w:bottom w:val="single" w:sz="8" w:color="0000EE"/>
            </w:tcBorders>
            <w:gridSpan w:val="4"/>
          </w:tcPr>
          <w:p>
            <w:pPr>
              <w:spacing w:after="0" w:line="201"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Financial Condition (Unaudited)</w:t>
              </w:r>
            </w:hyperlink>
          </w:p>
        </w:tc>
        <w:tc>
          <w:tcPr>
            <w:tcW w:w="4920" w:type="dxa"/>
            <w:vAlign w:val="bottom"/>
            <w:gridSpan w:val="2"/>
          </w:tcPr>
          <w:p>
            <w:pPr>
              <w:spacing w:after="0"/>
              <w:rPr>
                <w:sz w:val="17"/>
                <w:szCs w:val="17"/>
                <w:color w:val="auto"/>
              </w:rPr>
            </w:pPr>
          </w:p>
        </w:tc>
        <w:tc>
          <w:tcPr>
            <w:tcW w:w="1240" w:type="dxa"/>
            <w:vAlign w:val="bottom"/>
          </w:tcPr>
          <w:p>
            <w:pPr>
              <w:jc w:val="right"/>
              <w:spacing w:after="0" w:line="201"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520"/>
        </w:trPr>
        <w:tc>
          <w:tcPr>
            <w:tcW w:w="6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(Loss) (Unaudited)</w:t>
              </w:r>
            </w:hyperlink>
          </w:p>
        </w:tc>
        <w:tc>
          <w:tcPr>
            <w:tcW w:w="4140" w:type="dxa"/>
            <w:vAlign w:val="bottom"/>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520"/>
        </w:trPr>
        <w:tc>
          <w:tcPr>
            <w:tcW w:w="10140" w:type="dxa"/>
            <w:vAlign w:val="bottom"/>
            <w:gridSpan w:val="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Changes in Equity (Unaudited)</w:t>
              </w:r>
            </w:hyperlink>
          </w:p>
        </w:tc>
        <w:tc>
          <w:tcPr>
            <w:tcW w:w="1240" w:type="dxa"/>
            <w:vAlign w:val="bottom"/>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r>
      <w:tr>
        <w:trPr>
          <w:trHeight w:val="520"/>
        </w:trPr>
        <w:tc>
          <w:tcPr>
            <w:tcW w:w="46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Cash Flows (Unaudited)</w:t>
              </w:r>
            </w:hyperlink>
          </w:p>
        </w:tc>
        <w:tc>
          <w:tcPr>
            <w:tcW w:w="440" w:type="dxa"/>
            <w:vAlign w:val="bottom"/>
            <w:tcBorders>
              <w:top w:val="single" w:sz="8" w:color="0000EE"/>
            </w:tcBorders>
            <w:gridSpan w:val="2"/>
          </w:tcPr>
          <w:p>
            <w:pPr>
              <w:spacing w:after="0"/>
              <w:rPr>
                <w:sz w:val="24"/>
                <w:szCs w:val="24"/>
                <w:color w:val="auto"/>
              </w:rPr>
            </w:pPr>
          </w:p>
        </w:tc>
        <w:tc>
          <w:tcPr>
            <w:tcW w:w="5040" w:type="dxa"/>
            <w:vAlign w:val="bottom"/>
            <w:gridSpan w:val="3"/>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r>
      <w:tr>
        <w:trPr>
          <w:trHeight w:val="520"/>
        </w:trPr>
        <w:tc>
          <w:tcPr>
            <w:tcW w:w="10140" w:type="dxa"/>
            <w:vAlign w:val="bottom"/>
            <w:gridSpan w:val="6"/>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Notes to Condensed Consolidated Financial Statements (Unaudited)</w:t>
              </w:r>
            </w:hyperlink>
          </w:p>
        </w:tc>
        <w:tc>
          <w:tcPr>
            <w:tcW w:w="1240" w:type="dxa"/>
            <w:vAlign w:val="bottom"/>
          </w:tcPr>
          <w:p>
            <w:pPr>
              <w:jc w:val="right"/>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10</w:t>
              </w:r>
            </w:hyperlink>
          </w:p>
        </w:tc>
      </w:tr>
      <w:tr>
        <w:trPr>
          <w:trHeight w:val="507"/>
        </w:trPr>
        <w:tc>
          <w:tcPr>
            <w:tcW w:w="4900" w:type="dxa"/>
            <w:vAlign w:val="bottom"/>
            <w:tcBorders>
              <w:top w:val="single" w:sz="8" w:color="0000EE"/>
            </w:tcBorders>
            <w:gridSpan w:val="2"/>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 (Unaudited)</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2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458,064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729,547</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6,500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Securities borrowed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1,201,327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1,399,684</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15,475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Receivables from broker-dealers and clearing organizations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1,287,091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1,101,449</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2,435,001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1,848,806</w:t>
            </w:r>
          </w:p>
        </w:tc>
      </w:tr>
      <w:tr>
        <w:trPr>
          <w:trHeight w:val="237"/>
        </w:trPr>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670,001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791,115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Property, equipment and capitalized software (net of accumulated depreciation of $481,871 and $323,718 as of June 30, 2019 and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December 31, 2018, respectively)</w:t>
            </w:r>
          </w:p>
        </w:tc>
        <w:tc>
          <w:tcPr>
            <w:tcW w:w="2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113,322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1,196,548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836,583</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Intangibles (net of accumulated amortization of $180,172 and $148,644 as of June 30, 2019 and December 31, 2018,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532,061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83,989</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252,229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200,359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assets ($49,199 and $48,273, at fair value, as of June 30, 2019 and December 31, 2018,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295,786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254,149</w:t>
            </w:r>
          </w:p>
        </w:tc>
      </w:tr>
      <w:tr>
        <w:trPr>
          <w:trHeight w:val="284"/>
        </w:trPr>
        <w:tc>
          <w:tcPr>
            <w:tcW w:w="87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9,081,397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7,380,978</w:t>
            </w:r>
          </w:p>
        </w:tc>
      </w:tr>
      <w:tr>
        <w:trPr>
          <w:trHeight w:val="271"/>
        </w:trPr>
        <w:tc>
          <w:tcPr>
            <w:tcW w:w="8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146,847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15,128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Securities loaned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778,351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1,130,039</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295,803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281,861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Payables to broker-dealers and clearing organizations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668,545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567,441</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Payables to customers</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2,716,418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2,475,395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214,403</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349,832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294,975</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388,070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borrowings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1,931,811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907,037</w:t>
            </w:r>
          </w:p>
        </w:tc>
      </w:tr>
      <w:tr>
        <w:trPr>
          <w:trHeight w:val="217"/>
        </w:trPr>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7,729,528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5,886,279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119,491,416 and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108,955,048 shares, Outstanding — 117,312,645 and 106,776,277 shares at June 30, 2019 and December 31, 2018,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Class B common stock (par value $0.00001), Authorized — 175,000,000 and 175,000,000 shares, Issued and Outstanding — 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and 0 shares at June 30, 2019 and December 31, 2018, respectively</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13,138,402 and 13,749,886 shares at June 30, 2019 and December 31, 2018,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60,091,740 and 69,091,740 shares at June 30, 2019 and December 31, 2018, respectively</w:t>
            </w:r>
          </w:p>
        </w:tc>
        <w:tc>
          <w:tcPr>
            <w:tcW w:w="2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Treasury stock, at cost, 2,178,771 and 2,178,771 shares at June 30, 2019 and December 31, 2018,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(55,005)</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1,057,587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1,010,468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96,513</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8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994,965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1,051,896</w:t>
            </w:r>
          </w:p>
        </w:tc>
      </w:tr>
      <w:tr>
        <w:trPr>
          <w:trHeight w:val="33"/>
        </w:trPr>
        <w:tc>
          <w:tcPr>
            <w:tcW w:w="8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563"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563"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 (Unaudited)</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2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356,904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442,803</w:t>
            </w:r>
          </w:p>
        </w:tc>
      </w:tr>
      <w:tr>
        <w:trPr>
          <w:trHeight w:val="33"/>
        </w:trPr>
        <w:tc>
          <w:tcPr>
            <w:tcW w:w="8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1,351,869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1,494,699</w:t>
            </w:r>
          </w:p>
        </w:tc>
      </w:tr>
      <w:tr>
        <w:trPr>
          <w:trHeight w:val="284"/>
        </w:trPr>
        <w:tc>
          <w:tcPr>
            <w:tcW w:w="8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4"/>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9,081,397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7,380,978</w:t>
            </w:r>
          </w:p>
        </w:tc>
      </w:tr>
      <w:tr>
        <w:trPr>
          <w:trHeight w:val="20"/>
        </w:trPr>
        <w:tc>
          <w:tcPr>
            <w:tcW w:w="8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3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920" w:type="dxa"/>
            <w:vAlign w:val="bottom"/>
          </w:tcPr>
          <w:p>
            <w:pPr>
              <w:spacing w:after="0"/>
              <w:rPr>
                <w:sz w:val="18"/>
                <w:szCs w:val="18"/>
                <w:color w:val="auto"/>
              </w:rPr>
            </w:pPr>
          </w:p>
        </w:tc>
      </w:tr>
      <w:tr>
        <w:trPr>
          <w:trHeight w:val="33"/>
        </w:trPr>
        <w:tc>
          <w:tcPr>
            <w:tcW w:w="63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20" w:type="dxa"/>
            <w:vAlign w:val="bottom"/>
          </w:tcPr>
          <w:p>
            <w:pPr>
              <w:spacing w:after="0"/>
              <w:rPr>
                <w:sz w:val="20"/>
                <w:szCs w:val="20"/>
                <w:color w:val="auto"/>
              </w:rPr>
            </w:pP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Trading income,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205,923</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258,593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463,463</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664,755</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39,886</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100,409</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338,129</w:t>
            </w:r>
          </w:p>
        </w:tc>
      </w:tr>
      <w:tr>
        <w:trPr>
          <w:trHeight w:val="217"/>
        </w:trPr>
        <w:tc>
          <w:tcPr>
            <w:tcW w:w="6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378,456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328,126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741,448</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1,143,179</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459"/>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Brokerage, exchange and clearance fees,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75,851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139,904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161,141</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48,791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98,277</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105,896</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Payments for order flow</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32,098</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68,633</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36,416</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31,546</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13,675</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21,860</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Debt issue cost related to debt refinancing and prepayment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8,380</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9,246</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Charges related to share based compensation at IPO</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37,827</w:t>
            </w:r>
          </w:p>
        </w:tc>
      </w:tr>
      <w:tr>
        <w:trPr>
          <w:trHeight w:val="217"/>
        </w:trPr>
        <w:tc>
          <w:tcPr>
            <w:tcW w:w="6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445,035</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278,504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824,231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625,019</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(66,579)</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518,160</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61,515</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46,622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(69,104)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456,645</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(256,684)</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84"/>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 (loss) available for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(29,891)</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25,209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(36,564)</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199,961</w:t>
            </w:r>
          </w:p>
        </w:tc>
      </w:tr>
      <w:tr>
        <w:trPr>
          <w:trHeight w:val="271"/>
        </w:trPr>
        <w:tc>
          <w:tcPr>
            <w:tcW w:w="61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3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 (loss) per share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112,828,240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99,542,659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110,076,375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95,124,675</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112,828,240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101,619,651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110,076,375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97,155,104</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(55,485)</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46,622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(69,104)</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456,645</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453,598</w:t>
            </w:r>
          </w:p>
        </w:tc>
      </w:tr>
      <w:tr>
        <w:trPr>
          <w:trHeight w:val="237"/>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(255,531)</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 attributable to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(29,343)</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(38,152)</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198,067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2019 and 2018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Total Virtu</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88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5"/>
                <w:szCs w:val="5"/>
                <w:color w:val="auto"/>
              </w:rPr>
            </w:pPr>
          </w:p>
        </w:tc>
        <w:tc>
          <w:tcPr>
            <w:tcW w:w="7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Financial</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Class D Common Stock</w:t>
            </w:r>
          </w:p>
        </w:tc>
        <w:tc>
          <w:tcPr>
            <w:tcW w:w="13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line="91"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7"/>
                <w:szCs w:val="7"/>
                <w:color w:val="auto"/>
              </w:rPr>
            </w:pPr>
          </w:p>
        </w:tc>
        <w:tc>
          <w:tcPr>
            <w:tcW w:w="720" w:type="dxa"/>
            <w:vAlign w:val="bottom"/>
            <w:gridSpan w:val="2"/>
            <w:vMerge w:val="restart"/>
          </w:tcPr>
          <w:p>
            <w:pPr>
              <w:jc w:val="center"/>
              <w:ind w:right="280"/>
              <w:spacing w:after="0" w:line="91"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7"/>
                <w:szCs w:val="7"/>
                <w:color w:val="auto"/>
              </w:rPr>
            </w:pPr>
          </w:p>
        </w:tc>
        <w:tc>
          <w:tcPr>
            <w:tcW w:w="720" w:type="dxa"/>
            <w:vAlign w:val="bottom"/>
            <w:gridSpan w:val="2"/>
            <w:vMerge w:val="restart"/>
          </w:tcPr>
          <w:p>
            <w:pPr>
              <w:jc w:val="center"/>
              <w:ind w:right="180"/>
              <w:spacing w:after="0" w:line="91" w:lineRule="exact"/>
              <w:rPr>
                <w:sz w:val="20"/>
                <w:szCs w:val="20"/>
                <w:color w:val="auto"/>
              </w:rPr>
            </w:pPr>
            <w:r>
              <w:rPr>
                <w:rFonts w:ascii="Times New Roman" w:cs="Times New Roman" w:eastAsia="Times New Roman" w:hAnsi="Times New Roman"/>
                <w:sz w:val="10"/>
                <w:szCs w:val="10"/>
                <w:b w:val="1"/>
                <w:bCs w:val="1"/>
                <w:color w:val="auto"/>
              </w:rPr>
              <w:t>Inc.</w:t>
            </w:r>
          </w:p>
        </w:tc>
        <w:tc>
          <w:tcPr>
            <w:tcW w:w="680" w:type="dxa"/>
            <w:vAlign w:val="bottom"/>
            <w:gridSpan w:val="2"/>
            <w:vMerge w:val="restart"/>
          </w:tcPr>
          <w:p>
            <w:pPr>
              <w:jc w:val="center"/>
              <w:ind w:right="140"/>
              <w:spacing w:after="0" w:line="91" w:lineRule="exact"/>
              <w:rPr>
                <w:sz w:val="20"/>
                <w:szCs w:val="20"/>
                <w:color w:val="auto"/>
              </w:rPr>
            </w:pPr>
            <w:r>
              <w:rPr>
                <w:rFonts w:ascii="Times New Roman" w:cs="Times New Roman" w:eastAsia="Times New Roman" w:hAnsi="Times New Roman"/>
                <w:sz w:val="10"/>
                <w:szCs w:val="10"/>
                <w:b w:val="1"/>
                <w:bCs w:val="1"/>
                <w:color w:val="auto"/>
              </w:rPr>
              <w:t>Non-</w:t>
            </w: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13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8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68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share and interest data)</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Amounts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6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22"/>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2018</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8"/>
              </w:rPr>
              <w:t>108,955,048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6"/>
              </w:rPr>
              <w:t>13,749,886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69,091,740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7"/>
              </w:rPr>
              <w:t>(2,178,771)</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5"/>
              </w:rPr>
              <w:t>$ (55,005)</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$ 1,010,468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96,513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1,051,896</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$ 442,803</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$ 1,494,699</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965,421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30,764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30,764</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30,764</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(325,195)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(8,805)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(8,805)</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(8,805)</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Stock options exercised</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86,224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859</w:t>
            </w:r>
          </w:p>
        </w:tc>
        <w:tc>
          <w:tcPr>
            <w:tcW w:w="0" w:type="dxa"/>
            <w:vAlign w:val="bottom"/>
          </w:tcPr>
          <w:p>
            <w:pPr>
              <w:spacing w:after="0"/>
              <w:rPr>
                <w:sz w:val="1"/>
                <w:szCs w:val="1"/>
                <w:color w:val="auto"/>
              </w:rPr>
            </w:pPr>
          </w:p>
        </w:tc>
      </w:tr>
      <w:tr>
        <w:trPr>
          <w:trHeight w:val="248"/>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(6,673)</w:t>
            </w:r>
          </w:p>
        </w:tc>
        <w:tc>
          <w:tcPr>
            <w:tcW w:w="12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(6,946)</w:t>
            </w:r>
          </w:p>
        </w:tc>
        <w:tc>
          <w:tcPr>
            <w:tcW w:w="120" w:type="dxa"/>
            <w:vAlign w:val="bottom"/>
          </w:tcPr>
          <w:p>
            <w:pPr>
              <w:spacing w:after="0"/>
              <w:rPr>
                <w:sz w:val="21"/>
                <w:szCs w:val="2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(13,619)</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(2,136)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(2,136)</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(1,608)</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(3,744)</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(37,196)</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(37,196)</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(26,312)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(26,312)</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corresponding number</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of Class C common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(240,000)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Balance at March 31, 2019</w:t>
            </w:r>
          </w:p>
        </w:tc>
        <w:tc>
          <w:tcPr>
            <w:tcW w:w="6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98"/>
              </w:rPr>
              <w:t>109,921,498</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96"/>
              </w:rPr>
              <w:t>13,509,886</w:t>
            </w:r>
          </w:p>
        </w:tc>
        <w:tc>
          <w:tcPr>
            <w:tcW w:w="12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69,091,740</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97"/>
              </w:rPr>
              <w:t>(2,178,771)</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5"/>
              </w:rPr>
              <w:t>$ (55,005)</w:t>
            </w: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5"/>
              </w:rPr>
              <w:t>$ 1,042,091</w:t>
            </w:r>
          </w:p>
        </w:tc>
        <w:tc>
          <w:tcPr>
            <w:tcW w:w="10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54,723</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(2,218)</w:t>
            </w:r>
          </w:p>
        </w:tc>
        <w:tc>
          <w:tcPr>
            <w:tcW w:w="120" w:type="dxa"/>
            <w:vAlign w:val="bottom"/>
          </w:tcPr>
          <w:p>
            <w:pPr>
              <w:spacing w:after="0"/>
              <w:rPr>
                <w:sz w:val="19"/>
                <w:szCs w:val="19"/>
                <w:color w:val="auto"/>
              </w:rPr>
            </w:pP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1,039,593</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95"/>
              </w:rPr>
              <w:t>$ 397,053</w:t>
            </w: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5"/>
              </w:rPr>
              <w:t>$ 1,436,646</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257,750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16,443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16,443</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16,443</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(90,852)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(2,093)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(2,093)</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(2,093)</w:t>
            </w:r>
          </w:p>
        </w:tc>
        <w:tc>
          <w:tcPr>
            <w:tcW w:w="0" w:type="dxa"/>
            <w:vAlign w:val="bottom"/>
          </w:tcPr>
          <w:p>
            <w:pPr>
              <w:spacing w:after="0"/>
              <w:rPr>
                <w:sz w:val="1"/>
                <w:szCs w:val="1"/>
                <w:color w:val="auto"/>
              </w:rPr>
            </w:pPr>
          </w:p>
        </w:tc>
      </w:tr>
      <w:tr>
        <w:trPr>
          <w:trHeight w:val="248"/>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Stock option exercised</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(29,891)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(25,594)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(55,485)</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548</w:t>
            </w: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336</w:t>
            </w:r>
          </w:p>
        </w:tc>
        <w:tc>
          <w:tcPr>
            <w:tcW w:w="120" w:type="dxa"/>
            <w:vAlign w:val="bottom"/>
          </w:tcPr>
          <w:p>
            <w:pPr>
              <w:spacing w:after="0"/>
              <w:rPr>
                <w:sz w:val="12"/>
                <w:szCs w:val="12"/>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884</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(14,891)</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(14,891)</w:t>
            </w:r>
          </w:p>
        </w:tc>
        <w:tc>
          <w:tcPr>
            <w:tcW w:w="0" w:type="dxa"/>
            <w:vAlign w:val="bottom"/>
          </w:tcPr>
          <w:p>
            <w:pPr>
              <w:spacing w:after="0"/>
              <w:rPr>
                <w:sz w:val="1"/>
                <w:szCs w:val="1"/>
                <w:color w:val="auto"/>
              </w:rPr>
            </w:pPr>
          </w:p>
        </w:tc>
      </w:tr>
      <w:tr>
        <w:trPr>
          <w:trHeight w:val="248"/>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(28,592)</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(28,592)</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367,900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secondary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offering, net of offering</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costs</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9,000,000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(375)</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(375)</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corresponding number</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of Class C common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(367,900)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Issuance of tax</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receivable agreements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in connection with</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employee exchange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(644)</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(644)</w:t>
            </w:r>
          </w:p>
        </w:tc>
        <w:tc>
          <w:tcPr>
            <w:tcW w:w="0" w:type="dxa"/>
            <w:vAlign w:val="bottom"/>
          </w:tcPr>
          <w:p>
            <w:pPr>
              <w:spacing w:after="0"/>
              <w:rPr>
                <w:sz w:val="1"/>
                <w:szCs w:val="1"/>
                <w:color w:val="auto"/>
              </w:rPr>
            </w:pPr>
          </w:p>
        </w:tc>
      </w:tr>
      <w:tr>
        <w:trPr>
          <w:trHeight w:val="22"/>
        </w:trPr>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2019</w:t>
            </w: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8"/>
              </w:rPr>
              <w:t>119,491,416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6"/>
              </w:rPr>
              <w:t>13,138,402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60,091,740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7"/>
              </w:rPr>
              <w:t>(2,178,771)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5"/>
              </w:rPr>
              <w:t>$ (55,005)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$ 1,057,587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(1,670)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994,965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$ 356,904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$ 1,351,869</w:t>
            </w:r>
          </w:p>
        </w:tc>
        <w:tc>
          <w:tcPr>
            <w:tcW w:w="0" w:type="dxa"/>
            <w:vAlign w:val="bottom"/>
          </w:tcPr>
          <w:p>
            <w:pPr>
              <w:spacing w:after="0"/>
              <w:rPr>
                <w:sz w:val="1"/>
                <w:szCs w:val="1"/>
                <w:color w:val="auto"/>
              </w:rPr>
            </w:pPr>
          </w:p>
        </w:tc>
      </w:tr>
      <w:tr>
        <w:trPr>
          <w:trHeight w:val="22"/>
        </w:trPr>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6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Total Virtu</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38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34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14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Class D Common Stock</w:t>
            </w:r>
          </w:p>
        </w:tc>
        <w:tc>
          <w:tcPr>
            <w:tcW w:w="13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34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line="91"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80" w:type="dxa"/>
            <w:vAlign w:val="bottom"/>
            <w:gridSpan w:val="3"/>
            <w:vMerge w:val="restart"/>
          </w:tcPr>
          <w:p>
            <w:pPr>
              <w:jc w:val="center"/>
              <w:ind w:right="120"/>
              <w:spacing w:after="0" w:line="91"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720" w:type="dxa"/>
            <w:vAlign w:val="bottom"/>
            <w:gridSpan w:val="2"/>
            <w:vMerge w:val="restart"/>
          </w:tcPr>
          <w:p>
            <w:pPr>
              <w:jc w:val="center"/>
              <w:ind w:right="200"/>
              <w:spacing w:after="0" w:line="91" w:lineRule="exact"/>
              <w:rPr>
                <w:sz w:val="20"/>
                <w:szCs w:val="20"/>
                <w:color w:val="auto"/>
              </w:rPr>
            </w:pPr>
            <w:r>
              <w:rPr>
                <w:rFonts w:ascii="Times New Roman" w:cs="Times New Roman" w:eastAsia="Times New Roman" w:hAnsi="Times New Roman"/>
                <w:sz w:val="10"/>
                <w:szCs w:val="10"/>
                <w:b w:val="1"/>
                <w:bCs w:val="1"/>
                <w:color w:val="auto"/>
              </w:rPr>
              <w:t>Financial</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134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60" w:type="dxa"/>
            <w:vAlign w:val="bottom"/>
          </w:tcPr>
          <w:p>
            <w:pPr>
              <w:spacing w:after="0"/>
              <w:rPr>
                <w:sz w:val="9"/>
                <w:szCs w:val="9"/>
                <w:color w:val="auto"/>
              </w:rPr>
            </w:pPr>
          </w:p>
        </w:tc>
        <w:tc>
          <w:tcPr>
            <w:tcW w:w="72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9"/>
                <w:szCs w:val="9"/>
                <w:color w:val="auto"/>
              </w:rPr>
            </w:pPr>
          </w:p>
        </w:tc>
        <w:tc>
          <w:tcPr>
            <w:tcW w:w="7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Inc.</w:t>
            </w:r>
          </w:p>
        </w:tc>
        <w:tc>
          <w:tcPr>
            <w:tcW w:w="68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share and interest data)</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Amounts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6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4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at December 31,</w:t>
            </w: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2017</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90,415,532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6"/>
              </w:rPr>
              <w:t>17,880,239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79,610,490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(616,923)</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5"/>
              </w:rPr>
              <w:t>$ (11,041)</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9"/>
              </w:rPr>
              <w:t>$ 900,746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(62,129)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2,991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830,569</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$ 321,009</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$ 1,151,578</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744,536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16,632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16,632</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16,632</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(18,154)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(332)</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(332)</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(558,084)</w:t>
            </w:r>
          </w:p>
        </w:tc>
        <w:tc>
          <w:tcPr>
            <w:tcW w:w="1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(14,444)</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(14,444)</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(14,444)</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Stock options exercised</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732,000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13,908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13,908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13,908</w:t>
            </w:r>
          </w:p>
        </w:tc>
        <w:tc>
          <w:tcPr>
            <w:tcW w:w="0" w:type="dxa"/>
            <w:vAlign w:val="bottom"/>
          </w:tcPr>
          <w:p>
            <w:pPr>
              <w:spacing w:after="0"/>
              <w:rPr>
                <w:sz w:val="1"/>
                <w:szCs w:val="1"/>
                <w:color w:val="auto"/>
              </w:rPr>
            </w:pPr>
          </w:p>
        </w:tc>
      </w:tr>
      <w:tr>
        <w:trPr>
          <w:trHeight w:val="248"/>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174,751</w:t>
            </w:r>
          </w:p>
        </w:tc>
        <w:tc>
          <w:tcPr>
            <w:tcW w:w="12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235,271</w:t>
            </w:r>
          </w:p>
        </w:tc>
        <w:tc>
          <w:tcPr>
            <w:tcW w:w="12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410,022</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1,241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1,241</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1,288</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2,529</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(99,038)</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(99,038)</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(22,380)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(22,380)</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795,521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corresponding number</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of Class C common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(795,521)</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8"/>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2018</w:t>
            </w:r>
          </w:p>
        </w:tc>
        <w:tc>
          <w:tcPr>
            <w:tcW w:w="6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92,687,589</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6"/>
              </w:rPr>
              <w:t>17,066,564</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79,610,490</w:t>
            </w:r>
          </w:p>
        </w:tc>
        <w:tc>
          <w:tcPr>
            <w:tcW w:w="12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7"/>
              </w:rPr>
              <w:t>(1,175,007)</w:t>
            </w:r>
          </w:p>
        </w:tc>
        <w:tc>
          <w:tcPr>
            <w:tcW w:w="120" w:type="dxa"/>
            <w:vAlign w:val="bottom"/>
          </w:tcPr>
          <w:p>
            <w:pPr>
              <w:spacing w:after="0"/>
              <w:rPr>
                <w:sz w:val="19"/>
                <w:szCs w:val="19"/>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5"/>
              </w:rPr>
              <w:t>$ (25,485)</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99"/>
              </w:rPr>
              <w:t>$ 930,954</w:t>
            </w:r>
          </w:p>
        </w:tc>
        <w:tc>
          <w:tcPr>
            <w:tcW w:w="10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90,242</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4,232</w:t>
            </w:r>
          </w:p>
        </w:tc>
        <w:tc>
          <w:tcPr>
            <w:tcW w:w="120" w:type="dxa"/>
            <w:vAlign w:val="bottom"/>
          </w:tcPr>
          <w:p>
            <w:pPr>
              <w:spacing w:after="0"/>
              <w:rPr>
                <w:sz w:val="19"/>
                <w:szCs w:val="19"/>
                <w:color w:val="auto"/>
              </w:rPr>
            </w:pP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999,945</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95"/>
              </w:rPr>
              <w:t>$ 458,530</w:t>
            </w: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5"/>
              </w:rPr>
              <w:t>$ 1,458,475</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(150,000)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6,011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6,011</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6,011</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(22,601)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(756)</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(756)</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7"/>
              </w:rPr>
              <w:t>(1,003,764)</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(29,520)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(29,520)</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(29,520)</w:t>
            </w:r>
          </w:p>
        </w:tc>
        <w:tc>
          <w:tcPr>
            <w:tcW w:w="0" w:type="dxa"/>
            <w:vAlign w:val="bottom"/>
          </w:tcPr>
          <w:p>
            <w:pPr>
              <w:spacing w:after="0"/>
              <w:rPr>
                <w:sz w:val="1"/>
                <w:szCs w:val="1"/>
                <w:color w:val="auto"/>
              </w:rPr>
            </w:pPr>
          </w:p>
        </w:tc>
      </w:tr>
      <w:tr>
        <w:trPr>
          <w:trHeight w:val="248"/>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 option exercised</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3,317,057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63,024</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63,024</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25,209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21,413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46,622</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(3,135)</w:t>
            </w:r>
          </w:p>
        </w:tc>
        <w:tc>
          <w:tcPr>
            <w:tcW w:w="1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(2,441)</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(5,576)</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(66,575)</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(66,575)</w:t>
            </w:r>
          </w:p>
        </w:tc>
        <w:tc>
          <w:tcPr>
            <w:tcW w:w="0" w:type="dxa"/>
            <w:vAlign w:val="bottom"/>
          </w:tcPr>
          <w:p>
            <w:pPr>
              <w:spacing w:after="0"/>
              <w:rPr>
                <w:sz w:val="1"/>
                <w:szCs w:val="1"/>
                <w:color w:val="auto"/>
              </w:rPr>
            </w:pPr>
          </w:p>
        </w:tc>
      </w:tr>
      <w:tr>
        <w:trPr>
          <w:trHeight w:val="248"/>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(25,930)</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(25,930)</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2,712,696</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secondary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offering, net of offering</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costs</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10,518,750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8"/>
              </w:rPr>
              <w:t>(10,518,750)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(710)</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corresponding number</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of Class C common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(2,712,696)</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tax</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receivable agreements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in connection with</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employee exchange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(3,439)</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(3,439)</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2018</w:t>
            </w: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8"/>
              </w:rPr>
              <w:t>109,086,092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6"/>
              </w:rPr>
              <w:t>14,331,267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69,091,740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7"/>
              </w:rPr>
              <w:t>(2,178,771)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5"/>
              </w:rPr>
              <w:t>$ (55,005)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9"/>
              </w:rPr>
              <w:t>$ 995,084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89,521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1,097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1,030,699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$ 410,927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$ 1,441,626</w:t>
            </w:r>
          </w:p>
        </w:tc>
        <w:tc>
          <w:tcPr>
            <w:tcW w:w="0" w:type="dxa"/>
            <w:vAlign w:val="bottom"/>
          </w:tcPr>
          <w:p>
            <w:pPr>
              <w:spacing w:after="0"/>
              <w:rPr>
                <w:sz w:val="1"/>
                <w:szCs w:val="1"/>
                <w:color w:val="auto"/>
              </w:rPr>
            </w:pPr>
          </w:p>
        </w:tc>
      </w:tr>
      <w:tr>
        <w:trPr>
          <w:trHeight w:val="22"/>
        </w:trPr>
        <w:tc>
          <w:tcPr>
            <w:tcW w:w="1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 (Unaudited).</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20"/>
          </w:cols>
          <w:pgMar w:left="24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75"/>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(69,104)</w:t>
            </w:r>
          </w:p>
        </w:tc>
        <w:tc>
          <w:tcPr>
            <w:tcW w:w="120" w:type="dxa"/>
            <w:vAlign w:val="bottom"/>
          </w:tcPr>
          <w:p>
            <w:pPr>
              <w:spacing w:after="0"/>
              <w:rPr>
                <w:sz w:val="23"/>
                <w:szCs w:val="23"/>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456,645</w:t>
            </w:r>
          </w:p>
        </w:tc>
      </w:tr>
      <w:tr>
        <w:trPr>
          <w:trHeight w:val="275"/>
        </w:trPr>
        <w:tc>
          <w:tcPr>
            <w:tcW w:w="7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31,546</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13,675</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8,380</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5,427</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65,208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21,860</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37,289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14,751</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Reserve for legal matters</w:t>
            </w: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Write-down of assets</w:t>
            </w:r>
          </w:p>
        </w:tc>
        <w:tc>
          <w:tcPr>
            <w:tcW w:w="3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2,697</w:t>
            </w:r>
          </w:p>
        </w:tc>
      </w:tr>
      <w:tr>
        <w:trPr>
          <w:trHeight w:val="221"/>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Connectivity early termination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7,062</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taxes</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5,546</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sale of businesses</w:t>
            </w: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(337,550)</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765</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Securities borrowed</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211,539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254,000</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142,470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(79,904)</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(60,461)</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136,833</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Securities loaned</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34,156</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(110,882)</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31,408</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Payables to customers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241,012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21,766</w:t>
            </w:r>
          </w:p>
        </w:tc>
      </w:tr>
      <w:tr>
        <w:trPr>
          <w:trHeight w:val="270"/>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(142,660)</w:t>
            </w:r>
          </w:p>
        </w:tc>
      </w:tr>
      <w:tr>
        <w:trPr>
          <w:trHeight w:val="250"/>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310,297</w:t>
            </w:r>
          </w:p>
        </w:tc>
      </w:tr>
      <w:tr>
        <w:trPr>
          <w:trHeight w:val="275"/>
        </w:trPr>
        <w:tc>
          <w:tcPr>
            <w:tcW w:w="7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(12,891)</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(13,593)</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sale of BondPoint</w:t>
            </w: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400,192</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ITG Acquisition, net of cash acquired, described in Note 3</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(835,581)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(864,384)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373,708</w:t>
            </w:r>
          </w:p>
        </w:tc>
      </w:tr>
      <w:tr>
        <w:trPr>
          <w:trHeight w:val="275"/>
        </w:trPr>
        <w:tc>
          <w:tcPr>
            <w:tcW w:w="7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 from Virtu Financial to non-controlling interest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(165,612)</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Dividends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(48,311)</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(43,964)</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options exercised</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76,932</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Short-term borrowings, net</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116,245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15,000</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1,492,500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Repayment of long term borrowings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(384,846)</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Debt issuance costs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r>
      <w:tr>
        <w:trPr>
          <w:trHeight w:val="265"/>
        </w:trPr>
        <w:tc>
          <w:tcPr>
            <w:tcW w:w="72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Issuance of common stock in connection with secondary offering, net of offering costs</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255"/>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1,005,614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(553,778)</w:t>
            </w:r>
          </w:p>
        </w:tc>
      </w:tr>
      <w:tr>
        <w:trPr>
          <w:trHeight w:val="270"/>
        </w:trPr>
        <w:tc>
          <w:tcPr>
            <w:tcW w:w="7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171450</wp:posOffset>
            </wp:positionV>
            <wp:extent cx="646620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ectPr>
          <w:pgSz w:w="11900" w:h="16838" w:orient="portrait"/>
          <w:cols w:equalWidth="0" w:num="1">
            <w:col w:w="10820"/>
          </w:cols>
          <w:pgMar w:left="240" w:top="121" w:right="839" w:bottom="0" w:gutter="0" w:footer="0" w:header="0"/>
        </w:sectPr>
      </w:pPr>
    </w:p>
    <w:p>
      <w:pPr>
        <w:spacing w:after="0" w:line="342" w:lineRule="exact"/>
        <w:rPr>
          <w:sz w:val="20"/>
          <w:szCs w:val="20"/>
          <w:color w:val="auto"/>
        </w:rPr>
      </w:pPr>
    </w:p>
    <w:p>
      <w:pPr>
        <w:ind w:left="640"/>
        <w:spacing w:after="0"/>
        <w:tabs>
          <w:tab w:leader="none" w:pos="8640" w:val="left"/>
          <w:tab w:leader="none" w:pos="10220" w:val="left"/>
        </w:tabs>
        <w:rPr>
          <w:sz w:val="20"/>
          <w:szCs w:val="20"/>
          <w:color w:val="auto"/>
        </w:rPr>
      </w:pPr>
      <w:r>
        <w:rPr>
          <w:rFonts w:ascii="Times New Roman" w:cs="Times New Roman" w:eastAsia="Times New Roman" w:hAnsi="Times New Roman"/>
          <w:sz w:val="14"/>
          <w:szCs w:val="14"/>
          <w:color w:val="auto"/>
        </w:rPr>
        <w:t>Net increase (decrease) in cash and cash equivalents</w:t>
      </w:r>
      <w:r>
        <w:rPr>
          <w:sz w:val="20"/>
          <w:szCs w:val="20"/>
          <w:color w:val="auto"/>
        </w:rPr>
        <w:tab/>
      </w:r>
      <w:r>
        <w:rPr>
          <w:rFonts w:ascii="Times New Roman" w:cs="Times New Roman" w:eastAsia="Times New Roman" w:hAnsi="Times New Roman"/>
          <w:sz w:val="14"/>
          <w:szCs w:val="14"/>
          <w:color w:val="auto"/>
        </w:rPr>
        <w:t>(238,486)</w:t>
      </w:r>
      <w:r>
        <w:rPr>
          <w:sz w:val="20"/>
          <w:szCs w:val="20"/>
          <w:color w:val="auto"/>
        </w:rPr>
        <w:tab/>
      </w:r>
      <w:r>
        <w:rPr>
          <w:rFonts w:ascii="Times New Roman" w:cs="Times New Roman" w:eastAsia="Times New Roman" w:hAnsi="Times New Roman"/>
          <w:sz w:val="14"/>
          <w:szCs w:val="14"/>
          <w:color w:val="auto"/>
        </w:rPr>
        <w:t>127,180</w:t>
      </w:r>
    </w:p>
    <w:p>
      <w:pPr>
        <w:sectPr>
          <w:pgSz w:w="11900" w:h="16838" w:orient="portrait"/>
          <w:cols w:equalWidth="0" w:num="1">
            <w:col w:w="10820"/>
          </w:cols>
          <w:pgMar w:left="240" w:top="121" w:right="839"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364" w:right="1440"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75"/>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736,047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532,887</w:t>
            </w:r>
          </w:p>
        </w:tc>
      </w:tr>
      <w:tr>
        <w:trPr>
          <w:trHeight w:val="242"/>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497,561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660,067</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7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7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90,726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65,063</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Cash paid for taxes</w:t>
            </w:r>
          </w:p>
        </w:tc>
        <w:tc>
          <w:tcPr>
            <w:tcW w:w="3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77,021</w:t>
            </w:r>
          </w:p>
        </w:tc>
      </w:tr>
      <w:tr>
        <w:trPr>
          <w:trHeight w:val="275"/>
        </w:trPr>
        <w:tc>
          <w:tcPr>
            <w:tcW w:w="7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 based compensation to developers relating to capitalized software</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1,325</w:t>
            </w: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Tax receivable agreement described in Note 6</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r>
    </w:tbl>
    <w:p>
      <w:pPr>
        <w:spacing w:after="0" w:line="1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240" w:top="121" w:right="8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shares and per share amounts, unless otherwise noted)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June 30, 2019, VFI owned approximately 62.0% of the membership interests of Virtu Financial. VFI is the sole managing member of Virtu Financial and operates and controls all of the businesses and affairs of Virtu Financial and its subsidiaries (the “Group”).</w:t>
      </w:r>
    </w:p>
    <w:p>
      <w:pPr>
        <w:spacing w:after="0" w:line="16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 a leading financial firm that leverages cutting edge technology to deliver transparent trading solutions to its clients. The Company provides deep liquidity in over 25,000 financial instruments, at over 235 venues, in 36 countries worldwide to help create more efficient markets. It also leverages its market structure expertise and scaled, multi-asset technology infrastructure to provide a complete suite of client solutions, including transparent agency execution and broker-neutral offerings.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20, 2017 (the “KCG Closing Date”), the Company completed the all-cash acquisition of KCG Holdings, Inc. (“KCG”) (the “Acquisition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KCG”).</w:t>
      </w:r>
    </w:p>
    <w:p>
      <w:pPr>
        <w:spacing w:after="0" w:line="207"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On March 1, 2019 (the “ITG Closing Date”), the Company completed the acquisition of Investment Technology Group, Inc. and its subsidiaries (“ITG”) in an all-cash transaction valued at $30.30 per ITG share, for a total of approximately $1.0 billion (the “ITG Acquisition”). See Note 3 “ITG Acquisition” for further details. ITG was a global financial technology company that will contribute to the Company's Execution Services segment.</w:t>
      </w:r>
    </w:p>
    <w:p>
      <w:pPr>
        <w:spacing w:after="0" w:line="158"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Virtu Financial’s principal subsidiaries include Virtu Financial BD LLC (“VFBD”), Virtu Americas LLC (“VAL”), Virtu ITG LLC (“VITG”), Virtu Alternet Securities LLC (“VALT”) and Virtu Financial Capital Markets LLC (“VFCM”, collectively with VFBD, VAL, VITG, and VALT, the “broker-dealers”), which are self-clearing U.S. broker-dealers.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and Virtu ITG Europe Limited, each formed in Ireland;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7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has two operating segments: (i) Market Making and (ii) Execution Services; and one non-operating segment: Corporate. See Note 21 “Geographic Information and Business Segments” for a further discussion of the Company’s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Form of Presentation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2018. The condensed consolidated financial statements of the Company include its equity interests in Virtu Financial and its subsidiaries. The Company operates and controls all business and affairs of Virtu Financial and its operating subsidiaries indirectly through its equity interest in Virtu Financial.</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majority and wholly-owned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discussed in Note 3 “ITG Acquisition”, the Company has accounted for the ITG Acquisition under the acquisition method of accounting. Under the acquisition method of accounting, the assets and liabilities of ITG, as of the ITG Closing Date, were recorded at their respective fair values and added to the carrying value of the Company’s existing assets and liabilities. The reported financial condition, results of operations and cash flows of the Company for the periods following the ITG Acquisition reflect ITG's and the Company's balances, and reflect the impact of purchase accounting adjustments. The financial results for the three months ended June 30, 2019 comprise our results and the results of ITG for the entire applicable period. The financial results for the six months ended June 30, 2019 comprise our results for the entire applicable period and the results of ITG from the ITG Closing Date through June 30, 2019. All periods prior to the ITG Closing Date comprise solely our results.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leases,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grants restricted stock units (“RSUs”), certain of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Cash restricted or segregated under regulations and other represents (i) special reserve bank accounts for the exclusive benefit of customers (“Special Reserve Bank Account”) maintained by VAL and VITG in accordance with Rule 15c3-3 of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Securities Exchange Act of 1934, as amended (“Customer Protection Rule”), or proprietary accounts of broker-dealers, (ii) funds on deposit for Canadian and European trade clearing and settlement activity, (iii) segregated balances under a collateral account control agreement for the benefit of certain customers, and (iv) funds relating to the securitization of bank guarantees supporting certain of the Company’s foreign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Borrowed and Securities Loaned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Purchased Under Agreements to Resell and Securities Sold Under Agreements to Repurchase</w:t>
      </w:r>
    </w:p>
    <w:p>
      <w:pPr>
        <w:spacing w:after="0" w:line="229"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17"/>
          <w:szCs w:val="17"/>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from/Payables to Broker-dealers and Clearing Organizations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credit facilities, on a net-by-counterparty basis within receivables from and payables to broker-dealers and clearing organizations when the criteria for offsetting are met.</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and to minimize the risk of any losses from these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Owned Including Those Pledged as Collateral and Financial Instruments Sold, Not Yet Purchased</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financial instruments owned, including those pledged as collateral,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based on inputs: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Transfers in or out of levels are recognized based on the beginning fair value of the period in which they occurred.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 Cash flows associated with such derivative activities are included in cash flows from operating activities on the condensed consolidated statements of cash flows.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Commission Arrangements</w:t>
      </w:r>
    </w:p>
    <w:p>
      <w:pPr>
        <w:spacing w:after="0" w:line="229" w:lineRule="exact"/>
        <w:rPr>
          <w:sz w:val="20"/>
          <w:szCs w:val="20"/>
          <w:color w:val="auto"/>
        </w:rPr>
      </w:pPr>
    </w:p>
    <w:p>
      <w:pPr>
        <w:ind w:right="260" w:firstLine="648"/>
        <w:spacing w:after="0" w:line="219" w:lineRule="exact"/>
        <w:rPr>
          <w:sz w:val="20"/>
          <w:szCs w:val="20"/>
          <w:color w:val="auto"/>
        </w:rPr>
      </w:pPr>
      <w:r>
        <w:rPr>
          <w:rFonts w:ascii="Times New Roman" w:cs="Times New Roman" w:eastAsia="Times New Roman" w:hAnsi="Times New Roman"/>
          <w:sz w:val="18"/>
          <w:szCs w:val="18"/>
          <w:color w:val="auto"/>
        </w:rPr>
        <w:t>Institutional customers are permitted to allocate a portion of their gross commissions to pay for research products and other services provided by third parties and the Company’s subsidiaries. The amounts allocated for those purposes are commonly referred to as client commission arrangements. The cost of independent research and directed brokerage arrangements is accounted for on an accrual basis. Commission revenue is recorded when earned on a trade date basis. Payments relating to client commission arrangements are netted against the commission revenues. Research receivable, including prepaid research on behalf of customers and balance transfers due from other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net of an allowance is included in Receivables from customers and Receivables from broker-dealers and clearing organizations, while accrued research payable is included in Accounts payable, accrued expenses, and other liabilities in the condensed consolidated statements of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capitalizes costs of materials, consultants, and payroll and payroll related costs for employees incurred in developing internal-use software. Costs incurred during the preliminary project and post-implementation stages are charged to expense.</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and related accumulated amortization are included in Property, equipment and capitalized software in the accompanying condensed consolidated statements of financial condition and are amortized over a period of 1.5 to 3 years, which represents the estimated useful lives of the underlying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 use assets and Operating lease liabilities on the condensed consolidated statements of financial condition. Operating lease right-of-use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condensed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Certain of the Company's lease agreements contain fixed lease payments that contain lease and non-lease components; for such leases, the Company accounts for the lease and non-lease components as a single lease component.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on July 1 and on an interim basis when certain events occur or certain circumstances exist. In the impairment assessment as of July 1, 2018, the Company assessed qualitative factors as described in ASC 350-20 for each of its reporting units for any indicators that the fair values of the reporting units were less than their carrying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Memberships and Stock</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Exchange memberships are recorded at cost or, if any other than temporary impairment in value has occurred, at a value that reflects management’s estimate of fair value. Exchange memberships acquired in connection with the Acquisition of KCG and the ITG Acquisition were recorded at their fair value on the date of acquisition. Exchange stock includes shares that entitle the Company to certain trading privileges. The Company’s exchange memberships and stock are included in intangibles in the condensed consolidated statements of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Income, net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Commissions, net and Technology Services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The Company recognizes the related revenue when the third party research services are rendered and payments are made. As the Company acts as an agent in these transactions, it records such expenses on a net basis within commissions, net and technology services in the condensed consolidated statements of comprehensive income.</w:t>
      </w:r>
    </w:p>
    <w:p>
      <w:pPr>
        <w:spacing w:after="0" w:line="184"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w:t>
      </w:r>
    </w:p>
    <w:p>
      <w:pPr>
        <w:spacing w:after="0" w:line="18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provides analytics products and services to customers and recognizes subscription fees, which are fixed for the contract term, based on when the products and services are delivered. Analytics products and services may be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bundled with trade execution services, in which case commissions are allocated to the analytics performance obligations using an allocation methodology.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Dividends Income/Interest and Dividends Expense</w:t>
      </w:r>
    </w:p>
    <w:p>
      <w:pPr>
        <w:spacing w:after="0" w:line="229"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Exchange and Clearance Fees, Net</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for Order Flow</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Payments for order flow represent payments to broker-dealer clients, in the normal course of business, for directing their order flow in U.S. equities to the Company. Payments for order flow are recorded on a trade-date basis in the condensed consolidated statements of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and Foreign Currency Translation</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184"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Company's foreign subsidiaries generally use the U.S. dollar as their functional currency. The Company also has subsidiaries that utilize a functional currency other than the U.S. dollar, primarily comprising its subsidiaries domiciled in Ireland, which utilize the Euro and Pound Sterling as the functional currency.</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condensed consolidated statements of financial condition and Cumulative translation adjustment, net of tax, on the condensed consolidated statements of comprehensive income. The ineffective portion, if any, is recorded in investment income and Other, net on the condensed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awards issued for compensation prior to the Company's initial public offering in April 2015 (the “IPO”) and certain reorganization transactions consummated in connection with the IPO (the “Reorganization Transactions”) was determined by management, with the assistance of an independent third party valuation firm, using a projected annual forfeiture rate, where applicable, on the date of grant.</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Share-based awards issued for compensation in connection with or subsequent to the Reorganization Transactions and the IPO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were in the form of stock options, Class A common stock, par value $0.00001 per share (the “Class A Common Stock”) and RSUs, as applicable.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2016, the Company invested in a joint venture (“JV”) with nine other parties. One of the parties was KCG. Upon the Acquisition of KCG, KCG was required to relinquish its ownership in the JV. As of June 30, 2019, each of the parties owns approximately 10% of the voting shares and 10% of the equity of this JV. In addition, as a result of the Acquisition of KCG, the Company owns 50% of the voting shares and 50% of the equity of another JV. These two JVs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has an interest in a JV that offers derivatives trading technology and execution services to broker-dealers, professional traders and select hedge funds. As of June 30, 2019, the Company held approximately a 10% indirect minority stake in this JV.</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Company's three JVs meet the criteria to be considered VIEs. 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Accounts Payable, accrued expenses and other liabilities on the condensed consolidated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Company’s exposure to the obligations of these VIEs is generally limited to its interests in each respective JV, which is the carrying value of the equity investment in each JV.</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nonconsolidated VIEs at June 30, 2019:</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18,520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52,892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nonconsolidated VIEs at December 31, 2018:</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18,254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Recently Adopted</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In May 2014, the FASB issued Accounting Standard Update (“ASU”) 2014-09,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2014-09 is a comprehensive new revenue recognition model that requires a company to recognize revenue to depict the transfer of goods or services to a customer at an amount that reflects the consideration it expects to receive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For a discussion of the impact of the new standard on the Company’s revenues as well as the additional disclosures required by the new standard, see Note 13 “Revenues from Contracts with Customers”.</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 In February 2016, the FASB issued ASU 2016-02,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the new ASU, a lessee is required to recognize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for leases with lease terms of more than 12 months. The liability is equal to the present value of the future lease payments. The ROU asset is based on the liability, subject to adjustment, such as for initial direct costs. For statement of comprehensive income purposes, leases are classified as either operating or finance. Operating leases result in straight-line expense (similar to previous operating lease guidance) while finance leases result in a front-loaded expense pattern (similar to previous capital lease guidance). Classification is based on criteria that are largely similar to those applied in previous lease accounting, but without explicit bright lines.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this ASU on January 1, 2019 using the modified retrospective method of implementation. The Company elected to recognize the cumulative effect adjustment to the opening balance of retained earnings in the period of adoption rather than in the earliest period presented. The Company elected not to recognize lease assets and lease liabilities for leases with a determined lease term of twelve months or less that are not expected to be renewed. The Company elected several practical expedients upon transition, including the expedient not to re-assess the lease population as long as contracts were properly scoped as a lease under previous guidance, not to re-assess existing lease classification for existing leases, not to adjust existing costs that were capitalized, and not to separate lease and non-lease components of fixed lease payments.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standard had a material impact on the Company's condensed consolidated statements of financial condition due to the recognition of ROU assets and lease liabilities for operating leases, while the Company's accounting for finance leases remained substantially unchanged. The standard had an immaterial impact on the condensed consolidated statements of comprehensive income. The additional disclosures required by the new standard have been included in Note 16 “Leases”.</w:t>
      </w:r>
    </w:p>
    <w:p>
      <w:pPr>
        <w:spacing w:after="0" w:line="17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 In June 2018, the FASB issued ASU 2018-07,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Compensation, Stock Compensation (Topic 718): Improvements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Nonemployee Share-Based Payment Accounting</w:t>
      </w:r>
      <w:r>
        <w:rPr>
          <w:rFonts w:ascii="Times New Roman" w:cs="Times New Roman" w:eastAsia="Times New Roman" w:hAnsi="Times New Roman"/>
          <w:sz w:val="18"/>
          <w:szCs w:val="18"/>
          <w:color w:val="auto"/>
        </w:rPr>
        <w:t>, with the objective of conforming the accounting for share-based awards to non-employees 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awards granted to employees. Previously, non-employee awards were measured at the vesting date, rather than the grant date, which effectively required the awards to be marked to market until the award vested. Under the new ASU, companies are required to measure non-employee awards at the fair value of the instruments issued at the grant date. Entities can also consider the probability of the recipient satisfying any performance conditions. The Company adopted this standard on January 1, 2019. The Company does not currently make share-based awards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non-employees, and the adoption of this ASU did not have a material impact on its condensed consolidated financial statements.</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 In January 2017, the FASB issued ASU 2017-04,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Intangibles—Goodwill and Other (Topic 350), Simplifying the Test for Goodwill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To simplify the subsequent measurement of goodwill, this ASU eliminated Step 2 from the goodwill impairment test. In computing the implied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goodwill under Step 2,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The Company early adopted this standard as of January 1, 2019, and the adoption of this ASU did not have a material impact on its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 as of June 30, 2019</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 </w:t>
      </w:r>
      <w:r>
        <w:rPr>
          <w:rFonts w:ascii="Times New Roman" w:cs="Times New Roman" w:eastAsia="Times New Roman" w:hAnsi="Times New Roman"/>
          <w:sz w:val="18"/>
          <w:szCs w:val="18"/>
          <w:color w:val="auto"/>
        </w:rPr>
        <w:t>- In August 2018, the FASB issued ASU 2018-13,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 Measurement (Topic 820): Disclosure Framework-Changes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 the Disclosure Requirements for Fair Value Measurement</w:t>
      </w:r>
      <w:r>
        <w:rPr>
          <w:rFonts w:ascii="Times New Roman" w:cs="Times New Roman" w:eastAsia="Times New Roman" w:hAnsi="Times New Roman"/>
          <w:sz w:val="18"/>
          <w:szCs w:val="18"/>
          <w:color w:val="auto"/>
        </w:rPr>
        <w:t>, which modified the disclosure requirements on fair value measurements in ASC Topic 820,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ASU is effective for periods beginning after December 15, 2019, including interim periods within that fiscal year. The Company does not expect the adoption of this ASU to have a material impact on its condensed consolidated financial statements.</w:t>
      </w:r>
    </w:p>
    <w:p>
      <w:pPr>
        <w:spacing w:after="0" w:line="182"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Consolidation </w:t>
      </w:r>
      <w:r>
        <w:rPr>
          <w:rFonts w:ascii="Times New Roman" w:cs="Times New Roman" w:eastAsia="Times New Roman" w:hAnsi="Times New Roman"/>
          <w:sz w:val="17"/>
          <w:szCs w:val="17"/>
          <w:color w:val="auto"/>
        </w:rPr>
        <w:t>- In October 2018, the FASB issued ASU 2018-17,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Consolidation (Topic 810): Targeted Improvements to Related Party Guidance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Variable Interest Entities</w:t>
      </w:r>
      <w:r>
        <w:rPr>
          <w:rFonts w:ascii="Times New Roman" w:cs="Times New Roman" w:eastAsia="Times New Roman" w:hAnsi="Times New Roman"/>
          <w:sz w:val="17"/>
          <w:szCs w:val="17"/>
          <w:color w:val="auto"/>
        </w:rPr>
        <w:t>, which modified how VIEs are assessed for consolidation purposes under ASC Topic 810, Consolidation. Under the update, indirect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interests held through related parties in common control arrangements should be considered on a proportional basis for determining whether fees paid to decision makers and service providers are variable interests. The ASU is effective for periods beginning after December 15, 2019, including interim periods within that fiscal year. The Company does not expect the adoption of this ASU to have a material impact on its condensed consolidated financial statements.</w:t>
      </w:r>
    </w:p>
    <w:p>
      <w:pPr>
        <w:spacing w:after="0" w:line="16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Measurement of Credit Losses on Financial Instruments </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(Topic 326) -Measurement of Credit Losses on Financial Instruments</w:t>
      </w:r>
      <w:r>
        <w:rPr>
          <w:rFonts w:ascii="Times New Roman" w:cs="Times New Roman" w:eastAsia="Times New Roman" w:hAnsi="Times New Roman"/>
          <w:sz w:val="18"/>
          <w:szCs w:val="18"/>
          <w:color w:val="auto"/>
        </w:rPr>
        <w:t>. This ASU amends several aspects of the measurement of credit losses on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instruments, including replacing the existing incurred credit loss model and other models with the Current Expected Credit Losses model (“CECL”). Under CECL, the allowance for losses for financial assets that are measured at amortized cost reflects management’s estimate of credit losses over the remaining expected life of the financial assets. Expected credit losses for newly recognized financial assets, as well as changes to expected credit 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will be generally recognized earlier than under current U.S. GAAP. In June 2019, the FASB issued ASU 2019-05,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 xml:space="preserve">Targeted Transition Relief </w:t>
      </w:r>
      <w:r>
        <w:rPr>
          <w:rFonts w:ascii="Times New Roman" w:cs="Times New Roman" w:eastAsia="Times New Roman" w:hAnsi="Times New Roman"/>
          <w:sz w:val="18"/>
          <w:szCs w:val="18"/>
          <w:color w:val="auto"/>
        </w:rPr>
        <w:t>, which provides entities with an option to irrevocably elect the fair value option on an instrument-by-instrument basis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upon adoption of the new Credit Losses standard. The ASUs are effective for periods beginning after December 15, 2019, including interim periods within that fiscal year.</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currently in the process of identifying and developing the changes to the Company’s existing models and processes that will be required under CECL. As of June 30, 2019, the ASU is expected to impact only those financial instruments that are carried by the Company at amortized cost such as collateralized financing arrangements (repurchase agreements and securities borrowing/ lending transactions) and receivables from customers, broker-dealers and clearing organizations, and therefore the Company expects the ASU to have a limited impact on its financial condition, results of operations and cash flows. However, the ultimate impact of adoption of this ASU on the firm’s financial condition, results of</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operations and cash flows will depend on, among other things, the economic environment and the type of financial assets held by the firm on the date of adoption.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ITG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ITG Closing Date, the Company completed the ITG Acquisition. In connection with the ITG Acquisition, Virtu Financial, VFH Parent LLC, a Delaware limited liability company and a subsidiary of Virtu Financial (“VFH”) and Impala Borrower LLC (the “Acquisition Borrower”), a subsidiary of the Company, entered into a Credit Agreement dated as of March 1, 2019 (the “Credit Agreement”), with the lenders party thereto, Jefferies Finance LLC, as administrative agent and Jefferies Finance LLC and RBC Capital Markets, as joint lead arrangers and joint bookrunners. The Credit Agreement provides (i) a senior secured first lien term loan in an aggregate principal amount of $1.5 billion, drawn in its entirety on the ITG Closing Date, with approximately $404.5 million being borrowed by VFH to repay all amounts outstanding under its existing term loan facility and the remaining approximately $1,095.0 million being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(as amended on January 2, 2018 and September 19, 2018, the “Fourth Amended and Restated Credit Agreement”) with the lenders party thereto and JPMorgan Chase Bank, N.A., as administrative agent, sole lead arranger and bookrunner, was terminated.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 of the ITG Acquisition</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ITG Acquisition has been accounted for as a business combination 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three and six months ended June 30, 2019 comprise the results of the Company for the entire applicable period and the results of ITG from the ITG Closing Date through June 30, 2019. All periods prior to the ITG Closing Date comprise solely the results of the Company.</w:t>
      </w:r>
    </w:p>
    <w:p>
      <w:pPr>
        <w:spacing w:after="0" w:line="185" w:lineRule="exact"/>
        <w:rPr>
          <w:sz w:val="20"/>
          <w:szCs w:val="20"/>
          <w:color w:val="auto"/>
        </w:rPr>
      </w:pPr>
    </w:p>
    <w:p>
      <w:pPr>
        <w:ind w:right="440" w:firstLine="648"/>
        <w:spacing w:after="0" w:line="289" w:lineRule="auto"/>
        <w:rPr>
          <w:sz w:val="20"/>
          <w:szCs w:val="20"/>
          <w:color w:val="auto"/>
        </w:rPr>
      </w:pPr>
      <w:r>
        <w:rPr>
          <w:rFonts w:ascii="Times New Roman" w:cs="Times New Roman" w:eastAsia="Times New Roman" w:hAnsi="Times New Roman"/>
          <w:sz w:val="17"/>
          <w:szCs w:val="17"/>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condensed consolidated statements of comprehensive income for the six months ended June 30,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and goodwill</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aggregate cash purchase price of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has been allocated to the assets acquired and liabilities assumed using their estimated fair values at the ITG Closing Date. The Company has not yet completed its analysis to finalize the allocation of the purchase price to the ITG acquired assets and liabilities. The allocation of the purchase price may be modified over the measurement period, as more information is obtained about the fair values of assets acquired and liabilities assumed. The Company has engaged third party specialists for the purchase price allocation.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amounts in the table below represent the allocation of the purchase price and are subject to revision during the remainder of the measurement period, a period not to exceed twelve months from the ITG Closing Date. Adjustments to the provisional fair values of Other assets and Accounts Payable and accrued expenses and other liabilities were recorded during the three months ended June 30, 2019. Further adjustments during the measurement period will be recorded in the reporting period in which the adjustment amounts are determined. The following table summarizes the estimated fair values of the assets acquired and liabilities assumed at the ITG Closing Date:</w:t>
      </w:r>
    </w:p>
    <w:p>
      <w:pPr>
        <w:spacing w:after="0" w:line="200" w:lineRule="exact"/>
        <w:rPr>
          <w:sz w:val="20"/>
          <w:szCs w:val="20"/>
          <w:color w:val="auto"/>
        </w:rPr>
      </w:pPr>
    </w:p>
    <w:p>
      <w:pPr>
        <w:spacing w:after="0" w:line="207"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5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equivalents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197,072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197,072</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securities segregated under federal regulations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14,232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14,232</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13,182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13,182</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328,112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328,112</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523</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122,697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122,697</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46,408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46,408</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Intangibles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479,600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479,600</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assets</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17,221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17,221</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87,236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87,236</w:t>
            </w:r>
          </w:p>
        </w:tc>
      </w:tr>
      <w:tr>
        <w:trPr>
          <w:trHeight w:val="270"/>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31,653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36,053</w:t>
            </w:r>
          </w:p>
        </w:tc>
      </w:tr>
      <w:tr>
        <w:trPr>
          <w:trHeight w:val="264"/>
        </w:trPr>
        <w:tc>
          <w:tcPr>
            <w:tcW w:w="5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1,337,936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1,342,336</w:t>
            </w:r>
          </w:p>
        </w:tc>
      </w:tr>
      <w:tr>
        <w:trPr>
          <w:trHeight w:val="329"/>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18,651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18,651</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17,663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17,663</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152,043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152,043</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116,419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116,419</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 and accrued expenses and other liabilities</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172,727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180,227</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104,983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104,983</w:t>
            </w:r>
          </w:p>
        </w:tc>
      </w:tr>
      <w:tr>
        <w:trPr>
          <w:trHeight w:val="270"/>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65,888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65,888</w:t>
            </w:r>
          </w:p>
        </w:tc>
      </w:tr>
      <w:tr>
        <w:trPr>
          <w:trHeight w:val="264"/>
        </w:trPr>
        <w:tc>
          <w:tcPr>
            <w:tcW w:w="5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648,385</w:t>
            </w: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655,885</w:t>
            </w:r>
          </w:p>
        </w:tc>
      </w:tr>
      <w:tr>
        <w:trPr>
          <w:trHeight w:val="329"/>
        </w:trPr>
        <w:tc>
          <w:tcPr>
            <w:tcW w:w="55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r>
      <w:tr>
        <w:trPr>
          <w:trHeight w:val="259"/>
        </w:trPr>
        <w:tc>
          <w:tcPr>
            <w:tcW w:w="5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identified assets acquired, net of assumed liabilities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689,551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686,451</w:t>
            </w:r>
          </w:p>
        </w:tc>
      </w:tr>
      <w:tr>
        <w:trPr>
          <w:trHeight w:val="329"/>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5"/>
        </w:trPr>
        <w:tc>
          <w:tcPr>
            <w:tcW w:w="5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357,334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360,434</w:t>
            </w:r>
          </w:p>
        </w:tc>
      </w:tr>
      <w:tr>
        <w:trPr>
          <w:trHeight w:val="329"/>
        </w:trPr>
        <w:tc>
          <w:tcPr>
            <w:tcW w:w="55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r>
      <w:tr>
        <w:trPr>
          <w:trHeight w:val="264"/>
        </w:trPr>
        <w:tc>
          <w:tcPr>
            <w:tcW w:w="5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Purchase Price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1,046,885</w:t>
            </w:r>
          </w:p>
        </w:tc>
        <w:tc>
          <w:tcPr>
            <w:tcW w:w="10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1,046,885</w:t>
            </w: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preliminarily allocated to intangible assets, the amortization period and goodwill were as follows:</w:t>
      </w:r>
    </w:p>
    <w:p>
      <w:pPr>
        <w:spacing w:after="0" w:line="368"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3"/>
                <w:szCs w:val="13"/>
                <w:color w:val="auto"/>
              </w:rPr>
            </w:pPr>
          </w:p>
        </w:tc>
        <w:tc>
          <w:tcPr>
            <w:tcW w:w="13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6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55"/>
        </w:trPr>
        <w:tc>
          <w:tcPr>
            <w:tcW w:w="2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Technology</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93,000</w:t>
            </w:r>
          </w:p>
        </w:tc>
        <w:tc>
          <w:tcPr>
            <w:tcW w:w="178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265"/>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Customer relationships</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383,000</w:t>
            </w:r>
          </w:p>
        </w:tc>
        <w:tc>
          <w:tcPr>
            <w:tcW w:w="1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Trade names</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78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250"/>
        </w:trPr>
        <w:tc>
          <w:tcPr>
            <w:tcW w:w="2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479,600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360,434</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840,034</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total Goodwill of $360.4 million has been assigned to the Execution Services segment. Such goodwill is attributable to the expansion of product offerings and expected synergies of the combined workforce, products and technologies of the Company and ITG.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 of Equity Compensation Plan</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with the Securities and Exchange Commission a Registration Statement on Form S-8 on the ITG Closing Date to register such shares of Class A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treatment of the ITG Acquisition</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the ITG Acquisition will be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17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deferred tax assets of $17.2 million and deferred tax liabilities of $65.9 million with respect to recording ITG’s assets and liabilities under the purchase method of accounting as described above as well as recording the value of other tax attributes acquired as a result of the ITG Acquisition, as described in Note 14 “Income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Included in the Company’s results for the three and six months ended June 30, 2019 are results from the business acquired as a result of the ITG Acquisition, from the ITG Closing Date through June 30, 2019 as follows:</w:t>
      </w:r>
    </w:p>
    <w:p>
      <w:pPr>
        <w:spacing w:after="0" w:line="15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7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55"/>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106,160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142,061</w:t>
            </w:r>
          </w:p>
        </w:tc>
        <w:tc>
          <w:tcPr>
            <w:tcW w:w="0" w:type="dxa"/>
            <w:vAlign w:val="bottom"/>
          </w:tcPr>
          <w:p>
            <w:pPr>
              <w:spacing w:after="0"/>
              <w:rPr>
                <w:sz w:val="1"/>
                <w:szCs w:val="1"/>
                <w:color w:val="auto"/>
              </w:rPr>
            </w:pPr>
          </w:p>
        </w:tc>
      </w:tr>
      <w:tr>
        <w:trPr>
          <w:trHeight w:val="26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information in the table below summarizes the combined pro forma results of operations of the Company and ITG, based on adding the pre-tax historical results of ITG and the Company, and adjusting primarily for amortization of intangibles created in the ITG Acquisition, debt raised in conjunction with the ITG Acquisition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nonrecurring costs associated with the ITG Acquisition, which comprise advisory and other professional fees incurred by the Company and ITG of $15.1 million and $18.2 million, respectively. The pro forma data assumes all of ITG’s issued and outstanding shares of common stock, par value $0.01 per share, were cancelled and extinguished and converted into the right to receive $30.30 in cash, without interest, less any applicable withholding taxes on January 1, 2018 and does not include adjustments to reflect the Company's operating costs or expected differences in the way funds generated by the Company are invested.</w:t>
      </w:r>
    </w:p>
    <w:p>
      <w:pPr>
        <w:spacing w:after="0" w:line="18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This pro forma financial information is based on estimates and assumptions that have been made solely for purposes of developing such pro forma information, including, without limitation, preliminary purchase accounting adjustments. The pro forma financial information does not reflect any synergies or operating cost reductions that may be achieved from the combined operations. The pro forma financial information combines the historical results for the Company and ITG for the three and six months ended June 30, 2019 and 2018:</w:t>
      </w:r>
    </w:p>
    <w:p>
      <w:pPr>
        <w:spacing w:after="0" w:line="200" w:lineRule="exact"/>
        <w:rPr>
          <w:sz w:val="20"/>
          <w:szCs w:val="20"/>
          <w:color w:val="auto"/>
        </w:rPr>
      </w:pP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6"/>
                <w:szCs w:val="16"/>
                <w:color w:val="auto"/>
              </w:rPr>
            </w:pPr>
          </w:p>
        </w:tc>
        <w:tc>
          <w:tcPr>
            <w:tcW w:w="23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7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378,456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456,584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816,706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1,403,140</w:t>
            </w:r>
          </w:p>
        </w:tc>
      </w:tr>
      <w:tr>
        <w:trPr>
          <w:trHeight w:val="324"/>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11,851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(70,890)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380,844</w:t>
            </w:r>
          </w:p>
        </w:tc>
      </w:tr>
      <w:tr>
        <w:trPr>
          <w:trHeight w:val="324"/>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12,021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166,768</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BondPoint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October 2017, the Company entered into an Asset Purchase Agreement with Intercontinental Exchange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January 2, 2018, the Company completed the sale of BondPoint to ICE for total gross proceeds of $400.2 million in cash. The Company incurred one-time transaction costs of $8.5 million, which included professional fees of $7.1 million related to the sale and $1.4 million of compensation expense, which is recorded in Transaction advisory fees and expenses and Employee compensation and payroll taxes, respectively, on the condensed consolidated statement of comprehensive income. The Company recognized a gain on sale of $337.6 million, which is recorded in Other, net on the condensed consolidated statement of comprehensive income for the six months ended June 30, 2018.</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carrying value of BondPoint and gain on sale of BondPoint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2100" w:type="dxa"/>
        <w:tblCellMar>
          <w:top w:w="0" w:type="dxa"/>
          <w:left w:w="0" w:type="dxa"/>
          <w:bottom w:w="0" w:type="dxa"/>
          <w:right w:w="0" w:type="dxa"/>
        </w:tblCellMar>
      </w:tblPr>
      <w:tr>
        <w:trPr>
          <w:trHeight w:val="21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sale proceeds received</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400,192</w:t>
            </w:r>
          </w:p>
        </w:tc>
      </w:tr>
      <w:tr>
        <w:trPr>
          <w:trHeight w:val="23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Business assets and liabilities held for sale as of December 31, 2017:</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Receivables from broker dealers and clearing organizations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r>
      <w:tr>
        <w:trPr>
          <w:trHeight w:val="237"/>
        </w:trPr>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Intangibles and other assets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51,687</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1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carrying value of BondPoint as of December 31, 2017:</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54,342</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adjustment allocated to BondPoint</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1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sale of BondPoint</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337,550</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 costs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w:t>
            </w:r>
          </w:p>
        </w:tc>
      </w:tr>
      <w:tr>
        <w:trPr>
          <w:trHeight w:val="244"/>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sale of BondPoint, net of transaction costs</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328,982</w:t>
            </w: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contains a reconciliation of net income (loss) before noncontrolling interest to net income (loss) available for common stockholders: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(66,579)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49,622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518,160</w:t>
            </w:r>
          </w:p>
        </w:tc>
      </w:tr>
      <w:tr>
        <w:trPr>
          <w:trHeight w:val="265"/>
        </w:trPr>
        <w:tc>
          <w:tcPr>
            <w:tcW w:w="60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(11,094)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61,515</w:t>
            </w:r>
          </w:p>
        </w:tc>
      </w:tr>
      <w:tr>
        <w:trPr>
          <w:trHeight w:val="255"/>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(55,485)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46,622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456,645</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(256,684)</w:t>
            </w:r>
          </w:p>
        </w:tc>
      </w:tr>
      <w:tr>
        <w:trPr>
          <w:trHeight w:val="284"/>
        </w:trPr>
        <w:tc>
          <w:tcPr>
            <w:tcW w:w="5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25,209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199,961</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4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5"/>
        </w:trPr>
        <w:tc>
          <w:tcPr>
            <w:tcW w:w="5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12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(29,891)</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25,209</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(36,564)</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199,961</w:t>
            </w:r>
          </w:p>
        </w:tc>
        <w:tc>
          <w:tcPr>
            <w:tcW w:w="0" w:type="dxa"/>
            <w:vAlign w:val="bottom"/>
          </w:tcPr>
          <w:p>
            <w:pPr>
              <w:spacing w:after="0"/>
              <w:rPr>
                <w:sz w:val="1"/>
                <w:szCs w:val="1"/>
                <w:color w:val="auto"/>
              </w:rPr>
            </w:pPr>
          </w:p>
        </w:tc>
      </w:tr>
      <w:tr>
        <w:trPr>
          <w:trHeight w:val="275"/>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0" w:type="dxa"/>
            <w:vAlign w:val="bottom"/>
          </w:tcPr>
          <w:p>
            <w:pPr>
              <w:spacing w:after="0"/>
              <w:rPr>
                <w:sz w:val="1"/>
                <w:szCs w:val="1"/>
                <w:color w:val="auto"/>
              </w:rPr>
            </w:pPr>
          </w:p>
        </w:tc>
      </w:tr>
      <w:tr>
        <w:trPr>
          <w:trHeight w:val="133"/>
        </w:trPr>
        <w:tc>
          <w:tcPr>
            <w:tcW w:w="60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Net income (loss) available for common stockholders, net of dividends and undistributed earnings</w:t>
            </w:r>
          </w:p>
        </w:tc>
        <w:tc>
          <w:tcPr>
            <w:tcW w:w="240" w:type="dxa"/>
            <w:vAlign w:val="bottom"/>
          </w:tcPr>
          <w:p>
            <w:pPr>
              <w:spacing w:after="0"/>
              <w:rPr>
                <w:sz w:val="11"/>
                <w:szCs w:val="11"/>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(30,357)</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24,766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(37,471)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196,350</w:t>
            </w:r>
          </w:p>
        </w:tc>
        <w:tc>
          <w:tcPr>
            <w:tcW w:w="0" w:type="dxa"/>
            <w:vAlign w:val="bottom"/>
          </w:tcPr>
          <w:p>
            <w:pPr>
              <w:spacing w:after="0"/>
              <w:rPr>
                <w:sz w:val="1"/>
                <w:szCs w:val="1"/>
                <w:color w:val="auto"/>
              </w:rPr>
            </w:pPr>
          </w:p>
        </w:tc>
      </w:tr>
      <w:tr>
        <w:trPr>
          <w:trHeight w:val="19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allocated to participating securities</w:t>
            </w: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112,828,240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99,542,659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110,076,375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95,124,675</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4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5"/>
        </w:trPr>
        <w:tc>
          <w:tcPr>
            <w:tcW w:w="5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12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6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60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Net income (loss) available for common stockholders, net of dividends and undistributed earnings</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(30,357)</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24,766</w:t>
            </w:r>
          </w:p>
        </w:tc>
        <w:tc>
          <w:tcPr>
            <w:tcW w:w="10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(37,471)</w:t>
            </w:r>
          </w:p>
        </w:tc>
        <w:tc>
          <w:tcPr>
            <w:tcW w:w="12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196,350</w:t>
            </w:r>
          </w:p>
        </w:tc>
        <w:tc>
          <w:tcPr>
            <w:tcW w:w="0" w:type="dxa"/>
            <w:vAlign w:val="bottom"/>
          </w:tcPr>
          <w:p>
            <w:pPr>
              <w:spacing w:after="0"/>
              <w:rPr>
                <w:sz w:val="1"/>
                <w:szCs w:val="1"/>
                <w:color w:val="auto"/>
              </w:rPr>
            </w:pPr>
          </w:p>
        </w:tc>
      </w:tr>
      <w:tr>
        <w:trPr>
          <w:trHeight w:val="193"/>
        </w:trPr>
        <w:tc>
          <w:tcPr>
            <w:tcW w:w="6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allocated to participating securities</w:t>
            </w:r>
          </w:p>
        </w:tc>
        <w:tc>
          <w:tcPr>
            <w:tcW w:w="2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4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Issued and outstanding</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112,828,240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99,542,659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110,076,375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95,124,675</w:t>
            </w:r>
          </w:p>
        </w:tc>
        <w:tc>
          <w:tcPr>
            <w:tcW w:w="0" w:type="dxa"/>
            <w:vAlign w:val="bottom"/>
          </w:tcPr>
          <w:p>
            <w:pPr>
              <w:spacing w:after="0"/>
              <w:rPr>
                <w:sz w:val="1"/>
                <w:szCs w:val="1"/>
                <w:color w:val="auto"/>
              </w:rPr>
            </w:pPr>
          </w:p>
        </w:tc>
      </w:tr>
      <w:tr>
        <w:trPr>
          <w:trHeight w:val="270"/>
        </w:trPr>
        <w:tc>
          <w:tcPr>
            <w:tcW w:w="6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Issuable pursuant to Amended and Restated 2015 Management Incentive Plan (1)</w:t>
            </w: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2,076,992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2,030,429</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112,828,240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101,619,651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110,076,375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97,155,104</w:t>
            </w:r>
          </w:p>
        </w:tc>
        <w:tc>
          <w:tcPr>
            <w:tcW w:w="0" w:type="dxa"/>
            <w:vAlign w:val="bottom"/>
          </w:tcPr>
          <w:p>
            <w:pPr>
              <w:spacing w:after="0"/>
              <w:rPr>
                <w:sz w:val="1"/>
                <w:szCs w:val="1"/>
                <w:color w:val="auto"/>
              </w:rPr>
            </w:pPr>
          </w:p>
        </w:tc>
      </w:tr>
      <w:tr>
        <w:trPr>
          <w:trHeight w:val="275"/>
        </w:trPr>
        <w:tc>
          <w:tcPr>
            <w:tcW w:w="34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(0.27)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48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40" w:hanging="332"/>
        <w:spacing w:after="0" w:line="26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dilutive impact excludes from the computation of earnings (loss) per share for the three and six months ended June 30, 2019, respectively, 669,064 and 746,392 unexercised stock options and 299,288 and 262,785 restricted stock units issuable pursuant to Amended and Restated Investment Technology Group, Inc. 2007 Omnibus Equity Compensation Plan because the inclusion of the options and restricted stock units would have been anti-dilutive.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Tax Receivable Agreements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IPO and the Reorganization Transactions, the Company entered into tax receivable agreements to make payments to certain pre-IPO equityholders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and payments made under the tax receivable agreements. Payments will occur only after the filing of the U.S. federal and state income tax returns</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and realization of the cash tax savings from the favorable tax attributes. The Company made its first payment of $7.0 million in February 2017 and its second payment of $12.4 million in September 2018.</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of (i) the purchase of equity interests in Virtu Financial from certain Virtu Members in connection with the Reorganization Transactions,</w:t>
      </w:r>
    </w:p>
    <w:p>
      <w:pPr>
        <w:spacing w:after="0" w:line="27" w:lineRule="exact"/>
        <w:rPr>
          <w:sz w:val="20"/>
          <w:szCs w:val="20"/>
          <w:color w:val="auto"/>
        </w:rPr>
      </w:pPr>
    </w:p>
    <w:p>
      <w:pPr>
        <w:ind w:firstLine="8"/>
        <w:spacing w:after="0" w:line="251"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$2.6 million to $19.9 million per year over the next 15 years.</w:t>
      </w:r>
    </w:p>
    <w:p>
      <w:pPr>
        <w:spacing w:after="0" w:line="1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employee exchanges and May 2018 Secondary Offering between the Company and TJMT Holdings LLC and the other selling stockholders, both as described in Note 18 “Capital Structure”, the Company recorded an additional deferred tax asset of $78.7 million and payment liability pursuant to the tax receivable agreements of $79.7 million, with the $1.0 million difference recorded as a decrease to additional paid-in capital.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May 2019 Secondary Offering, as described in Note 18 “Capital Structure”, the Company recorded an additional deferred tax asset of $41.7 million and payment liability pursuant to the tax receivable agreements of $42.3 million, with the $0.6 million difference recorded as a decrease to additional paid-in capital.</w:t>
      </w:r>
    </w:p>
    <w:p>
      <w:pPr>
        <w:spacing w:after="0" w:line="176"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reduction in the U.S. corporate income tax rate as described below, the aforementioned deferred tax asset and related payment liability were subsequently reduced as described below. The amounts recorded as of June 30, 2019 are based on best estimates available at the respective dates and may be subject to change after the filing of the Company’s U.S. federal and state income tax returns for the years in which tax savings were realized.</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At December 31, 2017, the Company recorded a reduction of its tax receivable agreement obligation of $86.6 million due to the change in the corporate income tax rate. At June 30, 2019 and December 31, 2018, the Company’s remaining deferred tax assets that relate to the matters described above were approximately $200.4 million and $167.1 million, respectively, and the Company’s liabilities over the next 15 years pursuant to the tax receivable agreements were approximately $256.7 million and $214.4 million, respectively.</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operating segments: (i) Market Making; (ii) Execution Services; and one non-operating segment: Corporate. As of June 30, 2019 and December 31, 2018, the Company’s total amount of goodwill recorded was $1,196.5 million and $836.6 million, respectively. The Company recognized $360.4 million of goodwill in connection with the ITG Acquisition, which was recorded in the Execution Services segment. No goodwill impairment was recognized during the three and six months ended June 30, 2019 and 2018.</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goodwill by segment: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180" w:type="dxa"/>
            <w:vAlign w:val="bottom"/>
          </w:tcPr>
          <w:p>
            <w:pPr>
              <w:spacing w:after="0"/>
              <w:rPr>
                <w:sz w:val="13"/>
                <w:szCs w:val="13"/>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81,291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836,583</w:t>
            </w:r>
          </w:p>
        </w:tc>
        <w:tc>
          <w:tcPr>
            <w:tcW w:w="0" w:type="dxa"/>
            <w:vAlign w:val="bottom"/>
          </w:tcPr>
          <w:p>
            <w:pPr>
              <w:spacing w:after="0"/>
              <w:rPr>
                <w:sz w:val="1"/>
                <w:szCs w:val="1"/>
                <w:color w:val="auto"/>
              </w:rPr>
            </w:pPr>
          </w:p>
        </w:tc>
      </w:tr>
      <w:tr>
        <w:trPr>
          <w:trHeight w:val="265"/>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Goodwill recognized in ITG Acquisition</w:t>
            </w:r>
          </w:p>
        </w:tc>
        <w:tc>
          <w:tcPr>
            <w:tcW w:w="1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360,434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360,434</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24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as of June 30, 2019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441,256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1,196,548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June 30, 2019 and December 31, 2018, the Company's total amount of intangible assets recorded was $532.1 million and $84.0 million, respectively. The Company acquired $479.6 million of intangible assets in connection with the ITG Acquisition. Acquired intangible assets consisted of the following as of June 30, 2019 and December 31, 2018:</w:t>
      </w:r>
    </w:p>
    <w:p>
      <w:pPr>
        <w:spacing w:after="0" w:line="291"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1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1.4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45,990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107,010</w:t>
            </w:r>
          </w:p>
        </w:tc>
        <w:tc>
          <w:tcPr>
            <w:tcW w:w="5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432,000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411,285</w:t>
            </w:r>
          </w:p>
        </w:tc>
        <w:tc>
          <w:tcPr>
            <w:tcW w:w="50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4,264</w:t>
            </w:r>
          </w:p>
        </w:tc>
        <w:tc>
          <w:tcPr>
            <w:tcW w:w="50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712,233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532,061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1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1.4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29,815</w:t>
            </w:r>
          </w:p>
        </w:tc>
        <w:tc>
          <w:tcPr>
            <w:tcW w:w="5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43,095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4,671</w:t>
            </w:r>
          </w:p>
        </w:tc>
        <w:tc>
          <w:tcPr>
            <w:tcW w:w="5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3</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5,838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232,633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148,644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83,989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relating to finite-lived intangible assets was approximately $20.6 million and $6.8 million for the three months ended June 30, 2019 and 2018, respectively, and $31.5 million and $13.7 million for the six months ended June 30, 2019 and 2018, respectively. This is included in Amortization of purchased intangibles and acquired capitalized software in the accompanying condensed consolidated statements of comprehensive income.</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121" w:right="29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Receivables from/Payables to Broker-Dealers and Clearing Organizations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receivables from and payables to brokers-dealers and clearing organizations at June 30, 2019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00" w:lineRule="exact"/>
        <w:rPr>
          <w:sz w:val="20"/>
          <w:szCs w:val="20"/>
          <w:color w:val="auto"/>
        </w:rPr>
      </w:pP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from prime brokers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250,936</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302,152</w:t>
            </w:r>
          </w:p>
        </w:tc>
      </w:tr>
      <w:tr>
        <w:trPr>
          <w:trHeight w:val="27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224,049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84,509</w:t>
            </w: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30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254,237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294,884</w:t>
            </w:r>
          </w:p>
        </w:tc>
      </w:tr>
      <w:tr>
        <w:trPr>
          <w:trHeight w:val="27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321,210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193,544</w:t>
            </w: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30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229,086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218,663</w:t>
            </w:r>
          </w:p>
        </w:tc>
      </w:tr>
      <w:tr>
        <w:trPr>
          <w:trHeight w:val="27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7,697</w:t>
            </w:r>
          </w:p>
        </w:tc>
      </w:tr>
      <w:tr>
        <w:trPr>
          <w:trHeight w:val="282"/>
        </w:trPr>
        <w:tc>
          <w:tcPr>
            <w:tcW w:w="71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1,287,091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1,101,449</w:t>
            </w:r>
          </w:p>
        </w:tc>
      </w:tr>
      <w:tr>
        <w:trPr>
          <w:trHeight w:val="251"/>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to prime brokers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339,899</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354,300</w:t>
            </w:r>
          </w:p>
        </w:tc>
      </w:tr>
      <w:tr>
        <w:trPr>
          <w:trHeight w:val="27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47,998</w:t>
            </w: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w:t>
            </w:r>
          </w:p>
        </w:tc>
        <w:tc>
          <w:tcPr>
            <w:tcW w:w="30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148,949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90,021</w:t>
            </w:r>
          </w:p>
        </w:tc>
      </w:tr>
      <w:tr>
        <w:trPr>
          <w:trHeight w:val="27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133,946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73,547</w:t>
            </w:r>
          </w:p>
        </w:tc>
      </w:tr>
      <w:tr>
        <w:trPr>
          <w:trHeight w:val="265"/>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1,575</w:t>
            </w:r>
          </w:p>
        </w:tc>
      </w:tr>
      <w:tr>
        <w:trPr>
          <w:trHeight w:val="242"/>
        </w:trPr>
        <w:tc>
          <w:tcPr>
            <w:tcW w:w="71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668,545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567,441</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Included as a deduction from “Due from prime brokers” and “Net equity with futures commission merchants” is the outstanding principal balance on all of the Company’s short-term credit facilities (described in Note 10 “Borrowings”) of approximately $156.9 million and $184.6 million as of June 30, 2019 and December 31, 2018,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Collateralized Transactions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June 30, 2019 and December 31, 2018, substantially all of the securities received as collateral have been repledged. The fair value of the collateralized transactions at June 30, 2019 and December 31, 2018 are summarized as follows:</w:t>
      </w:r>
    </w:p>
    <w:p>
      <w:pPr>
        <w:spacing w:after="0" w:line="187"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Securities borrowed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1,173,186</w:t>
            </w:r>
          </w:p>
        </w:tc>
        <w:tc>
          <w:tcPr>
            <w:tcW w:w="1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1,361,635</w:t>
            </w:r>
          </w:p>
        </w:tc>
      </w:tr>
      <w:tr>
        <w:trPr>
          <w:trHeight w:val="270"/>
        </w:trPr>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1,196,160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1,377,110</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pledges qualified securities with clearing organizations to satisfy daily margin and clearing fund requirements.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owned and pledged, where the counterparty has the right to repledge, at June 30, 2019 and December 31, 2018 consisted of the following:</w:t>
      </w:r>
    </w:p>
    <w:p>
      <w:pPr>
        <w:spacing w:after="0" w:line="169"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5"/>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618,707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748,846</w:t>
            </w:r>
          </w:p>
        </w:tc>
      </w:tr>
      <w:tr>
        <w:trPr>
          <w:trHeight w:val="265"/>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 traded notes</w:t>
            </w: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51,294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42,269</w:t>
            </w:r>
          </w:p>
        </w:tc>
      </w:tr>
      <w:tr>
        <w:trPr>
          <w:trHeight w:val="237"/>
        </w:trPr>
        <w:tc>
          <w:tcPr>
            <w:tcW w:w="7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670,001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791,115</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Broker-Dealer Credit Facilities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$200 million and is collateralized by the trading and deposit account of one of the Company’s broker-dealer subsidiaries maintained at the financial institution.</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November 3, 2017, the Company entered into the second credit facility (the “Committed Facility”) with the same financial institution for an aggregate borrowing limit of $500 million. The Committed Facility was subsequently amended and restated March 1, 2019 to increase the borrowing limit to $600 million and to enable a broker-dealer subsidiary of ITG as a borrower thereunder. The Committed Facility consists of two borrowing bases: Borrowing Base A Loan is to be used to finance the purchase and settlement of securities; Borrowing Base B Loan is to be used to fund margin deposit with the National Securities Clearing Corporation. Each of the three broker-dealers has a sublimit under Borrowing Base A Loan, from $400 million to $600 million, which bears interest at the adjusted LIBOR or base rate plus 1.25% per annum. Each of the three broker-dealers has a sublimit under Borrowing Base B Loan, from $40 million to $150 million, which bears interest at the adjusted LIBOR or base rate plus 2.50% per annum. A commitment fee of 0.50% per annum on the average daily unused portion of this facility is payable quarterly in arrears.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Company’s broker-dealer credit facilities' carrying values, net of unamortized debt issuance costs, where applicable: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18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5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Uncommitted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18,523</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Committed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72,000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69,207</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800,000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92,000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87,730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18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5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Uncommitted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9,168</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Committed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5,960</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700,000</w:t>
            </w:r>
          </w:p>
        </w:tc>
        <w:tc>
          <w:tcPr>
            <w:tcW w:w="12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17,000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5"/>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Uncommitted facility</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1,030</w:t>
            </w:r>
          </w:p>
        </w:tc>
      </w:tr>
      <w:tr>
        <w:trPr>
          <w:trHeight w:val="270"/>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Committed facility</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r>
      <w:tr>
        <w:trPr>
          <w:trHeight w:val="237"/>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1,182</w:t>
            </w: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Credit Facilities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9"/>
        </w:trPr>
        <w:tc>
          <w:tcPr>
            <w:tcW w:w="4340" w:type="dxa"/>
            <w:vAlign w:val="bottom"/>
          </w:tcPr>
          <w:p>
            <w:pPr>
              <w:spacing w:after="0"/>
              <w:rPr>
                <w:sz w:val="12"/>
                <w:szCs w:val="12"/>
                <w:color w:val="auto"/>
              </w:rPr>
            </w:pPr>
          </w:p>
        </w:tc>
        <w:tc>
          <w:tcPr>
            <w:tcW w:w="2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60" w:type="dxa"/>
            <w:vAlign w:val="bottom"/>
          </w:tcPr>
          <w:p>
            <w:pPr>
              <w:spacing w:after="0"/>
              <w:rPr>
                <w:sz w:val="12"/>
                <w:szCs w:val="12"/>
                <w:color w:val="auto"/>
              </w:rPr>
            </w:pPr>
          </w:p>
        </w:tc>
        <w:tc>
          <w:tcPr>
            <w:tcW w:w="20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2"/>
                <w:szCs w:val="12"/>
                <w:color w:val="auto"/>
              </w:rPr>
            </w:pPr>
          </w:p>
        </w:tc>
        <w:tc>
          <w:tcPr>
            <w:tcW w:w="182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Borrowing</w:t>
            </w:r>
          </w:p>
        </w:tc>
      </w:tr>
      <w:tr>
        <w:trPr>
          <w:trHeight w:val="195"/>
        </w:trPr>
        <w:tc>
          <w:tcPr>
            <w:tcW w:w="4340" w:type="dxa"/>
            <w:vAlign w:val="bottom"/>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360" w:type="dxa"/>
            <w:vAlign w:val="bottom"/>
          </w:tcPr>
          <w:p>
            <w:pPr>
              <w:spacing w:after="0"/>
              <w:rPr>
                <w:sz w:val="16"/>
                <w:szCs w:val="16"/>
                <w:color w:val="auto"/>
              </w:rPr>
            </w:pPr>
          </w:p>
        </w:tc>
        <w:tc>
          <w:tcPr>
            <w:tcW w:w="20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55"/>
        </w:trPr>
        <w:tc>
          <w:tcPr>
            <w:tcW w:w="4340" w:type="dxa"/>
            <w:vAlign w:val="bottom"/>
            <w:tcBorders>
              <w:top w:val="single" w:sz="8" w:color="CCEEFF"/>
            </w:tcBorders>
            <w:shd w:val="clear" w:color="auto" w:fill="CCEEFF"/>
          </w:tcPr>
          <w:p>
            <w:pPr>
              <w:jc w:val="right"/>
              <w:ind w:right="2448"/>
              <w:spacing w:after="0"/>
              <w:rPr>
                <w:sz w:val="20"/>
                <w:szCs w:val="20"/>
                <w:color w:val="auto"/>
              </w:rPr>
            </w:pPr>
            <w:r>
              <w:rPr>
                <w:rFonts w:ascii="Times New Roman" w:cs="Times New Roman" w:eastAsia="Times New Roman" w:hAnsi="Times New Roman"/>
                <w:sz w:val="14"/>
                <w:szCs w:val="14"/>
                <w:b w:val="1"/>
                <w:bCs w:val="1"/>
                <w:color w:val="auto"/>
              </w:rPr>
              <w:t>Short-Term Credit Facilities:</w:t>
            </w:r>
          </w:p>
        </w:tc>
        <w:tc>
          <w:tcPr>
            <w:tcW w:w="2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spacing w:after="0"/>
              <w:rPr>
                <w:sz w:val="22"/>
                <w:szCs w:val="22"/>
                <w:color w:val="auto"/>
              </w:rPr>
            </w:pPr>
          </w:p>
        </w:tc>
      </w:tr>
      <w:tr>
        <w:trPr>
          <w:trHeight w:val="265"/>
        </w:trPr>
        <w:tc>
          <w:tcPr>
            <w:tcW w:w="4340" w:type="dxa"/>
            <w:vAlign w:val="bottom"/>
            <w:tcBorders>
              <w:bottom w:val="single" w:sz="8" w:color="CCEEFF"/>
            </w:tcBorders>
          </w:tcPr>
          <w:p>
            <w:pPr>
              <w:jc w:val="right"/>
              <w:ind w:right="2448"/>
              <w:spacing w:after="0"/>
              <w:rPr>
                <w:sz w:val="20"/>
                <w:szCs w:val="20"/>
                <w:color w:val="auto"/>
              </w:rPr>
            </w:pPr>
            <w:r>
              <w:rPr>
                <w:rFonts w:ascii="Times New Roman" w:cs="Times New Roman" w:eastAsia="Times New Roman" w:hAnsi="Times New Roman"/>
                <w:sz w:val="14"/>
                <w:szCs w:val="14"/>
                <w:color w:val="auto"/>
              </w:rPr>
              <w:t>Short-term credit facilities (1)</w:t>
            </w:r>
          </w:p>
        </w:tc>
        <w:tc>
          <w:tcPr>
            <w:tcW w:w="22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566,000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156,894</w:t>
            </w:r>
          </w:p>
        </w:tc>
      </w:tr>
      <w:tr>
        <w:trPr>
          <w:trHeight w:val="237"/>
        </w:trPr>
        <w:tc>
          <w:tcPr>
            <w:tcW w:w="434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566,000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156,894</w:t>
            </w:r>
          </w:p>
        </w:tc>
      </w:tr>
      <w:tr>
        <w:trPr>
          <w:trHeight w:val="20"/>
        </w:trPr>
        <w:tc>
          <w:tcPr>
            <w:tcW w:w="4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2"/>
                <w:szCs w:val="12"/>
                <w:color w:val="auto"/>
              </w:rPr>
            </w:pPr>
          </w:p>
        </w:tc>
        <w:tc>
          <w:tcPr>
            <w:tcW w:w="2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2"/>
                <w:szCs w:val="12"/>
                <w:color w:val="auto"/>
              </w:rPr>
            </w:pPr>
          </w:p>
        </w:tc>
        <w:tc>
          <w:tcPr>
            <w:tcW w:w="182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Borrowing</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82"/>
        </w:trPr>
        <w:tc>
          <w:tcPr>
            <w:tcW w:w="20" w:type="dxa"/>
            <w:vAlign w:val="bottom"/>
          </w:tcPr>
          <w:p>
            <w:pPr>
              <w:spacing w:after="0"/>
              <w:rPr>
                <w:sz w:val="24"/>
                <w:szCs w:val="24"/>
                <w:color w:val="auto"/>
              </w:rPr>
            </w:pPr>
          </w:p>
        </w:tc>
        <w:tc>
          <w:tcPr>
            <w:tcW w:w="4340" w:type="dxa"/>
            <w:vAlign w:val="bottom"/>
            <w:tcBorders>
              <w:top w:val="single" w:sz="8" w:color="CCEEFF"/>
            </w:tcBorders>
            <w:gridSpan w:val="2"/>
            <w:shd w:val="clear" w:color="auto" w:fill="CCEEFF"/>
          </w:tcPr>
          <w:p>
            <w:pPr>
              <w:jc w:val="right"/>
              <w:ind w:right="2520"/>
              <w:spacing w:after="0"/>
              <w:rPr>
                <w:sz w:val="20"/>
                <w:szCs w:val="20"/>
                <w:color w:val="auto"/>
              </w:rPr>
            </w:pPr>
            <w:r>
              <w:rPr>
                <w:rFonts w:ascii="Times New Roman" w:cs="Times New Roman" w:eastAsia="Times New Roman" w:hAnsi="Times New Roman"/>
                <w:sz w:val="14"/>
                <w:szCs w:val="14"/>
                <w:b w:val="1"/>
                <w:bCs w:val="1"/>
                <w:color w:val="auto"/>
              </w:rPr>
              <w:t>Short-Term Credit Facilities:</w:t>
            </w:r>
          </w:p>
        </w:tc>
        <w:tc>
          <w:tcPr>
            <w:tcW w:w="2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2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820" w:type="dxa"/>
            <w:vAlign w:val="bottom"/>
            <w:tcBorders>
              <w:top w:val="single" w:sz="8" w:color="auto"/>
            </w:tcBorders>
            <w:shd w:val="clear" w:color="auto" w:fill="CCEEFF"/>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4340" w:type="dxa"/>
            <w:vAlign w:val="bottom"/>
            <w:tcBorders>
              <w:bottom w:val="single" w:sz="8" w:color="CCEEFF"/>
            </w:tcBorders>
            <w:gridSpan w:val="2"/>
          </w:tcPr>
          <w:p>
            <w:pPr>
              <w:jc w:val="right"/>
              <w:ind w:right="2520"/>
              <w:spacing w:after="0"/>
              <w:rPr>
                <w:sz w:val="20"/>
                <w:szCs w:val="20"/>
                <w:color w:val="auto"/>
              </w:rPr>
            </w:pPr>
            <w:r>
              <w:rPr>
                <w:rFonts w:ascii="Times New Roman" w:cs="Times New Roman" w:eastAsia="Times New Roman" w:hAnsi="Times New Roman"/>
                <w:sz w:val="14"/>
                <w:szCs w:val="14"/>
                <w:color w:val="auto"/>
              </w:rPr>
              <w:t>Short-term credit facilities (1)</w:t>
            </w:r>
          </w:p>
        </w:tc>
        <w:tc>
          <w:tcPr>
            <w:tcW w:w="22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5.03%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566,000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184,608</w:t>
            </w: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566,000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184,608</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 Payables to broker-dealers and clearing organizations within the condensed consolidated statements of financial condition.</w:t>
      </w:r>
    </w:p>
    <w:p>
      <w:pPr>
        <w:spacing w:after="0" w:line="22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 relation to the facilities was approximately $1.8 million and $1.9 million for the three months ended June 30, 2019 and 2018, respectively, and $3.7 million and $3.4 million for the six months ended June 30,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Bank Loans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international securities clearance and settlement activities are funded with operating cash or with short-term bank loans in the form of overdraft facilities. At June 30, 2019, there was $59.5 million outstanding under these facilities at a weighted average interest rate of approximately 2.7% associated with international settlement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Company’s long-term borrowings, net of unamortized discount and debt issuance costs, where applicable: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3"/>
                <w:szCs w:val="13"/>
                <w:color w:val="auto"/>
              </w:rPr>
            </w:pPr>
          </w:p>
        </w:tc>
        <w:tc>
          <w:tcPr>
            <w:tcW w:w="12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3"/>
                <w:szCs w:val="13"/>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80" w:type="dxa"/>
            <w:vAlign w:val="bottom"/>
          </w:tcPr>
          <w:p>
            <w:pPr>
              <w:spacing w:after="0"/>
              <w:rPr>
                <w:sz w:val="13"/>
                <w:szCs w:val="13"/>
                <w:color w:val="auto"/>
              </w:rPr>
            </w:pPr>
          </w:p>
        </w:tc>
        <w:tc>
          <w:tcPr>
            <w:tcW w:w="1280" w:type="dxa"/>
            <w:vAlign w:val="bottom"/>
          </w:tcPr>
          <w:p>
            <w:pPr>
              <w:jc w:val="right"/>
              <w:ind w:right="268"/>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55"/>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2026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1,450,000</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1,414,607</w:t>
            </w:r>
          </w:p>
        </w:tc>
        <w:tc>
          <w:tcPr>
            <w:tcW w:w="0" w:type="dxa"/>
            <w:vAlign w:val="bottom"/>
          </w:tcPr>
          <w:p>
            <w:pPr>
              <w:spacing w:after="0"/>
              <w:rPr>
                <w:sz w:val="1"/>
                <w:szCs w:val="1"/>
                <w:color w:val="auto"/>
              </w:rPr>
            </w:pPr>
          </w:p>
        </w:tc>
      </w:tr>
      <w:tr>
        <w:trPr>
          <w:trHeight w:val="275"/>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Second Lien Notes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2022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484,764</w:t>
            </w:r>
          </w:p>
        </w:tc>
        <w:tc>
          <w:tcPr>
            <w:tcW w:w="0" w:type="dxa"/>
            <w:vAlign w:val="bottom"/>
          </w:tcPr>
          <w:p>
            <w:pPr>
              <w:spacing w:after="0"/>
              <w:rPr>
                <w:sz w:val="1"/>
                <w:szCs w:val="1"/>
                <w:color w:val="auto"/>
              </w:rPr>
            </w:pPr>
          </w:p>
        </w:tc>
      </w:tr>
      <w:tr>
        <w:trPr>
          <w:trHeight w:val="265"/>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SBI bonds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32,440</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1,982,452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1,931,811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3"/>
                <w:szCs w:val="13"/>
                <w:color w:val="auto"/>
              </w:rPr>
            </w:pPr>
          </w:p>
        </w:tc>
        <w:tc>
          <w:tcPr>
            <w:tcW w:w="12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80" w:type="dxa"/>
            <w:vAlign w:val="bottom"/>
          </w:tcPr>
          <w:p>
            <w:pPr>
              <w:spacing w:after="0"/>
              <w:rPr>
                <w:sz w:val="13"/>
                <w:szCs w:val="13"/>
                <w:color w:val="auto"/>
              </w:rPr>
            </w:pPr>
          </w:p>
        </w:tc>
        <w:tc>
          <w:tcPr>
            <w:tcW w:w="1280" w:type="dxa"/>
            <w:vAlign w:val="bottom"/>
          </w:tcPr>
          <w:p>
            <w:pPr>
              <w:jc w:val="right"/>
              <w:ind w:right="268"/>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82"/>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Fourth Amended and Restated Credit Facility</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392,964</w:t>
            </w:r>
          </w:p>
        </w:tc>
        <w:tc>
          <w:tcPr>
            <w:tcW w:w="0" w:type="dxa"/>
            <w:vAlign w:val="bottom"/>
          </w:tcPr>
          <w:p>
            <w:pPr>
              <w:spacing w:after="0"/>
              <w:rPr>
                <w:sz w:val="1"/>
                <w:szCs w:val="1"/>
                <w:color w:val="auto"/>
              </w:rPr>
            </w:pPr>
          </w:p>
        </w:tc>
      </w:tr>
      <w:tr>
        <w:trPr>
          <w:trHeight w:val="275"/>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Second Lien Notes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2022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482,189</w:t>
            </w:r>
          </w:p>
        </w:tc>
        <w:tc>
          <w:tcPr>
            <w:tcW w:w="0" w:type="dxa"/>
            <w:vAlign w:val="bottom"/>
          </w:tcPr>
          <w:p>
            <w:pPr>
              <w:spacing w:after="0"/>
              <w:rPr>
                <w:sz w:val="1"/>
                <w:szCs w:val="1"/>
                <w:color w:val="auto"/>
              </w:rPr>
            </w:pPr>
          </w:p>
        </w:tc>
      </w:tr>
      <w:tr>
        <w:trPr>
          <w:trHeight w:val="265"/>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SBI bonds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31,884</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931,908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907,037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3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provides (i) a senior secured first lien term loan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 During the three months ended June 30, 2019, $50.0 million was repaid under the First Lien Term Loan Facility. As of June 30, 2019, $1,450 million was outstanding under the First Lien Term Loan Facility.</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term loan borrowings and revolver borrowings under the Credit Agreement will bear interest at a per annum rate equal to, at the Company's election, either (i) the greatest of (a) the prime rate in effect, (b) the greater of (1) the federal funds effective rate and (2) the overnight bank funding rate, in each case plus 0.5%, (c) an adjusted LIBOR rate for a Eurodollar borrowing with an interest period of one month plus 1% and (d) 1.00%, plus, in each case, 2.50%, with a stepdown to 2.25% based on VFH’s first lien leverage ratio, or (ii) the greater of (x) an adjusted LIBOR rate for the interest period in effect and (y) 0%, plus, in each case, 3.50%, with a stepdown to 3.25% based on VFH’s first lien leverage ratio. In addition, a commitment fee accrues at a rate of</w:t>
      </w:r>
    </w:p>
    <w:p>
      <w:pPr>
        <w:spacing w:after="0" w:line="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0.50% per annum on the average daily unused amount of the First Lien Revolving Facility, with stepdowns to 0.375% and 0.25% per annum based on VFH’s first lien leverage ratio, and is payable quarterly in arrears.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First Lien Revolving Facility under the Credit Agreement is subject to a springing net first lien leverage ratio which may spring into effect as of the last day of a fiscal quarter based on the usage of the aggregate revolving commitments as of such date. VFH is also subject to contingent principal prepayments based on excess cash flow and certain other triggering events. Borrowings under the Credit Agreement are guaranteed by Virtu Financial and VFH’s material non-regulated restricted subsidiaries and secured by substantially all of the assets of VFH and the guarantors, in each case, subject to certain exceptions.</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Credit Agreement, term loans will mature on March 1, 2026; provided that unless at least $400 million of VFH’s existing 6.750% second lien notes due 2022 have been repaid or refinanced (the “repayment requirement”) prior to the date that is 91 days prior to the maturity of the second lien notes (the “term springing maturity date”), the term loans will mature on the term springing maturity date. The term loans amortize in annual installments equal to 1.0% of the original aggregate principal amount of the term loans. The revolving commitments will terminate on March 1, 2022; provided that unless the repayment requirement is satisfied on or prior to the date that is 182 days prior to the maturity of the second lien notes (the “revolving springing maturity date”), the revolving commitments will terminate on the revolving springing maturity date.</w:t>
      </w:r>
    </w:p>
    <w:p>
      <w:pPr>
        <w:spacing w:after="0" w:line="18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covenants and certain customary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“Existing Term Loan Facility”). As described above, the Existing Term Loan Facility was fully terminated following its repayment in full with the proceeds of the First Lien Term Loan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Second Lien Notes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 The Notes mature on June 15, 2022.</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July 20, 2017, VFH assumed all of the obligations of the Escrow Issuer under the Indenture and the Notes. The Notes are guaranteed by Virtu Financial and each of Virtu Financial’s wholly-owned domestic restricted subsidiaries that guarantees the Credit Agreement.</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Indenture imposes certain limitations on the Company, and contains certain customary events of default, including, among others, payment defaults related to the failure to pay principal or interest on the Notes, covenant defaults, final maturity default or cross-acceleration with respect to material indebtedness and certain bankruptcy events. The gross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proceeds from the Notes were deposited into a segregated escrow account with an escrow agent. The proceeds were released from escrow as of the KCG Closing Date and were used to finance, in part, the Acquisition of KCG, and to repay certain indebtedness of the Company and KCG.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SBI Bonds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The principal balance was ¥3.5 billion ($32.5 million) as of June 30, 2019 and ¥3.5 billion ($31.9 million) as of December 31, 2018. The Company recorded a gain of $0.9 million and a gain of $1.4 million due to the change in currency rates during the three months ended June 30, 2019 and 2018, respectively, and a gain of $0.5 million and a loss of $0.5 million during the six months ended June 30, 2019 and 2018,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2019, aggregate future required minimum principal payments based on the terms of the long-term borrowings were as follows:</w:t>
      </w:r>
    </w:p>
    <w:p>
      <w:pPr>
        <w:spacing w:after="0" w:line="232" w:lineRule="exact"/>
        <w:rPr>
          <w:sz w:val="20"/>
          <w:szCs w:val="20"/>
          <w:color w:val="auto"/>
        </w:rPr>
      </w:pPr>
    </w:p>
    <w:tbl>
      <w:tblPr>
        <w:tblLayout w:type="fixed"/>
        <w:tblInd w:w="1580" w:type="dxa"/>
        <w:tblCellMar>
          <w:top w:w="0" w:type="dxa"/>
          <w:left w:w="0" w:type="dxa"/>
          <w:bottom w:w="0" w:type="dxa"/>
          <w:right w:w="0" w:type="dxa"/>
        </w:tblCellMar>
      </w:tblPr>
      <w:tr>
        <w:trPr>
          <w:trHeight w:val="19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6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55"/>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47,452</w:t>
            </w:r>
          </w:p>
        </w:tc>
      </w:tr>
      <w:tr>
        <w:trPr>
          <w:trHeight w:val="27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15,000</w:t>
            </w:r>
          </w:p>
        </w:tc>
      </w:tr>
      <w:tr>
        <w:trPr>
          <w:trHeight w:val="26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515,000</w:t>
            </w:r>
          </w:p>
        </w:tc>
      </w:tr>
      <w:tr>
        <w:trPr>
          <w:trHeight w:val="27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 and thereafter</w:t>
            </w:r>
          </w:p>
        </w:tc>
        <w:tc>
          <w:tcPr>
            <w:tcW w:w="3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1,405,000</w:t>
            </w:r>
          </w:p>
        </w:tc>
      </w:tr>
      <w:tr>
        <w:trPr>
          <w:trHeight w:val="242"/>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1,982,452</w:t>
            </w: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w:t>
      </w:r>
    </w:p>
    <w:p>
      <w:pPr>
        <w:spacing w:after="0" w:line="227"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levels during the three and six months ended June 30, 2019 and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measurements for those items measured on a recurring basis are summarized below as of June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864,371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1,338,106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2,202,477</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68,114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82,830</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104,667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104,667</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18,512</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2,407,155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(2,384,305)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22,850</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3,665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3,665</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936,334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3,882,972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(2,384,305)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2,435,001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308,315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310,392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618,707</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51,283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51,294</w:t>
            </w:r>
          </w:p>
        </w:tc>
        <w:tc>
          <w:tcPr>
            <w:tcW w:w="0" w:type="dxa"/>
            <w:vAlign w:val="bottom"/>
          </w:tcPr>
          <w:p>
            <w:pPr>
              <w:spacing w:after="0"/>
              <w:rPr>
                <w:sz w:val="1"/>
                <w:szCs w:val="1"/>
                <w:color w:val="auto"/>
              </w:rPr>
            </w:pPr>
          </w:p>
        </w:tc>
      </w:tr>
      <w:tr>
        <w:trPr>
          <w:trHeight w:val="27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308,326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361,675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670,001</w:t>
            </w:r>
          </w:p>
        </w:tc>
        <w:tc>
          <w:tcPr>
            <w:tcW w:w="0" w:type="dxa"/>
            <w:vAlign w:val="bottom"/>
          </w:tcPr>
          <w:p>
            <w:pPr>
              <w:spacing w:after="0"/>
              <w:rPr>
                <w:sz w:val="1"/>
                <w:szCs w:val="1"/>
                <w:color w:val="auto"/>
              </w:rPr>
            </w:pPr>
          </w:p>
        </w:tc>
      </w:tr>
      <w:tr>
        <w:trPr>
          <w:trHeight w:val="256"/>
        </w:trPr>
        <w:tc>
          <w:tcPr>
            <w:tcW w:w="42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investment</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46,351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46,351</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Exchange stock</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2,848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2,848</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46,351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49,199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1,307,307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1,150,367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2,457,674</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52,658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55,563</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170,432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170,432</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17,911</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2,402,231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(2,390,972)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11,259</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3,579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1,363,648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3,743,742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(2,390,972)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2,716,418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measurements for those items measured on a recurring basis are summarized below as of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2"/>
                <w:szCs w:val="12"/>
                <w:color w:val="auto"/>
              </w:rPr>
            </w:pP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587,680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1,022,221</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1,609,901</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106,013</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87,500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87,500</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31,362</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2,792,373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11,899</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694,441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3,944,607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1,848,806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389,810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359,036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748,846</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42,269</w:t>
            </w:r>
          </w:p>
        </w:tc>
        <w:tc>
          <w:tcPr>
            <w:tcW w:w="0" w:type="dxa"/>
            <w:vAlign w:val="bottom"/>
          </w:tcPr>
          <w:p>
            <w:pPr>
              <w:spacing w:after="0"/>
              <w:rPr>
                <w:sz w:val="1"/>
                <w:szCs w:val="1"/>
                <w:color w:val="auto"/>
              </w:rPr>
            </w:pPr>
          </w:p>
        </w:tc>
      </w:tr>
      <w:tr>
        <w:trPr>
          <w:trHeight w:val="27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396,778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394,337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791,115</w:t>
            </w:r>
          </w:p>
        </w:tc>
        <w:tc>
          <w:tcPr>
            <w:tcW w:w="0" w:type="dxa"/>
            <w:vAlign w:val="bottom"/>
          </w:tcPr>
          <w:p>
            <w:pPr>
              <w:spacing w:after="0"/>
              <w:rPr>
                <w:sz w:val="1"/>
                <w:szCs w:val="1"/>
                <w:color w:val="auto"/>
              </w:rPr>
            </w:pPr>
          </w:p>
        </w:tc>
      </w:tr>
      <w:tr>
        <w:trPr>
          <w:trHeight w:val="256"/>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Equity investment</w:t>
            </w:r>
          </w:p>
        </w:tc>
        <w:tc>
          <w:tcPr>
            <w:tcW w:w="1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45,856</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 stock</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27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48,273</w:t>
            </w:r>
          </w:p>
        </w:tc>
        <w:tc>
          <w:tcPr>
            <w:tcW w:w="0" w:type="dxa"/>
            <w:vAlign w:val="bottom"/>
          </w:tcPr>
          <w:p>
            <w:pPr>
              <w:spacing w:after="0"/>
              <w:rPr>
                <w:sz w:val="1"/>
                <w:szCs w:val="1"/>
                <w:color w:val="auto"/>
              </w:rPr>
            </w:pPr>
          </w:p>
        </w:tc>
      </w:tr>
      <w:tr>
        <w:trPr>
          <w:trHeight w:val="256"/>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931,992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1,336,338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2,268,330</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112,058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115,112</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40,123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40,123</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39,984</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2,720,749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(2,719,954)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11,051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11,051</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1,055,472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4,139,877</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(2,719,954)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2,475,395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SBI Investment</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has a minority investment (the “SBI Investment”) in SBI Japannext Co., Ltd. (“SBI”), a proprietary trading system based in Tokyo. In connection with the SBI Investment, the Company issued the SBI Bonds (as described in Note 10 “Borrowings”) and used the proceeds to partially finance the transaction. As of June 30, 2019, the fair value of the SBI Investment was determined using the discounted cash flow method, an income approach, with the discount rate of 15.0% applied to the cash flow forecasts. The Company also used a market approach based on 12.6x average price/earnings multiples of comparable companies to corroborate the income approach. The fair value of the SBI Investment at June 30, 2019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 measurement. Changes in the fair value of the SBI Investment are reflected in Other, net in the condensed consolidated statements of comprehensive income.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240" w:top="121" w:right="3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financial assets and liabilities not carried at fair value on a recurring basis as of June 30, 2019:</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74"/>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3"/>
                <w:szCs w:val="23"/>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3"/>
                <w:szCs w:val="2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3"/>
                <w:szCs w:val="23"/>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5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458,064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458,064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458,064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39,497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borrowed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1,201,327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1,201,327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1,201,327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1,287,091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1,287,091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39,394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1,247,697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3,008,953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3,008,953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536,955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2,471,998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borrowings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146,847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146,847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146,847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Long-term borrowings</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1,931,811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2,003,866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2,003,866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loaned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778,351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778,351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778,351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295,803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295,803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295,803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668,545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668,545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15,876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652,669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3,821,357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3,893,412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15,876</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3,877,536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financial assets and liabilities not carried at fair value on a recurring basis as of December 31, 2018:</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75"/>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3"/>
                <w:szCs w:val="23"/>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3"/>
                <w:szCs w:val="2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3"/>
                <w:szCs w:val="23"/>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5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736,047</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736,047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736,047</w:t>
            </w:r>
          </w:p>
        </w:tc>
        <w:tc>
          <w:tcPr>
            <w:tcW w:w="10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borrowed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1,399,684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1,399,684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1,399,684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1,101,449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1,101,449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71,288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1,030,161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3,252,655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3,252,655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807,335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2,445,320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1"/>
        </w:trPr>
        <w:tc>
          <w:tcPr>
            <w:tcW w:w="4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borrowings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Long-term borrowings</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907,037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916,465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916,465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loaned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Payables to broker dealer and clearing organizations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567,441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567,441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566,410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2,901,506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2,910,934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2,909,903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the changes in Level 3 financial instruments measured at fair value on a recurring basis:</w:t>
      </w:r>
    </w:p>
    <w:p>
      <w:pPr>
        <w:spacing w:after="0" w:line="200" w:lineRule="exact"/>
        <w:rPr>
          <w:sz w:val="20"/>
          <w:szCs w:val="20"/>
          <w:color w:val="auto"/>
        </w:rPr>
      </w:pP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vMerge w:val="restart"/>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held at June 30,</w:t>
            </w:r>
          </w:p>
        </w:tc>
        <w:tc>
          <w:tcPr>
            <w:tcW w:w="0" w:type="dxa"/>
            <w:vAlign w:val="bottom"/>
          </w:tcPr>
          <w:p>
            <w:pPr>
              <w:spacing w:after="0"/>
              <w:rPr>
                <w:sz w:val="1"/>
                <w:szCs w:val="1"/>
                <w:color w:val="auto"/>
              </w:rPr>
            </w:pPr>
          </w:p>
        </w:tc>
      </w:tr>
      <w:tr>
        <w:trPr>
          <w:trHeight w:val="195"/>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6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45,856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46,351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42"/>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45,856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vMerge w:val="restart"/>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held at June 30,</w:t>
            </w:r>
          </w:p>
        </w:tc>
        <w:tc>
          <w:tcPr>
            <w:tcW w:w="0" w:type="dxa"/>
            <w:vAlign w:val="bottom"/>
          </w:tcPr>
          <w:p>
            <w:pPr>
              <w:spacing w:after="0"/>
              <w:rPr>
                <w:sz w:val="1"/>
                <w:szCs w:val="1"/>
                <w:color w:val="auto"/>
              </w:rPr>
            </w:pPr>
          </w:p>
        </w:tc>
      </w:tr>
      <w:tr>
        <w:trPr>
          <w:trHeight w:val="195"/>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69"/>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40,588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41,093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242"/>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Financial Assets and Liabilities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240" w:top="121" w:right="4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gross and net presentation of certain financial assets and financial liabilities as of June 30, 2019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20" w:type="dxa"/>
            <w:vAlign w:val="bottom"/>
          </w:tcPr>
          <w:p>
            <w:pPr>
              <w:spacing w:after="0"/>
              <w:rPr>
                <w:sz w:val="24"/>
                <w:szCs w:val="24"/>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gridSpan w:val="5"/>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Statement of</w:t>
            </w: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Offset in</w:t>
            </w:r>
          </w:p>
        </w:tc>
        <w:tc>
          <w:tcPr>
            <w:tcW w:w="100" w:type="dxa"/>
            <w:vAlign w:val="bottom"/>
          </w:tcPr>
          <w:p>
            <w:pPr>
              <w:spacing w:after="0"/>
              <w:rPr>
                <w:sz w:val="7"/>
                <w:szCs w:val="7"/>
                <w:color w:val="auto"/>
              </w:rPr>
            </w:pPr>
          </w:p>
        </w:tc>
        <w:tc>
          <w:tcPr>
            <w:tcW w:w="1620" w:type="dxa"/>
            <w:vAlign w:val="bottom"/>
            <w:gridSpan w:val="3"/>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7"/>
                <w:szCs w:val="7"/>
                <w:color w:val="auto"/>
              </w:rPr>
            </w:pPr>
          </w:p>
        </w:tc>
        <w:tc>
          <w:tcPr>
            <w:tcW w:w="26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the Condensed</w:t>
            </w:r>
          </w:p>
        </w:tc>
        <w:tc>
          <w:tcPr>
            <w:tcW w:w="17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74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00" w:type="dxa"/>
            <w:vAlign w:val="bottom"/>
          </w:tcPr>
          <w:p>
            <w:pPr>
              <w:spacing w:after="0"/>
              <w:rPr>
                <w:sz w:val="13"/>
                <w:szCs w:val="13"/>
                <w:color w:val="auto"/>
              </w:rPr>
            </w:pPr>
          </w:p>
        </w:tc>
        <w:tc>
          <w:tcPr>
            <w:tcW w:w="162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3"/>
                <w:szCs w:val="13"/>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1,201,327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1,201,327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(1,173,186)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26,450</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Securities purchased under agreements</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22,974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22,974</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 resell</w:t>
            </w: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2,407,155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(2,384,305)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22,850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22,850</w:t>
            </w:r>
          </w:p>
        </w:tc>
        <w:tc>
          <w:tcPr>
            <w:tcW w:w="0" w:type="dxa"/>
            <w:vAlign w:val="bottom"/>
          </w:tcPr>
          <w:p>
            <w:pPr>
              <w:spacing w:after="0"/>
              <w:rPr>
                <w:sz w:val="1"/>
                <w:szCs w:val="1"/>
                <w:color w:val="auto"/>
              </w:rPr>
            </w:pPr>
          </w:p>
        </w:tc>
      </w:tr>
      <w:tr>
        <w:trPr>
          <w:trHeight w:val="265"/>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3,665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3,635,121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(2,384,305)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1,250,816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49,300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20" w:type="dxa"/>
            <w:vAlign w:val="bottom"/>
          </w:tcPr>
          <w:p>
            <w:pPr>
              <w:spacing w:after="0"/>
              <w:rPr>
                <w:sz w:val="24"/>
                <w:szCs w:val="24"/>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gridSpan w:val="5"/>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Statement of</w:t>
            </w: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Offset in</w:t>
            </w:r>
          </w:p>
        </w:tc>
        <w:tc>
          <w:tcPr>
            <w:tcW w:w="1720" w:type="dxa"/>
            <w:vAlign w:val="bottom"/>
            <w:gridSpan w:val="4"/>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120" w:type="dxa"/>
            <w:vAlign w:val="bottom"/>
          </w:tcPr>
          <w:p>
            <w:pPr>
              <w:spacing w:after="0"/>
              <w:rPr>
                <w:sz w:val="7"/>
                <w:szCs w:val="7"/>
                <w:color w:val="auto"/>
              </w:rPr>
            </w:pPr>
          </w:p>
        </w:tc>
        <w:tc>
          <w:tcPr>
            <w:tcW w:w="26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1"/>
                <w:szCs w:val="11"/>
                <w:color w:val="auto"/>
              </w:rPr>
            </w:pPr>
          </w:p>
        </w:tc>
        <w:tc>
          <w:tcPr>
            <w:tcW w:w="16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the Condensed</w:t>
            </w:r>
          </w:p>
        </w:tc>
        <w:tc>
          <w:tcPr>
            <w:tcW w:w="100" w:type="dxa"/>
            <w:vAlign w:val="bottom"/>
          </w:tcPr>
          <w:p>
            <w:pPr>
              <w:spacing w:after="0"/>
              <w:rPr>
                <w:sz w:val="11"/>
                <w:szCs w:val="11"/>
                <w:color w:val="auto"/>
              </w:rPr>
            </w:pPr>
          </w:p>
        </w:tc>
        <w:tc>
          <w:tcPr>
            <w:tcW w:w="16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the Condensed</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7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2"/>
                <w:szCs w:val="12"/>
                <w:color w:val="auto"/>
              </w:rPr>
            </w:pP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Net Amount</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2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778,351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778,351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(728,309)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43,398</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295,803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295,803</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(295,803)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w:t>
            </w: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2,402,231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(2,390,972)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11,259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11,259</w:t>
            </w:r>
          </w:p>
        </w:tc>
        <w:tc>
          <w:tcPr>
            <w:tcW w:w="0" w:type="dxa"/>
            <w:vAlign w:val="bottom"/>
          </w:tcPr>
          <w:p>
            <w:pPr>
              <w:spacing w:after="0"/>
              <w:rPr>
                <w:sz w:val="1"/>
                <w:szCs w:val="1"/>
                <w:color w:val="auto"/>
              </w:rPr>
            </w:pPr>
          </w:p>
        </w:tc>
      </w:tr>
      <w:tr>
        <w:trPr>
          <w:trHeight w:val="265"/>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3,579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3,579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3,479,964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(2,390,972)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1,088,992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54,657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6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20" w:type="dxa"/>
            <w:vAlign w:val="bottom"/>
          </w:tcPr>
          <w:p>
            <w:pPr>
              <w:spacing w:after="0"/>
              <w:rPr>
                <w:sz w:val="12"/>
                <w:szCs w:val="12"/>
                <w:color w:val="auto"/>
              </w:rPr>
            </w:pPr>
          </w:p>
        </w:tc>
        <w:tc>
          <w:tcPr>
            <w:tcW w:w="266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 Financial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gridSpan w:val="4"/>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0"/>
                <w:szCs w:val="10"/>
                <w:color w:val="auto"/>
              </w:rPr>
            </w:pPr>
          </w:p>
        </w:tc>
        <w:tc>
          <w:tcPr>
            <w:tcW w:w="16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74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720" w:type="dxa"/>
            <w:vAlign w:val="bottom"/>
            <w:gridSpan w:val="4"/>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Net Amount</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2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1,399,684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1,399,684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(1,361,635)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29,227</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Securities purchased under agreements</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 resell</w:t>
            </w: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2,792,373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(2,790,242)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265"/>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4,219,431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(2,790,242)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1,429,189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31,358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80" w:type="dxa"/>
            <w:vAlign w:val="bottom"/>
          </w:tcPr>
          <w:p>
            <w:pPr>
              <w:spacing w:after="0"/>
              <w:rPr>
                <w:sz w:val="13"/>
                <w:szCs w:val="13"/>
                <w:color w:val="auto"/>
              </w:rPr>
            </w:pPr>
          </w:p>
        </w:tc>
        <w:tc>
          <w:tcPr>
            <w:tcW w:w="2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gridSpan w:val="5"/>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170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180" w:type="dxa"/>
            <w:vAlign w:val="bottom"/>
          </w:tcPr>
          <w:p>
            <w:pPr>
              <w:spacing w:after="0"/>
              <w:rPr>
                <w:sz w:val="7"/>
                <w:szCs w:val="7"/>
                <w:color w:val="auto"/>
              </w:rPr>
            </w:pPr>
          </w:p>
        </w:tc>
        <w:tc>
          <w:tcPr>
            <w:tcW w:w="26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1"/>
                <w:szCs w:val="11"/>
                <w:color w:val="auto"/>
              </w:rPr>
            </w:pPr>
          </w:p>
        </w:tc>
        <w:tc>
          <w:tcPr>
            <w:tcW w:w="16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1"/>
                <w:szCs w:val="11"/>
                <w:color w:val="auto"/>
              </w:rPr>
            </w:pPr>
          </w:p>
        </w:tc>
        <w:tc>
          <w:tcPr>
            <w:tcW w:w="16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the Consolidated</w:t>
            </w:r>
          </w:p>
        </w:tc>
        <w:tc>
          <w:tcPr>
            <w:tcW w:w="1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0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80" w:type="dxa"/>
            <w:vAlign w:val="bottom"/>
          </w:tcPr>
          <w:p>
            <w:pPr>
              <w:spacing w:after="0"/>
              <w:rPr>
                <w:sz w:val="12"/>
                <w:szCs w:val="12"/>
                <w:color w:val="auto"/>
              </w:rPr>
            </w:pPr>
          </w:p>
        </w:tc>
        <w:tc>
          <w:tcPr>
            <w:tcW w:w="1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2"/>
                <w:szCs w:val="12"/>
                <w:color w:val="auto"/>
              </w:rPr>
            </w:pP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Net Amount</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(1,108,461)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12,756</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w:t>
            </w: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2,720,749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(2,719,954)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65"/>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4,143,700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(2,719,954)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1,423,746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12,759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gross obligations for securities sold under agreements to repurchase and for securities lending transactions by remaining contractual maturity and the class of collateral pledged: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7"/>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Less than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290,000</w:t>
            </w:r>
          </w:p>
        </w:tc>
        <w:tc>
          <w:tcPr>
            <w:tcW w:w="0" w:type="dxa"/>
            <w:vAlign w:val="bottom"/>
          </w:tcPr>
          <w:p>
            <w:pPr>
              <w:spacing w:after="0"/>
              <w:rPr>
                <w:sz w:val="1"/>
                <w:szCs w:val="1"/>
                <w:color w:val="auto"/>
              </w:rPr>
            </w:pPr>
          </w:p>
        </w:tc>
      </w:tr>
      <w:tr>
        <w:trPr>
          <w:trHeight w:val="265"/>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20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5,803</w:t>
            </w:r>
          </w:p>
        </w:tc>
        <w:tc>
          <w:tcPr>
            <w:tcW w:w="0" w:type="dxa"/>
            <w:vAlign w:val="bottom"/>
          </w:tcPr>
          <w:p>
            <w:pPr>
              <w:spacing w:after="0"/>
              <w:rPr>
                <w:sz w:val="1"/>
                <w:szCs w:val="1"/>
                <w:color w:val="auto"/>
              </w:rPr>
            </w:pPr>
          </w:p>
        </w:tc>
      </w:tr>
      <w:tr>
        <w:trPr>
          <w:trHeight w:val="242"/>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295,803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lending transactions: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778,351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778,351</w:t>
            </w:r>
          </w:p>
        </w:tc>
        <w:tc>
          <w:tcPr>
            <w:tcW w:w="0" w:type="dxa"/>
            <w:vAlign w:val="bottom"/>
          </w:tcPr>
          <w:p>
            <w:pPr>
              <w:spacing w:after="0"/>
              <w:rPr>
                <w:sz w:val="1"/>
                <w:szCs w:val="1"/>
                <w:color w:val="auto"/>
              </w:rPr>
            </w:pPr>
          </w:p>
        </w:tc>
      </w:tr>
      <w:tr>
        <w:trPr>
          <w:trHeight w:val="242"/>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778,351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778,351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7"/>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Less than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270,000</w:t>
            </w:r>
          </w:p>
        </w:tc>
        <w:tc>
          <w:tcPr>
            <w:tcW w:w="0" w:type="dxa"/>
            <w:vAlign w:val="bottom"/>
          </w:tcPr>
          <w:p>
            <w:pPr>
              <w:spacing w:after="0"/>
              <w:rPr>
                <w:sz w:val="1"/>
                <w:szCs w:val="1"/>
                <w:color w:val="auto"/>
              </w:rPr>
            </w:pPr>
          </w:p>
        </w:tc>
      </w:tr>
      <w:tr>
        <w:trPr>
          <w:trHeight w:val="265"/>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20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11,861</w:t>
            </w:r>
          </w:p>
        </w:tc>
        <w:tc>
          <w:tcPr>
            <w:tcW w:w="0" w:type="dxa"/>
            <w:vAlign w:val="bottom"/>
          </w:tcPr>
          <w:p>
            <w:pPr>
              <w:spacing w:after="0"/>
              <w:rPr>
                <w:sz w:val="1"/>
                <w:szCs w:val="1"/>
                <w:color w:val="auto"/>
              </w:rPr>
            </w:pPr>
          </w:p>
        </w:tc>
      </w:tr>
      <w:tr>
        <w:trPr>
          <w:trHeight w:val="242"/>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11,861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0" w:type="dxa"/>
            <w:vAlign w:val="bottom"/>
          </w:tcPr>
          <w:p>
            <w:pPr>
              <w:spacing w:after="0"/>
              <w:rPr>
                <w:sz w:val="1"/>
                <w:szCs w:val="1"/>
                <w:color w:val="auto"/>
              </w:rPr>
            </w:pPr>
          </w:p>
        </w:tc>
      </w:tr>
      <w:tr>
        <w:trPr>
          <w:trHeight w:val="242"/>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fair value of the Company’s derivative instruments on a gross basis consisted of the following at June 30, 2019 and December 31, 2018:</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60" w:type="dxa"/>
            <w:vAlign w:val="bottom"/>
          </w:tcPr>
          <w:p>
            <w:pPr>
              <w:spacing w:after="0"/>
              <w:rPr>
                <w:sz w:val="16"/>
                <w:szCs w:val="16"/>
                <w:color w:val="auto"/>
              </w:rPr>
            </w:pPr>
          </w:p>
        </w:tc>
        <w:tc>
          <w:tcPr>
            <w:tcW w:w="17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9"/>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37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17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Notional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6" w:lineRule="exact"/>
        <w:rPr>
          <w:sz w:val="20"/>
          <w:szCs w:val="20"/>
          <w:color w:val="auto"/>
        </w:rPr>
      </w:pPr>
    </w:p>
    <w:p>
      <w:pPr>
        <w:ind w:left="40"/>
        <w:spacing w:after="0" w:line="263" w:lineRule="auto"/>
        <w:rPr>
          <w:sz w:val="20"/>
          <w:szCs w:val="20"/>
          <w:color w:val="auto"/>
        </w:rPr>
      </w:pPr>
      <w:r>
        <w:rPr>
          <w:rFonts w:ascii="Times New Roman" w:cs="Times New Roman" w:eastAsia="Times New Roman" w:hAnsi="Times New Roman"/>
          <w:sz w:val="14"/>
          <w:szCs w:val="14"/>
          <w:b w:val="1"/>
          <w:bCs w:val="1"/>
          <w:color w:val="auto"/>
        </w:rPr>
        <w:t>Derivative instruments not designated as hedging instruments:</w:t>
      </w:r>
    </w:p>
    <w:p>
      <w:pPr>
        <w:ind w:left="40"/>
        <w:spacing w:after="0"/>
        <w:rPr>
          <w:sz w:val="20"/>
          <w:szCs w:val="20"/>
          <w:color w:val="auto"/>
        </w:rPr>
      </w:pPr>
      <w:r>
        <w:rPr>
          <w:rFonts w:ascii="Times New Roman" w:cs="Times New Roman" w:eastAsia="Times New Roman" w:hAnsi="Times New Roman"/>
          <w:sz w:val="14"/>
          <w:szCs w:val="14"/>
          <w:color w:val="auto"/>
        </w:rPr>
        <w:t>Equities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Commodity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Fixed income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Options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forwards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1,426</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2,902,864</w:t>
            </w:r>
          </w:p>
        </w:tc>
        <w:tc>
          <w:tcPr>
            <w:tcW w:w="4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(15,382)</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2,891,606</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60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39,317</w:t>
            </w:r>
          </w:p>
        </w:tc>
        <w:tc>
          <w:tcPr>
            <w:tcW w:w="34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9,777,946</w:t>
            </w:r>
          </w:p>
        </w:tc>
        <w:tc>
          <w:tcPr>
            <w:tcW w:w="4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69,235</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11,595,215</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60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2,401,655</w:t>
            </w:r>
          </w:p>
        </w:tc>
        <w:tc>
          <w:tcPr>
            <w:tcW w:w="4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(9,432)</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3,756,914</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60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553</w:t>
            </w:r>
          </w:p>
        </w:tc>
        <w:tc>
          <w:tcPr>
            <w:tcW w:w="4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18,694</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60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3,665</w:t>
            </w:r>
          </w:p>
        </w:tc>
        <w:tc>
          <w:tcPr>
            <w:tcW w:w="3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296,807</w:t>
            </w:r>
          </w:p>
        </w:tc>
        <w:tc>
          <w:tcPr>
            <w:tcW w:w="4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11,899</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659,101</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60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2,407,155</w:t>
            </w:r>
          </w:p>
        </w:tc>
        <w:tc>
          <w:tcPr>
            <w:tcW w:w="3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174,182,937</w:t>
            </w:r>
          </w:p>
        </w:tc>
        <w:tc>
          <w:tcPr>
            <w:tcW w:w="4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2,792,373</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171,288,432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-1228090</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-781685</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-335915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60"/>
            <w:col w:w="8520"/>
          </w:cols>
          <w:pgMar w:left="240" w:top="121" w:right="239" w:bottom="1440" w:gutter="0" w:footer="0" w:header="0"/>
          <w:type w:val="continuous"/>
        </w:sectPr>
      </w:pPr>
    </w:p>
    <w:p>
      <w:pPr>
        <w:spacing w:after="0" w:line="163" w:lineRule="exact"/>
        <w:rPr>
          <w:sz w:val="20"/>
          <w:szCs w:val="20"/>
          <w:color w:val="auto"/>
        </w:rPr>
      </w:pPr>
    </w:p>
    <w:p>
      <w:pPr>
        <w:ind w:left="40"/>
        <w:spacing w:after="0"/>
        <w:tabs>
          <w:tab w:leader="none" w:pos="3460" w:val="left"/>
          <w:tab w:leader="none" w:pos="6380" w:val="left"/>
          <w:tab w:leader="none" w:pos="7820" w:val="left"/>
          <w:tab w:leader="none" w:pos="9100" w:val="left"/>
          <w:tab w:leader="none" w:pos="10520" w:val="left"/>
        </w:tabs>
        <w:rPr>
          <w:sz w:val="20"/>
          <w:szCs w:val="20"/>
          <w:color w:val="auto"/>
        </w:rPr>
      </w:pPr>
      <w:r>
        <w:rPr>
          <w:rFonts w:ascii="Times New Roman" w:cs="Times New Roman" w:eastAsia="Times New Roman" w:hAnsi="Times New Roman"/>
          <w:sz w:val="14"/>
          <w:szCs w:val="14"/>
          <w:b w:val="1"/>
          <w:bCs w:val="1"/>
          <w:color w:val="auto"/>
        </w:rPr>
        <w:t>Derivatives Liabilities</w:t>
      </w:r>
      <w:r>
        <w:rPr>
          <w:sz w:val="20"/>
          <w:szCs w:val="20"/>
          <w:color w:val="auto"/>
        </w:rPr>
        <w:tab/>
      </w:r>
      <w:r>
        <w:rPr>
          <w:rFonts w:ascii="Times New Roman" w:cs="Times New Roman" w:eastAsia="Times New Roman" w:hAnsi="Times New Roman"/>
          <w:sz w:val="14"/>
          <w:szCs w:val="14"/>
          <w:b w:val="1"/>
          <w:bCs w:val="1"/>
          <w:color w:val="auto"/>
        </w:rPr>
        <w:t>Financial Statements Location</w:t>
      </w:r>
      <w:r>
        <w:rPr>
          <w:sz w:val="20"/>
          <w:szCs w:val="20"/>
          <w:color w:val="auto"/>
        </w:rPr>
        <w:tab/>
      </w: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Notional</w:t>
      </w:r>
      <w:r>
        <w:rPr>
          <w:sz w:val="20"/>
          <w:szCs w:val="20"/>
          <w:color w:val="auto"/>
        </w:rPr>
        <w:tab/>
      </w: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55" w:lineRule="exact"/>
        <w:rPr>
          <w:sz w:val="20"/>
          <w:szCs w:val="20"/>
          <w:color w:val="auto"/>
        </w:rPr>
      </w:pPr>
    </w:p>
    <w:p>
      <w:pPr>
        <w:ind w:left="40"/>
        <w:spacing w:after="0" w:line="263" w:lineRule="auto"/>
        <w:rPr>
          <w:sz w:val="20"/>
          <w:szCs w:val="20"/>
          <w:color w:val="auto"/>
        </w:rPr>
      </w:pPr>
      <w:r>
        <w:rPr>
          <w:rFonts w:ascii="Times New Roman" w:cs="Times New Roman" w:eastAsia="Times New Roman" w:hAnsi="Times New Roman"/>
          <w:sz w:val="14"/>
          <w:szCs w:val="14"/>
          <w:b w:val="1"/>
          <w:bCs w:val="1"/>
          <w:color w:val="auto"/>
        </w:rPr>
        <w:t>Derivative instruments not designated as hedging instruments:</w:t>
      </w:r>
    </w:p>
    <w:p>
      <w:pPr>
        <w:ind w:left="40"/>
        <w:spacing w:after="0"/>
        <w:rPr>
          <w:sz w:val="20"/>
          <w:szCs w:val="20"/>
          <w:color w:val="auto"/>
        </w:rPr>
      </w:pPr>
      <w:r>
        <w:rPr>
          <w:rFonts w:ascii="Times New Roman" w:cs="Times New Roman" w:eastAsia="Times New Roman" w:hAnsi="Times New Roman"/>
          <w:sz w:val="14"/>
          <w:szCs w:val="14"/>
          <w:color w:val="auto"/>
        </w:rPr>
        <w:t>Equities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Commodity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Fixed income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Options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forwards</w:t>
      </w:r>
    </w:p>
    <w:p>
      <w:pPr>
        <w:spacing w:after="0" w:line="377" w:lineRule="exact"/>
        <w:rPr>
          <w:sz w:val="20"/>
          <w:szCs w:val="20"/>
          <w:color w:val="auto"/>
        </w:rPr>
      </w:pPr>
    </w:p>
    <w:p>
      <w:pPr>
        <w:ind w:left="40" w:right="240"/>
        <w:spacing w:after="0" w:line="263" w:lineRule="auto"/>
        <w:rPr>
          <w:sz w:val="20"/>
          <w:szCs w:val="20"/>
          <w:color w:val="auto"/>
        </w:rPr>
      </w:pPr>
      <w:r>
        <w:rPr>
          <w:rFonts w:ascii="Times New Roman" w:cs="Times New Roman" w:eastAsia="Times New Roman" w:hAnsi="Times New Roman"/>
          <w:sz w:val="14"/>
          <w:szCs w:val="14"/>
          <w:b w:val="1"/>
          <w:bCs w:val="1"/>
          <w:color w:val="auto"/>
        </w:rPr>
        <w:t>Derivative instruments designated as hedging instruments:</w:t>
      </w:r>
    </w:p>
    <w:p>
      <w:pPr>
        <w:ind w:left="40"/>
        <w:spacing w:after="0"/>
        <w:rPr>
          <w:sz w:val="20"/>
          <w:szCs w:val="20"/>
          <w:color w:val="auto"/>
        </w:rPr>
      </w:pPr>
      <w:r>
        <w:rPr>
          <w:rFonts w:ascii="Times New Roman" w:cs="Times New Roman" w:eastAsia="Times New Roman" w:hAnsi="Times New Roman"/>
          <w:sz w:val="14"/>
          <w:szCs w:val="14"/>
          <w:color w:val="auto"/>
        </w:rPr>
        <w:t>Currency forwards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(302)</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160,909</w:t>
            </w:r>
          </w:p>
        </w:tc>
        <w:tc>
          <w:tcPr>
            <w:tcW w:w="4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468</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106,487</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62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(11,522)</w:t>
            </w:r>
          </w:p>
        </w:tc>
        <w:tc>
          <w:tcPr>
            <w:tcW w:w="34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5,129,312</w:t>
            </w:r>
          </w:p>
        </w:tc>
        <w:tc>
          <w:tcPr>
            <w:tcW w:w="4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62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(4,790)</w:t>
            </w:r>
          </w:p>
        </w:tc>
        <w:tc>
          <w:tcPr>
            <w:tcW w:w="34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2,543,167</w:t>
            </w:r>
          </w:p>
        </w:tc>
        <w:tc>
          <w:tcPr>
            <w:tcW w:w="4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(30,643)</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6,239,725</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62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93</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62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3,579</w:t>
            </w:r>
          </w:p>
        </w:tc>
        <w:tc>
          <w:tcPr>
            <w:tcW w:w="3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310,548</w:t>
            </w:r>
          </w:p>
        </w:tc>
        <w:tc>
          <w:tcPr>
            <w:tcW w:w="4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11,051</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608,756</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62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2,402,231</w:t>
            </w:r>
          </w:p>
        </w:tc>
        <w:tc>
          <w:tcPr>
            <w:tcW w:w="3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174,180,475</w:t>
            </w:r>
          </w:p>
        </w:tc>
        <w:tc>
          <w:tcPr>
            <w:tcW w:w="4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2,720,749</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171,252,224</w:t>
            </w:r>
          </w:p>
        </w:tc>
        <w:tc>
          <w:tcPr>
            <w:tcW w:w="0" w:type="dxa"/>
            <w:vAlign w:val="bottom"/>
          </w:tcPr>
          <w:p>
            <w:pPr>
              <w:spacing w:after="0"/>
              <w:rPr>
                <w:sz w:val="1"/>
                <w:szCs w:val="1"/>
                <w:color w:val="auto"/>
              </w:rPr>
            </w:pPr>
          </w:p>
        </w:tc>
      </w:tr>
      <w:tr>
        <w:trPr>
          <w:trHeight w:val="89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6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(792)</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-1793875</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-1348105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-902335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-558800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-164465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60"/>
            <w:col w:w="8520"/>
          </w:cols>
          <w:pgMar w:left="240" w:top="121" w:right="239" w:bottom="1440" w:gutter="0" w:footer="0" w:header="0"/>
          <w:type w:val="continuous"/>
        </w:sectPr>
      </w:pPr>
    </w:p>
    <w:p>
      <w:pPr>
        <w:spacing w:after="0" w:line="22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Amounts included in receivables from and payables to broker-dealers and clearing organizations represent net variation margin on long and short futures contracts.</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net gain from derivative instruments not designated as hedging instruments under ASC 815, which are recorded in trading income, net, and from those designated as hedging instruments under ASC 815, which are recorded in accumulated other comprehensive income in the accompanying condensed consolidated statements of comprehensive income for the three and six months ended June 30, 2019 and 2018.</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12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Futures</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83,225</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6,909</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155,610</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(429,506)</w:t>
            </w:r>
          </w:p>
        </w:tc>
        <w:tc>
          <w:tcPr>
            <w:tcW w:w="0" w:type="dxa"/>
            <w:vAlign w:val="bottom"/>
          </w:tcPr>
          <w:p>
            <w:pPr>
              <w:spacing w:after="0"/>
              <w:rPr>
                <w:sz w:val="1"/>
                <w:szCs w:val="1"/>
                <w:color w:val="auto"/>
              </w:rPr>
            </w:pPr>
          </w:p>
        </w:tc>
      </w:tr>
      <w:tr>
        <w:trPr>
          <w:trHeight w:val="275"/>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110,828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196,588</w:t>
            </w:r>
          </w:p>
        </w:tc>
        <w:tc>
          <w:tcPr>
            <w:tcW w:w="0" w:type="dxa"/>
            <w:vAlign w:val="bottom"/>
          </w:tcPr>
          <w:p>
            <w:pPr>
              <w:spacing w:after="0"/>
              <w:rPr>
                <w:sz w:val="1"/>
                <w:szCs w:val="1"/>
                <w:color w:val="auto"/>
              </w:rPr>
            </w:pPr>
          </w:p>
        </w:tc>
      </w:tr>
      <w:tr>
        <w:trPr>
          <w:trHeight w:val="265"/>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4,335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4,997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(8,736)</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107,900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115,565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(241,654)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200" w:type="dxa"/>
            <w:vAlign w:val="bottom"/>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 forward contract</w:t>
            </w: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64"/>
        </w:trPr>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2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Revenues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ASC Topic 606, Revenue from Contracts with Customers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 As a result of the ITG Acquisition, subsequent to the ITG Closing Date, the Company has additional revenue streams as described below.</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new revenue guidance does not apply to revenue associated with financial instruments, including loans and securities that are accounted for under other U.S. GAAP, and as a result, did not have an impact on the market making elements of the Company’s condensed consolidated statement of comprehensive income most closely associated with financial instruments, including trading income, net and interest and dividend income. The new standard primarily impacts the presentation of the Company's Execution Services revenue streams discussed below, all of which are presented within Commissions, net and technology services on the Company’s condensed consolidated statements of comprehensive income.</w:t>
      </w:r>
    </w:p>
    <w:p>
      <w:pPr>
        <w:spacing w:after="0" w:line="18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Commissions, net</w:t>
      </w:r>
      <w:r>
        <w:rPr>
          <w:rFonts w:ascii="Times New Roman" w:cs="Times New Roman" w:eastAsia="Times New Roman" w:hAnsi="Times New Roman"/>
          <w:sz w:val="18"/>
          <w:szCs w:val="18"/>
          <w:color w:val="auto"/>
        </w:rPr>
        <w:t>. The Company earns commission revenue by acting as an agent on behalf of customers. The Company’s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condensed consolidated statements of comprehensive income.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Technology services. </w:t>
      </w:r>
      <w:r>
        <w:rPr>
          <w:rFonts w:ascii="Times New Roman" w:cs="Times New Roman" w:eastAsia="Times New Roman" w:hAnsi="Times New Roman"/>
          <w:sz w:val="18"/>
          <w:szCs w:val="18"/>
          <w:color w:val="auto"/>
        </w:rPr>
        <w:t>The Company’s technology services revenues consist of technology licensing fees and agency commission fees.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 and are included within Receivables from broker-dealers and clearing organizations.</w:t>
      </w:r>
    </w:p>
    <w:p>
      <w:pPr>
        <w:spacing w:after="0" w:line="189" w:lineRule="exact"/>
        <w:rPr>
          <w:sz w:val="20"/>
          <w:szCs w:val="20"/>
          <w:color w:val="auto"/>
        </w:rPr>
      </w:pPr>
    </w:p>
    <w:p>
      <w:pPr>
        <w:ind w:right="7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Workflow technology. </w:t>
      </w:r>
      <w:r>
        <w:rPr>
          <w:rFonts w:ascii="Times New Roman" w:cs="Times New Roman" w:eastAsia="Times New Roman" w:hAnsi="Times New Roman"/>
          <w:sz w:val="18"/>
          <w:szCs w:val="18"/>
          <w:color w:val="auto"/>
        </w:rPr>
        <w:t>Through its front-end workflow solutions and network capabilities, the Company provides order and trade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order routing services.</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participates in commission share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The Company provides customers with analytics products and services, including trading and portfolio analytics tools.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8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6" w:lineRule="exact"/>
        <w:rPr>
          <w:sz w:val="20"/>
          <w:szCs w:val="20"/>
          <w:color w:val="auto"/>
        </w:rPr>
      </w:pPr>
    </w:p>
    <w:p>
      <w:pPr>
        <w:ind w:left="1300" w:right="280" w:hanging="644"/>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value for each customer for the products and services it receives, which is priced using the value for similar stand-alone subscription arrangements; and</w:t>
      </w:r>
    </w:p>
    <w:p>
      <w:pPr>
        <w:ind w:left="1300" w:right="360" w:hanging="644"/>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calculated ratio of the commission value for the products and services relative to the total amount of commissions generated from the customer.</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from contracts with customers disaggregated by the services described above, by timing of revenue recognition, reconciled to the Company’s segments, for the three and six months ended June 30, 2019:</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4"/>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103,727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108,688</w:t>
            </w: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25,455</w:t>
            </w:r>
          </w:p>
        </w:tc>
      </w:tr>
      <w:tr>
        <w:trPr>
          <w:trHeight w:val="270"/>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10,977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10,977</w:t>
            </w:r>
          </w:p>
        </w:tc>
      </w:tr>
      <w:tr>
        <w:trPr>
          <w:trHeight w:val="250"/>
        </w:trPr>
        <w:tc>
          <w:tcPr>
            <w:tcW w:w="4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145,120</w:t>
            </w:r>
          </w:p>
        </w:tc>
      </w:tr>
      <w:tr>
        <w:trPr>
          <w:trHeight w:val="329"/>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5"/>
        </w:trPr>
        <w:tc>
          <w:tcPr>
            <w:tcW w:w="4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230,043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233,336</w:t>
            </w:r>
          </w:p>
        </w:tc>
      </w:tr>
      <w:tr>
        <w:trPr>
          <w:trHeight w:val="329"/>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77"/>
        </w:trPr>
        <w:tc>
          <w:tcPr>
            <w:tcW w:w="42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235,004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142,024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378,456</w:t>
            </w:r>
          </w:p>
        </w:tc>
      </w:tr>
      <w:tr>
        <w:trPr>
          <w:trHeight w:val="305"/>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5"/>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235,004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121,763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358,195</w:t>
            </w: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20,261</w:t>
            </w:r>
          </w:p>
        </w:tc>
      </w:tr>
      <w:tr>
        <w:trPr>
          <w:trHeight w:val="242"/>
        </w:trPr>
        <w:tc>
          <w:tcPr>
            <w:tcW w:w="42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378,456</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21" w:right="2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4"/>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161,482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171,443</w:t>
            </w:r>
          </w:p>
        </w:tc>
      </w:tr>
      <w:tr>
        <w:trPr>
          <w:trHeight w:val="265"/>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34,327</w:t>
            </w:r>
          </w:p>
        </w:tc>
      </w:tr>
      <w:tr>
        <w:trPr>
          <w:trHeight w:val="270"/>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14,497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14,497</w:t>
            </w:r>
          </w:p>
        </w:tc>
      </w:tr>
      <w:tr>
        <w:trPr>
          <w:trHeight w:val="250"/>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220,267</w:t>
            </w:r>
          </w:p>
        </w:tc>
      </w:tr>
      <w:tr>
        <w:trPr>
          <w:trHeight w:val="329"/>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5"/>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504,264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521,181</w:t>
            </w:r>
          </w:p>
        </w:tc>
      </w:tr>
      <w:tr>
        <w:trPr>
          <w:trHeight w:val="329"/>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77"/>
        </w:trPr>
        <w:tc>
          <w:tcPr>
            <w:tcW w:w="4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514,225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225,542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741,448</w:t>
            </w:r>
          </w:p>
        </w:tc>
      </w:tr>
      <w:tr>
        <w:trPr>
          <w:trHeight w:val="305"/>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5"/>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514,225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198,492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714,398</w:t>
            </w: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27,050</w:t>
            </w:r>
          </w:p>
        </w:tc>
      </w:tr>
      <w:tr>
        <w:trPr>
          <w:trHeight w:val="242"/>
        </w:trPr>
        <w:tc>
          <w:tcPr>
            <w:tcW w:w="42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514,225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741,448</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 and Revenue Recognized from Past Performance Obligations</w:t>
      </w:r>
    </w:p>
    <w:p>
      <w:pPr>
        <w:spacing w:after="0" w:line="227" w:lineRule="exact"/>
        <w:rPr>
          <w:sz w:val="20"/>
          <w:szCs w:val="20"/>
          <w:color w:val="auto"/>
        </w:rPr>
      </w:pPr>
    </w:p>
    <w:p>
      <w:pPr>
        <w:jc w:val="both"/>
        <w:ind w:right="640"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the aggregate amount of the transaction price allocated to the performance obligations relating to technology services, workflow technology, and analytics revenues that are unsatisfied (or partially unsatisfied) was not material.</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2019, the Company recognized $0.5 million of revenue related to performance obligations satisfied in previous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Receivables related to revenues from contracts with customers amounted to $57.0 million and $1.7 million as of June 30, 2019 and December 31, 2018, respectively. The Company did not identify any contract assets. There were no impairment losses on receivables as of June 30, 2019.</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revenue primarily relates to deferred commissions allocated to analytics products and subscription fees billed in advance of satisfying the performance obligations. Deferred revenue related to contracts with customers was $11.9 million as of June 30, 2019. During the three and six months ended June 30, 2019, the Company recognized revenue of $7.8 million and $14.9 million, respectively, that was initially recorded as deferred revenue.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not identified any costs to obtain or fulfill associated with its contracts under ASC 606.</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20"/>
          </w:cols>
          <w:pgMar w:left="24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June 30, 2019 and 2018, the income attributable to these noncontrolling interests is reported in the condensed consolidated statements of comprehensive income, but the related U.S. income tax expense attributable to these noncontrolling interests is not reported by the Company as it is the obligation of the individual partners. The Company’s provisions for (benefits from) income taxes and effective tax rates were $(11.1) million and 16.7%, and $3.0 million and 6.0%, for the three months ended June 30, 2019 and 2018, respectively, and $(13.7) million and 16.5%, and $61.5 million and 13.1% for the six months ended June 30, 2019 and 2018, respectively. Income tax expense is also affected by the differing effective tax rates in foreign, state and local jurisdictions where certain of the Company’s subsidiaries are subject to corporate taxation.</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at June 30, 2019 and December 31, 2018 are current income tax receivables of $62.6 million and $41.1 million, respectively. The balances at June 30, 2019 and December 31, 2018 primarily comprise income tax benefits due to the Company from federal, state and local, and foreign tax jurisdictions based on income before taxes. Included in Accounts payable, accrued expenses and other liabilities on the condensed consolidated statements of financial condition at June 30, 2019 and December 31, 2018 are current tax liabilities of $13.6 million and $10.0 million, respectively. The balances at June 30, 2019 and December 31, 2018 primarily comprise income taxes owed to federal, state and local, and foreign tax jurisdictions based on income before taxes.</w:t>
      </w:r>
    </w:p>
    <w:p>
      <w:pPr>
        <w:spacing w:after="0" w:line="18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taxes arise primarily due to the amortization of the deferred tax assets recognized in connection with the IPO (see Note 6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As a result of the Acquisition of KCG, the Company has non-U.S. net operating losses at June 30, 2019 and December 31, 2018 of $239.3 million and $239.3 million, respectively, and has recorded a related deferred tax asset of $44.9 million and $44.9 million, respectively. A full valuation allowance was also recorded against this deferred tax asset at June 30, 2019 and December 31, 2018 as it is more likely than not that this deferred tax asset will not be realized. No valuation allowance against the remaining deferred taxes was recorded as of June 30, 2019 and December 31, 2018 because it is more likely than not that these deferred tax assets will be fully realized.</w:t>
      </w:r>
    </w:p>
    <w:p>
      <w:pPr>
        <w:spacing w:after="0" w:line="18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taxation in U.S. federal, state, local and foreign jurisdictions. As of June 30, 2019, the Company’s tax years for 2013 through 2017 and 2010 through 2017 are subject to examination by U.S. and non-U.S. tax authorities, respectively. As a result of the ITG Acquisition and the Acquisition of KCG, the Company has assumed any ITG and KCG tax exposures. In addition, the Company is subject to state and local income tax examinations in various jurisdictions for the tax years 2013 through 2017.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 of comprehensive income.</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had $9.2 million of unrecognized tax benefits as of June 30, 2019, all of which would affect the Company’s effective tax rate if recognized. The Company has determined that there are no uncertain tax positions that would have a material impact on the Company’s financial position as of June 30, 2019.</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Contingencies and Guarantees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coverages for potential claims, including securities actions, against the Company and its respective directors and officers.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Acquisition of KCG, a previously filed complaint, which was initially captioned </w:t>
      </w:r>
      <w:r>
        <w:rPr>
          <w:rFonts w:ascii="Times New Roman" w:cs="Times New Roman" w:eastAsia="Times New Roman" w:hAnsi="Times New Roman"/>
          <w:sz w:val="18"/>
          <w:szCs w:val="18"/>
          <w:i w:val="1"/>
          <w:iCs w:val="1"/>
          <w:color w:val="auto"/>
        </w:rPr>
        <w:t>Greenway v. KCG Holdings, Inc., et al.,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 2017-421-JTL </w:t>
      </w:r>
      <w:r>
        <w:rPr>
          <w:rFonts w:ascii="Times New Roman" w:cs="Times New Roman" w:eastAsia="Times New Roman" w:hAnsi="Times New Roman"/>
          <w:sz w:val="18"/>
          <w:szCs w:val="18"/>
          <w:color w:val="auto"/>
        </w:rPr>
        <w:t>and filed on behalf of a putative class in Delaware Chancery Court, was recaptioned</w:t>
      </w:r>
      <w:r>
        <w:rPr>
          <w:rFonts w:ascii="Times New Roman" w:cs="Times New Roman" w:eastAsia="Times New Roman" w:hAnsi="Times New Roman"/>
          <w:sz w:val="18"/>
          <w:szCs w:val="18"/>
          <w:i w:val="1"/>
          <w:iCs w:val="1"/>
          <w:color w:val="auto"/>
        </w:rPr>
        <w:t xml:space="preserve"> Chester County Employees’ Retirement Fund v. KCG Holdings, Inc., et al.</w:t>
      </w:r>
      <w:r>
        <w:rPr>
          <w:rFonts w:ascii="Times New Roman" w:cs="Times New Roman" w:eastAsia="Times New Roman" w:hAnsi="Times New Roman"/>
          <w:sz w:val="18"/>
          <w:szCs w:val="18"/>
          <w:color w:val="auto"/>
        </w:rPr>
        <w:t>, amended and refiled on February 14, 2018 to include claims for the alleged breach of fiduciary duties against former KCG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claims against each of the Company and Jefferies LLC for allegedly aiding and abetting the KCG board members’ alleged breaches of fiduciary duty and a claim against the Company and Jefferies LLC for alleged civil conspiracy. The amended complaint was again amended on July 16, 2018 with the filing of the Verified Second Amended Class Action Complaint (the “Second Amended Complaint”) to include additional factual allegations. No amount of damages is stated in the Second Amended Complaint, against which Virtu is defending itself vigorously.</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January 29, 2019, the Company was named as a defendant in </w:t>
      </w:r>
      <w:r>
        <w:rPr>
          <w:rFonts w:ascii="Times New Roman" w:cs="Times New Roman" w:eastAsia="Times New Roman" w:hAnsi="Times New Roman"/>
          <w:sz w:val="18"/>
          <w:szCs w:val="18"/>
          <w:i w:val="1"/>
          <w:iCs w:val="1"/>
          <w:color w:val="auto"/>
        </w:rPr>
        <w:t>Ford v. ProShares Trust II, et al.</w:t>
      </w:r>
      <w:r>
        <w:rPr>
          <w:rFonts w:ascii="Times New Roman" w:cs="Times New Roman" w:eastAsia="Times New Roman" w:hAnsi="Times New Roman"/>
          <w:sz w:val="18"/>
          <w:szCs w:val="18"/>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trading in a ProShares inverse-volatility ETF. Additionally, on February 27, 2019, and March 1, 2019, the Company was named as a defendant in </w:t>
      </w:r>
      <w:r>
        <w:rPr>
          <w:rFonts w:ascii="Times New Roman" w:cs="Times New Roman" w:eastAsia="Times New Roman" w:hAnsi="Times New Roman"/>
          <w:sz w:val="18"/>
          <w:szCs w:val="18"/>
          <w:i w:val="1"/>
          <w:iCs w:val="1"/>
          <w:color w:val="auto"/>
        </w:rPr>
        <w:t>Bittner v. ProShares Trust II, et al.</w:t>
      </w:r>
      <w:r>
        <w:rPr>
          <w:rFonts w:ascii="Times New Roman" w:cs="Times New Roman" w:eastAsia="Times New Roman" w:hAnsi="Times New Roman"/>
          <w:sz w:val="18"/>
          <w:szCs w:val="18"/>
          <w:color w:val="auto"/>
        </w:rPr>
        <w:t xml:space="preserve">, No. 19-cv-1840, and </w:t>
      </w:r>
      <w:r>
        <w:rPr>
          <w:rFonts w:ascii="Times New Roman" w:cs="Times New Roman" w:eastAsia="Times New Roman" w:hAnsi="Times New Roman"/>
          <w:sz w:val="18"/>
          <w:szCs w:val="18"/>
          <w:i w:val="1"/>
          <w:iCs w:val="1"/>
          <w:color w:val="auto"/>
        </w:rPr>
        <w:t>Mareno v. ProShares Trust II</w:t>
      </w:r>
      <w:r>
        <w:rPr>
          <w:rFonts w:ascii="Times New Roman" w:cs="Times New Roman" w:eastAsia="Times New Roman" w:hAnsi="Times New Roman"/>
          <w:sz w:val="18"/>
          <w:szCs w:val="18"/>
          <w:color w:val="auto"/>
        </w:rPr>
        <w:t>, et al., No. 19-cv-1955, respectively. The complaints were filed in federal district court in New York on behalf of putative classes, and assert substantially similar claims against the Company and other financial institutions. On April 29, 2019, these three actions were consolidated in federal district court in New York as In re ProShares Trust II Securities Litigation, No. 19-cv-886-DLC. A consolidated amended complaint, which does not specify the amount of alleged damages, was filed in the consolidated action on June 21, 2019. The Company believes that the claims are without merit and intends to defend itself vigorously.</w:t>
      </w:r>
    </w:p>
    <w:p>
      <w:pPr>
        <w:spacing w:after="0" w:line="18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ITG Acquisition, the Company assumed potential liabilities relating to ITG’s business, including but not limited to those potential liabilities arising from or related to pending, threatened or potential litigation or regulatory matters. These matters include but not are not necessarily limited to a Statement of Claim filed on July 27, 2018 by a former employee of ITG requesting a FINRA arbitration. The former ITG employee alleges that ITG breached the non-disparagement clause in his July 2011 separation agreement and tortiously interfered with his business relations. On June 26, 2019, the former employee informed the Company that he is seeking damages of approximately $65 million (exclusive of claims for pre-judgment interest, punitive damages, costs and fees). The Company believes that the claims are without merit and is defending itself against these claims vigorously.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and Regulatory Matters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high frequency trading, best execution, internalization, alternative trading system (“ATS”) manner of operations, market fragmentation and complexity, colocation, cybersecurity, access to market data feeds and remuneration arrangements, such as payment for order flow and exchange fee structures. From time to time, the Company is the subject of requests for information and documents from the SEC, the Financial Industry Regulatory Authority and other regulators. It is the Company's practice to cooperate and comply with the requests for information and documents.</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Company is currently the subject of various regulatory reviews and investigations by federal and foreign regulators and SROs, including the SEC and the Financial Industry Regulatory Authority. In some instances, these matters may result in a disciplinary action and/or a civil or administrative action. For example, in December 2015,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in 2018 was reduced to €3.0 million (approximately $3.4 million). The Company has fully reserved for the monetary penalty as of June 30, 2019 and anticipates paying the fine during the year ending December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Indemnification Arrangements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8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Consistent with standard business practices in the normal course of business, the Company has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ASU 2016-02 on January 1, 2019, and elected the modified retrospective method of implementation. The standard requires the recognition of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 term of 12 months or less to be excluded from recognition on the condensed consolidated statement of financial condition and for which lease expense is recognized on a straight-line basis over the lease term.</w:t>
      </w:r>
    </w:p>
    <w:p>
      <w:pPr>
        <w:spacing w:after="0" w:line="18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Company, Topic 842 primarily affected the accounting treatment for operating lease agreements in which the Company is the lessee. These leases are primarily for corporate office space, datacenters, and technology equipment. The leases have remaining terms of 1 year to 13 years, some of which include options to extend the initial term at the Company's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121" w:right="27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18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also subleases certain office space and facilities to third parties. The subleases have remaining terms of 1 to 13 years. The Company recognizes sublease income on a straight-line basis over the term of the sublease within Other, net on the condensed consolidated statement of comprehensive income.</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As the implied discount rate for most of the Company's leases is not readily determinable, the Company uses its incremental borrowing rate on its secured borrowings, which was based on the information available as of the initial transition date, January 1, 2019, in determining the present value of lease payments.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2019, the Company ceased use of certain office lease premises as part of its ongoing effort to consolidate office space. For the three and six months ended June 30, 2019, the Company recognized $65.2 million in Termination of office leases on the condensed consolidated statement of comprehensive income related to these premises, comprising $25.9 million of impairments of ROU assets, $37.9 million of write-offs of leasehold improvements and fixed assets, and $1.4 million of dilapidation charges.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assets and liabilities are summarized as follows:</w:t>
      </w:r>
    </w:p>
    <w:p>
      <w:pPr>
        <w:sectPr>
          <w:pgSz w:w="11900" w:h="16838" w:orient="portrait"/>
          <w:cols w:equalWidth="0" w:num="1">
            <w:col w:w="11400"/>
          </w:cols>
          <w:pgMar w:left="240" w:top="121" w:right="259" w:bottom="1440" w:gutter="0" w:footer="0" w:header="0"/>
        </w:sect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(in thousands)</w:t>
      </w:r>
    </w:p>
    <w:p>
      <w:pPr>
        <w:spacing w:after="0" w:line="1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109" w:lineRule="exact"/>
        <w:rPr>
          <w:sz w:val="20"/>
          <w:szCs w:val="20"/>
          <w:color w:val="auto"/>
        </w:rPr>
      </w:pPr>
    </w:p>
    <w:p>
      <w:pPr>
        <w:ind w:left="1220" w:right="20"/>
        <w:spacing w:after="0" w:line="443" w:lineRule="auto"/>
        <w:rPr>
          <w:sz w:val="20"/>
          <w:szCs w:val="20"/>
          <w:color w:val="auto"/>
        </w:rPr>
      </w:pPr>
      <w:r>
        <w:rPr>
          <w:rFonts w:ascii="Times New Roman" w:cs="Times New Roman" w:eastAsia="Times New Roman" w:hAnsi="Times New Roman"/>
          <w:sz w:val="14"/>
          <w:szCs w:val="14"/>
          <w:color w:val="auto"/>
        </w:rPr>
        <w:t>Operating lease right-of-use assets Operating lease liabilities</w:t>
      </w:r>
    </w:p>
    <w:p>
      <w:pPr>
        <w:spacing w:after="0" w:line="2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Finance leases</w:t>
      </w:r>
    </w:p>
    <w:p>
      <w:pPr>
        <w:spacing w:after="0" w:line="1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Property and equipment, at cost</w:t>
      </w:r>
    </w:p>
    <w:p>
      <w:pPr>
        <w:spacing w:after="0" w:line="1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Accumulated depreciation</w:t>
      </w:r>
    </w:p>
    <w:p>
      <w:pPr>
        <w:spacing w:after="0" w:line="1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5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318,269</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Pr>
          <w:p>
            <w:pPr>
              <w:spacing w:after="0"/>
              <w:rPr>
                <w:sz w:val="23"/>
                <w:szCs w:val="23"/>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388,070</w:t>
            </w:r>
          </w:p>
        </w:tc>
      </w:tr>
      <w:tr>
        <w:trPr>
          <w:trHeight w:val="86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340" w:type="dxa"/>
            <w:vAlign w:val="bottom"/>
          </w:tcPr>
          <w:p>
            <w:pPr>
              <w:spacing w:after="0"/>
              <w:rPr>
                <w:sz w:val="24"/>
                <w:szCs w:val="24"/>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37,258</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3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(20,139)</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40" w:type="dxa"/>
            <w:vAlign w:val="bottom"/>
          </w:tcPr>
          <w:p>
            <w:pPr>
              <w:spacing w:after="0"/>
              <w:rPr>
                <w:sz w:val="23"/>
                <w:szCs w:val="23"/>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-1056640</wp:posOffset>
            </wp:positionV>
            <wp:extent cx="59258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258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-678815</wp:posOffset>
            </wp:positionV>
            <wp:extent cx="59258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258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-335915</wp:posOffset>
            </wp:positionV>
            <wp:extent cx="59258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258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-1407795</wp:posOffset>
            </wp:positionV>
            <wp:extent cx="59258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258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460"/>
          </w:cols>
          <w:pgMar w:left="240" w:top="121" w:right="259" w:bottom="1440" w:gutter="0" w:footer="0" w:header="0"/>
          <w:type w:val="continuous"/>
        </w:sect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are as follows:</w:t>
      </w:r>
    </w:p>
    <w:p>
      <w:pPr>
        <w:spacing w:after="0" w:line="232" w:lineRule="exact"/>
        <w:rPr>
          <w:sz w:val="20"/>
          <w:szCs w:val="20"/>
          <w:color w:val="auto"/>
        </w:rPr>
      </w:pPr>
    </w:p>
    <w:tbl>
      <w:tblPr>
        <w:tblLayout w:type="fixed"/>
        <w:tblInd w:w="2480" w:type="dxa"/>
        <w:tblCellMar>
          <w:top w:w="0" w:type="dxa"/>
          <w:left w:w="0" w:type="dxa"/>
          <w:bottom w:w="0" w:type="dxa"/>
          <w:right w:w="0" w:type="dxa"/>
        </w:tblCellMar>
      </w:tblPr>
      <w:tr>
        <w:trPr>
          <w:trHeight w:val="195"/>
        </w:trPr>
        <w:tc>
          <w:tcPr>
            <w:tcW w:w="448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6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2000" w:type="dxa"/>
            <w:vAlign w:val="bottom"/>
            <w:shd w:val="clear" w:color="auto" w:fill="CCEEFF"/>
          </w:tcPr>
          <w:p>
            <w:pPr>
              <w:spacing w:after="0"/>
              <w:rPr>
                <w:sz w:val="23"/>
                <w:szCs w:val="23"/>
                <w:color w:val="auto"/>
              </w:rPr>
            </w:pPr>
          </w:p>
        </w:tc>
      </w:tr>
      <w:tr>
        <w:trPr>
          <w:trHeight w:val="265"/>
        </w:trPr>
        <w:tc>
          <w:tcPr>
            <w:tcW w:w="4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leases</w:t>
            </w:r>
          </w:p>
        </w:tc>
        <w:tc>
          <w:tcPr>
            <w:tcW w:w="2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7.84 years</w:t>
            </w:r>
          </w:p>
        </w:tc>
      </w:tr>
      <w:tr>
        <w:trPr>
          <w:trHeight w:val="275"/>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Finance leases</w:t>
            </w:r>
          </w:p>
        </w:tc>
        <w:tc>
          <w:tcPr>
            <w:tcW w:w="2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 years</w:t>
            </w:r>
          </w:p>
        </w:tc>
      </w:tr>
      <w:tr>
        <w:trPr>
          <w:trHeight w:val="265"/>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00" w:type="dxa"/>
            <w:vAlign w:val="bottom"/>
          </w:tcPr>
          <w:p>
            <w:pPr>
              <w:spacing w:after="0"/>
              <w:rPr>
                <w:sz w:val="23"/>
                <w:szCs w:val="23"/>
                <w:color w:val="auto"/>
              </w:rPr>
            </w:pPr>
          </w:p>
        </w:tc>
      </w:tr>
      <w:tr>
        <w:trPr>
          <w:trHeight w:val="275"/>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 leases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260"/>
        </w:trPr>
        <w:tc>
          <w:tcPr>
            <w:tcW w:w="4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leases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r>
    </w:tbl>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21" w:right="25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for the three and six months ended June 30, 2019 were as follows:</w:t>
      </w:r>
    </w:p>
    <w:p>
      <w:pPr>
        <w:spacing w:after="0" w:line="15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vMerge w:val="restart"/>
          </w:tcPr>
          <w:p>
            <w:pPr>
              <w:spacing w:after="0"/>
              <w:rPr>
                <w:sz w:val="13"/>
                <w:szCs w:val="13"/>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4"/>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Fixed</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34,084</w:t>
            </w:r>
          </w:p>
        </w:tc>
        <w:tc>
          <w:tcPr>
            <w:tcW w:w="0" w:type="dxa"/>
            <w:vAlign w:val="bottom"/>
          </w:tcPr>
          <w:p>
            <w:pPr>
              <w:spacing w:after="0"/>
              <w:rPr>
                <w:sz w:val="1"/>
                <w:szCs w:val="1"/>
                <w:color w:val="auto"/>
              </w:rPr>
            </w:pPr>
          </w:p>
        </w:tc>
      </w:tr>
      <w:tr>
        <w:trPr>
          <w:trHeight w:val="265"/>
        </w:trPr>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Variable</w:t>
            </w:r>
          </w:p>
        </w:tc>
        <w:tc>
          <w:tcPr>
            <w:tcW w:w="3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3,447</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Impairment of ROU Asset</w:t>
            </w: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25,857</w:t>
            </w:r>
          </w:p>
        </w:tc>
        <w:tc>
          <w:tcPr>
            <w:tcW w:w="0" w:type="dxa"/>
            <w:vAlign w:val="bottom"/>
          </w:tcPr>
          <w:p>
            <w:pPr>
              <w:spacing w:after="0"/>
              <w:rPr>
                <w:sz w:val="1"/>
                <w:szCs w:val="1"/>
                <w:color w:val="auto"/>
              </w:rPr>
            </w:pPr>
          </w:p>
        </w:tc>
      </w:tr>
      <w:tr>
        <w:trPr>
          <w:trHeight w:val="25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63,388</w:t>
            </w:r>
          </w:p>
        </w:tc>
        <w:tc>
          <w:tcPr>
            <w:tcW w:w="0" w:type="dxa"/>
            <w:vAlign w:val="bottom"/>
          </w:tcPr>
          <w:p>
            <w:pPr>
              <w:spacing w:after="0"/>
              <w:rPr>
                <w:sz w:val="1"/>
                <w:szCs w:val="1"/>
                <w:color w:val="auto"/>
              </w:rPr>
            </w:pPr>
          </w:p>
        </w:tc>
      </w:tr>
      <w:tr>
        <w:trPr>
          <w:trHeight w:val="329"/>
        </w:trPr>
        <w:tc>
          <w:tcPr>
            <w:tcW w:w="3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6,052</w:t>
            </w: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6,413</w:t>
            </w:r>
          </w:p>
        </w:tc>
        <w:tc>
          <w:tcPr>
            <w:tcW w:w="0" w:type="dxa"/>
            <w:vAlign w:val="bottom"/>
          </w:tcPr>
          <w:p>
            <w:pPr>
              <w:spacing w:after="0"/>
              <w:rPr>
                <w:sz w:val="1"/>
                <w:szCs w:val="1"/>
                <w:color w:val="auto"/>
              </w:rPr>
            </w:pPr>
          </w:p>
        </w:tc>
      </w:tr>
      <w:tr>
        <w:trPr>
          <w:trHeight w:val="324"/>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June 30, 2019, are as follows:</w:t>
      </w:r>
    </w:p>
    <w:p>
      <w:pPr>
        <w:spacing w:after="0" w:line="244" w:lineRule="exact"/>
        <w:rPr>
          <w:sz w:val="20"/>
          <w:szCs w:val="20"/>
          <w:color w:val="auto"/>
        </w:rPr>
      </w:pPr>
    </w:p>
    <w:tbl>
      <w:tblPr>
        <w:tblLayout w:type="fixed"/>
        <w:tblInd w:w="2620" w:type="dxa"/>
        <w:tblCellMar>
          <w:top w:w="0" w:type="dxa"/>
          <w:left w:w="0" w:type="dxa"/>
          <w:bottom w:w="0" w:type="dxa"/>
          <w:right w:w="0" w:type="dxa"/>
        </w:tblCellMar>
      </w:tblPr>
      <w:tr>
        <w:trPr>
          <w:trHeight w:val="195"/>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50"/>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37,768</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6,784</w:t>
            </w:r>
          </w:p>
        </w:tc>
      </w:tr>
      <w:tr>
        <w:trPr>
          <w:trHeight w:val="27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10,062</w:t>
            </w:r>
          </w:p>
        </w:tc>
      </w:tr>
      <w:tr>
        <w:trPr>
          <w:trHeight w:val="26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71,830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2,436</w:t>
            </w:r>
          </w:p>
        </w:tc>
      </w:tr>
      <w:tr>
        <w:trPr>
          <w:trHeight w:val="27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65,920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r>
      <w:tr>
        <w:trPr>
          <w:trHeight w:val="26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63,178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and thereafter</w:t>
            </w: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171,840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tcPr>
          <w:p>
            <w:pPr>
              <w:spacing w:after="0"/>
              <w:rPr>
                <w:sz w:val="21"/>
                <w:szCs w:val="21"/>
                <w:color w:val="auto"/>
              </w:rPr>
            </w:pP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485,602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19,413</w:t>
            </w:r>
          </w:p>
        </w:tc>
      </w:tr>
      <w:tr>
        <w:trPr>
          <w:trHeight w:val="275"/>
        </w:trPr>
        <w:tc>
          <w:tcPr>
            <w:tcW w:w="2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w:t>
            </w:r>
          </w:p>
        </w:tc>
      </w:tr>
      <w:tr>
        <w:trPr>
          <w:trHeight w:val="260"/>
        </w:trPr>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lease liability</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388,070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17,566</w:t>
            </w:r>
          </w:p>
        </w:tc>
      </w:tr>
    </w:tbl>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lease payments under non-cancelable leases and sublease receipts as of December 31, 2018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9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16"/>
                <w:szCs w:val="16"/>
                <w:color w:val="auto"/>
              </w:rPr>
            </w:pP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Subleases</w:t>
            </w:r>
          </w:p>
        </w:tc>
      </w:tr>
      <w:tr>
        <w:trPr>
          <w:trHeight w:val="255"/>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21,983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32,755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w:t>
            </w:r>
          </w:p>
        </w:tc>
      </w:tr>
      <w:tr>
        <w:trPr>
          <w:trHeight w:val="26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30,473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r>
      <w:tr>
        <w:trPr>
          <w:trHeight w:val="27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(8,844)</w:t>
            </w:r>
          </w:p>
        </w:tc>
      </w:tr>
      <w:tr>
        <w:trPr>
          <w:trHeight w:val="26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(8,552)</w:t>
            </w:r>
          </w:p>
        </w:tc>
      </w:tr>
      <w:tr>
        <w:trPr>
          <w:trHeight w:val="27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21,456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(8,695)</w:t>
            </w:r>
          </w:p>
        </w:tc>
      </w:tr>
      <w:tr>
        <w:trPr>
          <w:trHeight w:val="26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113,779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(36,312)</w:t>
            </w:r>
          </w:p>
        </w:tc>
      </w:tr>
      <w:tr>
        <w:trPr>
          <w:trHeight w:val="242"/>
        </w:trPr>
        <w:tc>
          <w:tcPr>
            <w:tcW w:w="26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(80,706)</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20"/>
          </w:cols>
          <w:pgMar w:left="240" w:top="121" w:right="11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w:t>
      </w:r>
    </w:p>
    <w:p>
      <w:pPr>
        <w:spacing w:after="0" w:line="22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condensed consolidated statements of financial condition to the sum of the same such amounts shown in the condensed consolidated statements of cash flows.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458,064</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729,547</w:t>
            </w:r>
          </w:p>
        </w:tc>
      </w:tr>
      <w:tr>
        <w:trPr>
          <w:trHeight w:val="26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39,497</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6,500</w:t>
            </w:r>
          </w:p>
        </w:tc>
      </w:tr>
      <w:tr>
        <w:trPr>
          <w:trHeight w:val="242"/>
        </w:trPr>
        <w:tc>
          <w:tcPr>
            <w:tcW w:w="7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497,561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736,047</w:t>
            </w: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Capital Structure</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June 30, 2019 and December 31, 2018, there were 8,150,771 and 8,760,755 Virtu Financial Units outstanding held by Employee Holdco, respectively, and 609,984 and 2,958,931 of such Virtu Financial Units and corresponding Class C Common Stock were exchanged into Class A Common Stock, forfeited or repurchased during the six months ended June 30, 2019 and 2018,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Management Incentive Plan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KCG</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the KCG Closing Date, the Company completed the all-cash Acquisition of KCG. In connection with the Acquisition of KCG, the Company issued 8,012,821 shares of the Company’s Class A Common Stock to Aranda Investments Pte. Ltd. (“Aranda”), an affiliate of Temasek Holdings (Private) Limited (“Temasek”), for an aggregate purchase price of approximately $125.0 million and 40,064,103 shares of the Company’s Class A Common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The investment agreements are described in, and the full text thereof is filed as an exhibit to, the Company’s 2018 annual report on Form 10-K filed with the Securities and Exchange Commission on March 1, 2019.</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February 2018, the Company's board of directors authorized a new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2.6 million shares of Class A Common Stock and Virtu Financial Units for approximately $65.9 million. The Company now has approximately $34.1 million remaining capacity for future purchases of shares of Class A Common Stock and Virtu Financial Units under the program. Pursuant to the program,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88"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In May 2019, the Company completed a public offering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Exchanges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and 2018, pursuant to the exchange agreement by and among the Company, Virtu Financial and holders of Virtu Financial Units, certain current and former employees elected to exchange 609,984 and 3,508,217 units, respectively in Virtu Financial held directly or on their behalf by Virtu Employee Holdco LLC (“Employee Holdco”) on a one-for-one basis for shares of Class A Common Stock.</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completion of the IPO, the Reorganization Transactions, the Secondary Offerings, employee exchanges, and the share issuance in connection with the Acquisition of KCG, the Company holds approximately a 62.0% interest in Virtu Financial at June 30,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Share-based Compensation</w:t>
      </w:r>
    </w:p>
    <w:p>
      <w:pPr>
        <w:spacing w:after="0" w:line="229" w:lineRule="exact"/>
        <w:rPr>
          <w:sz w:val="20"/>
          <w:szCs w:val="20"/>
          <w:color w:val="auto"/>
        </w:rPr>
      </w:pPr>
    </w:p>
    <w:p>
      <w:pPr>
        <w:jc w:val="both"/>
        <w:ind w:right="20" w:firstLine="527"/>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2015 Management Incentive Plan as described in Note 18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stock options for the six months ended June 30,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55"/>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December 31, 2017</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7,783,000</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3,891,500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65"/>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(4,049,058)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(4,049,058)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65"/>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 or expired</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(83,750)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5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June 30, 2018</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3,650,192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1,779,442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December 31, 2018</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3,486,150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1,660,400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65"/>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156,129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156,129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13.60</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65"/>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 or expired</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5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June 30, 2019</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3,248,779</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3,248,779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recognized $1.5 million for the three months ended June 30, 2018, and $1.4 million and $2.9 million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and 2018, respectively, of compensation expense in relation to the stock options issued and outstanding. As of June 30, 2019 the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shares of Class A Common Stock were fully vested. As of December 31, 2018, total unrecognized share-based compensation expense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stock options was $1.6 million, and the amount was to be recognized over a weighted average period of 0.3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and Restricted Stock Units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2015 Management Incentive Plan as described in Note 18 “Capital Structure”, subsequent to the IPO, shares of immediately vested Class A Common Stock and restricted stock units were granted, with the latter vesting over a period of up to 4 years. The fair value of the Class A Common Stock and RSUs was determined based on a volume weighted average price and is being recognized on a straight-line basis over the vesting period. For the six months ended June 30, 2019 and 2018, respectively, there were 423,393 and 594,536 shares of immediately vested Class A Common Stock granted as part of year-end compensation. In addition, the Company recorded compensation expense adjustment of $(0.2) million for the three months ended June 30, 2019, and accrued compensation expense of $0.8 million for the three months ended 2018. The Company accrued $2.5 million and $4.7 million for the six months ended June 30, 2019 and 2018,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the RSUs (including the Assumed Awards):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3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December 31, 2017</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853,047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1,070,917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20.93</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(127,493)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June 30, 2018</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1,796,471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December 31, 2018</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1,378,922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3,305,045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(189,149)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20.97</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(820,287)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23.81</w:t>
            </w: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June 30, 2019</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3,674,531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$16.4 million and $4.5 million for the three months ended June 30, 2019 and 2018, respectively, and $39.6 million and $8.4 million for the six months ended June 30, 2019 and 2018, respectively, of compensation expense in relation to the restricted stock units. As of June 30, 2019 and December 31, 2018, total unrecognized share-based compensation expense related to unvested RSUs was $67.9 million and $21.3 million, respectively, and this amount is to be recognized over a weighted average period of 2 and 1.7 years,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Regulatory Requirement</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June 30, 2019 and December 31, 2018, U.S. broker-dealer subsidiaries of the Company are subject to the SEC Uniform Net Capital Rule 15c3-1, which requires the maintenance of minimum net capital for each of the five U.S. broker-dealers as detailed in the table below. Pursuant to NYSE rules, VAL was also required to maintain $1.15 million of capital in connection with the operation of its designated market maker (“DMM”) business as of June 30, 2019. The required amount is determined under the exchange rules as the greater of (i) $1 million or (ii) $75,000 for every 0.1% of NYSE transaction dollar volume in each of the securities for which the Company is registered as the DMM.</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regulatory capital and regulatory capital requirements of the U.S broker-dealer subsidiaries as of June 30, 2019 were as follows:</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5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328,965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324,559</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Virtu Financial BD LLC</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101,477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100,477</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8,633</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Virtu ITG LLC</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44,020</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Alternet Securities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regulatory capital and regulatory capital requirements of the U.S. broker-dealer subsidiaries as of December 31, 2018 were as follows:</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5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381,211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379,176</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Virtu Financial BD LLC</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133,850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132,850</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8"/>
          <w:szCs w:val="18"/>
          <w:color w:val="auto"/>
        </w:rPr>
        <w:t xml:space="preserve">As of June 30, 2019, VAL and VITG had $23.0 million and $7.4 million, respectively, of cash in special reserve bank accounts for the benefit of customers pursuant to SEC Rule 15c3-3, </w:t>
      </w:r>
      <w:r>
        <w:rPr>
          <w:rFonts w:ascii="Times New Roman" w:cs="Times New Roman" w:eastAsia="Times New Roman" w:hAnsi="Times New Roman"/>
          <w:sz w:val="18"/>
          <w:szCs w:val="18"/>
          <w:i w:val="1"/>
          <w:iCs w:val="1"/>
          <w:color w:val="auto"/>
        </w:rPr>
        <w:t>Computation for Determination of Reserve Requirements,</w:t>
      </w:r>
      <w:r>
        <w:rPr>
          <w:rFonts w:ascii="Times New Roman" w:cs="Times New Roman" w:eastAsia="Times New Roman" w:hAnsi="Times New Roman"/>
          <w:sz w:val="18"/>
          <w:szCs w:val="18"/>
          <w:color w:val="auto"/>
        </w:rPr>
        <w:t xml:space="preserve"> and $1.0 million and $4.4 million, respectively, of cash in reserve bank accounts for the benefit of proprietary accounts of brokers.</w:t>
      </w:r>
    </w:p>
    <w:p>
      <w:pPr>
        <w:spacing w:after="0" w:line="14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Company’s foreign subsidiaries are subject to regulatory capital requirements set by local regulatory bodies, including the Investment Industry Regulatory Organization of Canada (“IIROC”), the Central Bank of Ireland, the Financial Conduct Authority in the United Kingdom, the Australian Securities Exchange, the Securities and Futures Commission in Hong</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Kong, and the Monetary Authority of Singapore. Virtu Financial Canada ULC was admitted to membership in IIROC in March 2019. The regulatory net capital balances and regulatory capital requirements applicable to these subsidiaries as of June 30, 2019 were as follows:</w:t>
      </w:r>
    </w:p>
    <w:p>
      <w:pPr>
        <w:spacing w:after="0" w:line="8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6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ITG Canada Corp</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17,854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17,663</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TriAct Canada Marketplace LP</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52,855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21,531</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79,308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35,537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43,771</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Virtu ITG UK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KCG Europe Limited</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50,672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18,672</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12,137</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1,533</w:t>
            </w:r>
          </w:p>
        </w:tc>
        <w:tc>
          <w:tcPr>
            <w:tcW w:w="0" w:type="dxa"/>
            <w:vAlign w:val="bottom"/>
          </w:tcPr>
          <w:p>
            <w:pPr>
              <w:spacing w:after="0"/>
              <w:rPr>
                <w:sz w:val="1"/>
                <w:szCs w:val="1"/>
                <w:color w:val="auto"/>
              </w:rPr>
            </w:pPr>
          </w:p>
        </w:tc>
      </w:tr>
      <w:tr>
        <w:trPr>
          <w:trHeight w:val="260"/>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Geographic Information and Business Segments</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six months ended June 30, 2019 and 2018</w:t>
      </w:r>
      <w:r>
        <w:rPr>
          <w:rFonts w:ascii="Times New Roman" w:cs="Times New Roman" w:eastAsia="Times New Roman" w:hAnsi="Times New Roman"/>
          <w:sz w:val="16"/>
          <w:szCs w:val="16"/>
          <w:color w:val="auto"/>
        </w:rPr>
        <w:t>:</w:t>
      </w:r>
    </w:p>
    <w:p>
      <w:pPr>
        <w:spacing w:after="0" w:line="196"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 (1)</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274,074</w:t>
            </w:r>
          </w:p>
        </w:tc>
        <w:tc>
          <w:tcPr>
            <w:tcW w:w="120" w:type="dxa"/>
            <w:vAlign w:val="bottom"/>
          </w:tcPr>
          <w:p>
            <w:pPr>
              <w:spacing w:after="0"/>
              <w:rPr>
                <w:sz w:val="23"/>
                <w:szCs w:val="23"/>
                <w:color w:val="auto"/>
              </w:rPr>
            </w:pP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277,263</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565,410</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1,020,414</w:t>
            </w:r>
          </w:p>
        </w:tc>
      </w:tr>
      <w:tr>
        <w:trPr>
          <w:trHeight w:val="27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48,890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84,565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38,624</w:t>
            </w:r>
          </w:p>
        </w:tc>
      </w:tr>
      <w:tr>
        <w:trPr>
          <w:trHeight w:val="26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9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14,845</w:t>
            </w:r>
          </w:p>
        </w:tc>
      </w:tr>
      <w:tr>
        <w:trPr>
          <w:trHeight w:val="27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29,707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22,626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56,545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68,837</w:t>
            </w:r>
          </w:p>
        </w:tc>
      </w:tr>
      <w:tr>
        <w:trPr>
          <w:trHeight w:val="26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92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15,088</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10,591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13,893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9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923</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459</w:t>
            </w:r>
          </w:p>
        </w:tc>
      </w:tr>
      <w:tr>
        <w:trPr>
          <w:trHeight w:val="24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378,456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741,448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1,143,179</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$337.6 million gain on sale of BondPoint for the six months ended June 30, 2018.</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two operating segments: (i) Market Making and (ii) Execution Services; and one non-operating segment: Corporate.</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and the AIM.</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121" w:right="29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Execution Services segment comprises agency-based trading and trading venues, offering execution services in global equities, options, futures and fixed income on behalf of institutions, banks and broker-dealers as well as technology services revenues. The Company earns commissions and commission equivalents as an agent on behalf of clients as well as between principals to transactions; in addition, the Company will commit capital on behalf of clients as needed. Agency-based,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orders in POSIT Alert and in the Company's ATSs, including Virtu MatchIt, POSIT, and MATCHNow.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19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June 30, 2019 and 2018 are summarized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3"/>
                <w:szCs w:val="1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2"/>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235,004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142,024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378,456</w:t>
            </w:r>
          </w:p>
        </w:tc>
        <w:tc>
          <w:tcPr>
            <w:tcW w:w="0" w:type="dxa"/>
            <w:vAlign w:val="bottom"/>
          </w:tcPr>
          <w:p>
            <w:pPr>
              <w:spacing w:after="0"/>
              <w:rPr>
                <w:sz w:val="1"/>
                <w:szCs w:val="1"/>
                <w:color w:val="auto"/>
              </w:rPr>
            </w:pPr>
          </w:p>
        </w:tc>
      </w:tr>
      <w:tr>
        <w:trPr>
          <w:trHeight w:val="265"/>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(66,579)</w:t>
            </w:r>
          </w:p>
        </w:tc>
        <w:tc>
          <w:tcPr>
            <w:tcW w:w="0" w:type="dxa"/>
            <w:vAlign w:val="bottom"/>
          </w:tcPr>
          <w:p>
            <w:pPr>
              <w:spacing w:after="0"/>
              <w:rPr>
                <w:sz w:val="1"/>
                <w:szCs w:val="1"/>
                <w:color w:val="auto"/>
              </w:rPr>
            </w:pPr>
          </w:p>
        </w:tc>
      </w:tr>
      <w:tr>
        <w:trPr>
          <w:trHeight w:val="289"/>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287,695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328,126</w:t>
            </w:r>
          </w:p>
        </w:tc>
        <w:tc>
          <w:tcPr>
            <w:tcW w:w="0" w:type="dxa"/>
            <w:vAlign w:val="bottom"/>
          </w:tcPr>
          <w:p>
            <w:pPr>
              <w:spacing w:after="0"/>
              <w:rPr>
                <w:sz w:val="1"/>
                <w:szCs w:val="1"/>
                <w:color w:val="auto"/>
              </w:rPr>
            </w:pPr>
          </w:p>
        </w:tc>
      </w:tr>
      <w:tr>
        <w:trPr>
          <w:trHeight w:val="260"/>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(1) Amounts shown in the Corporate segment include eliminations of income statement and balance sheet items included in the Company's other segments.</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Pre-tax earnings by segment for the six months ended June 30, 2019 and 2018 are summarized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3"/>
                <w:szCs w:val="1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2"/>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514,225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225,542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741,448</w:t>
            </w:r>
          </w:p>
        </w:tc>
        <w:tc>
          <w:tcPr>
            <w:tcW w:w="0" w:type="dxa"/>
            <w:vAlign w:val="bottom"/>
          </w:tcPr>
          <w:p>
            <w:pPr>
              <w:spacing w:after="0"/>
              <w:rPr>
                <w:sz w:val="1"/>
                <w:szCs w:val="1"/>
                <w:color w:val="auto"/>
              </w:rPr>
            </w:pPr>
          </w:p>
        </w:tc>
      </w:tr>
      <w:tr>
        <w:trPr>
          <w:trHeight w:val="265"/>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69,501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(82,783)</w:t>
            </w:r>
          </w:p>
        </w:tc>
        <w:tc>
          <w:tcPr>
            <w:tcW w:w="0" w:type="dxa"/>
            <w:vAlign w:val="bottom"/>
          </w:tcPr>
          <w:p>
            <w:pPr>
              <w:spacing w:after="0"/>
              <w:rPr>
                <w:sz w:val="1"/>
                <w:szCs w:val="1"/>
                <w:color w:val="auto"/>
              </w:rPr>
            </w:pPr>
          </w:p>
        </w:tc>
      </w:tr>
      <w:tr>
        <w:trPr>
          <w:trHeight w:val="289"/>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720,231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424,553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1,143,179</w:t>
            </w:r>
          </w:p>
        </w:tc>
        <w:tc>
          <w:tcPr>
            <w:tcW w:w="0" w:type="dxa"/>
            <w:vAlign w:val="bottom"/>
          </w:tcPr>
          <w:p>
            <w:pPr>
              <w:spacing w:after="0"/>
              <w:rPr>
                <w:sz w:val="1"/>
                <w:szCs w:val="1"/>
                <w:color w:val="auto"/>
              </w:rPr>
            </w:pPr>
          </w:p>
        </w:tc>
      </w:tr>
      <w:tr>
        <w:trPr>
          <w:trHeight w:val="265"/>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223,166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331,574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518,160</w:t>
            </w: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Amounts shown in the Corporate segment include eliminations of income statement and balance sheet items included in the Company's other segments.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Related Party Transactions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incurs expenses and maintains balances with its affiliates in the ordinary course of business. As of June 30, 2019, and December 31, 2018 the Company had payables of $1.2 million and $3.0 million to its affiliates, respectively.</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has held a minority interest in SBI since 2016 (see Note 11 “Financial Assets and Liabilities”). The Company pays exchange fees to SBI for the trading activities conducted on its proprietary trading system. The Company paid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$2.7 million and $2.3 million for the three months ended June 30, 2019 and 2018, respectively, and $6.1 million and $4.6 million for the six months ended June 30, 2019 and 2018, respectively, to SBI for these trading activities.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$5.2 million and $4.4 million to the JVs for the three months ended June 30, 2019 and 2018, respectively, and $10.4 million and $10.1 million for the six months ended June 30, 2019 and 2018, respectively.</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purchases network connections services from affiliates of Level 3 Communications (“Level 3”). Temasek and its affiliates have a significant ownership interest in Level 3. The Company paid $0.5 million and $0.8 million for the three months ended June 30, 2019 and 2018, respectively, and $0.8 million and $1.5 million for the six months ended June 30, 2019 and 2018, respectively, to Level 3 for these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0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August 8, 2019, the Company’s board of directors declared a dividend of $0.24 per share of Class A Common Stock and Class B Common Stock and per Restricted Stock Unit that will be paid on September 16, 2019 to holders of record as of September 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121" w:right="27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covers the three and six months ended June 30, 2019, and 2018 and should be read in conjunction with the condensed consolidated financial statements of Virtu Financial, Inc. (the “Company”).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this quarterly report on Form 10-Q or in Part I, Item 1A. “Risk Factors” in our Annual Report on Form 10-K for the year ended December 31, 2018 as filed with the Securities and Exchange Commission (“SEC”) on March 1, 2019 (the “2018 Form 10-K”), could affect our actual financial results or results of operations and cash flows, and could cause actual results to differ materially from those in such forward-looking statements, including but not limited to:</w:t>
      </w:r>
    </w:p>
    <w:p>
      <w:pPr>
        <w:spacing w:after="0" w:line="87" w:lineRule="exact"/>
        <w:rPr>
          <w:sz w:val="20"/>
          <w:szCs w:val="20"/>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levels of overall trading activity;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trading counterparties and clearing houses performing their obligations to us;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customized trading platform;</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to the electronic market making business and trading generally;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market making activities and execution services;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continued access to sources of liquidity;</w:t>
      </w:r>
    </w:p>
    <w:p>
      <w:pPr>
        <w:spacing w:after="0" w:line="88" w:lineRule="exact"/>
        <w:rPr>
          <w:rFonts w:ascii="Times New Roman" w:cs="Times New Roman" w:eastAsia="Times New Roman" w:hAnsi="Times New Roman"/>
          <w:sz w:val="18"/>
          <w:szCs w:val="18"/>
          <w:color w:val="auto"/>
        </w:rPr>
      </w:pPr>
    </w:p>
    <w:p>
      <w:pPr>
        <w:ind w:left="980" w:hanging="162"/>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clearing and other operational elements of our business;</w:t>
      </w:r>
    </w:p>
    <w:p>
      <w:pPr>
        <w:spacing w:after="0" w:line="145"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applicable regulatory capital requirements;</w:t>
      </w:r>
    </w:p>
    <w:p>
      <w:pPr>
        <w:spacing w:after="0" w:line="88" w:lineRule="exact"/>
        <w:rPr>
          <w:rFonts w:ascii="Times New Roman" w:cs="Times New Roman" w:eastAsia="Times New Roman" w:hAnsi="Times New Roman"/>
          <w:sz w:val="18"/>
          <w:szCs w:val="18"/>
          <w:color w:val="auto"/>
        </w:rPr>
      </w:pPr>
    </w:p>
    <w:p>
      <w:pPr>
        <w:ind w:left="980" w:hanging="162"/>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legal and regulatory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liabilities;</w:t>
      </w:r>
    </w:p>
    <w:p>
      <w:pPr>
        <w:spacing w:after="0" w:line="145"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legislation that would impose taxes on certain financial transactions in the European Union, the U.S. and other jurisdictions;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laws and regulations applicable to our operations in the U.S. and abroad;</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media and regulatory scrutiny and its impact upon public perception of us or of companies in our industry;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maintain and continue developing proprietary technologies;</w:t>
      </w:r>
    </w:p>
    <w:p>
      <w:pPr>
        <w:spacing w:after="0" w:line="117" w:lineRule="exact"/>
        <w:rPr>
          <w:rFonts w:ascii="Times New Roman" w:cs="Times New Roman" w:eastAsia="Times New Roman" w:hAnsi="Times New Roman"/>
          <w:sz w:val="18"/>
          <w:szCs w:val="18"/>
          <w:color w:val="auto"/>
        </w:rPr>
      </w:pPr>
    </w:p>
    <w:p>
      <w:pPr>
        <w:ind w:left="980" w:right="520" w:hanging="162"/>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ITG Acquisition (as defined below) on existing business relationships, operating results, and ongoing business operations generally;</w:t>
      </w:r>
    </w:p>
    <w:p>
      <w:pPr>
        <w:spacing w:after="0" w:line="53" w:lineRule="exact"/>
        <w:rPr>
          <w:rFonts w:ascii="Times New Roman" w:cs="Times New Roman" w:eastAsia="Times New Roman" w:hAnsi="Times New Roman"/>
          <w:sz w:val="18"/>
          <w:szCs w:val="18"/>
          <w:color w:val="auto"/>
        </w:rPr>
      </w:pPr>
    </w:p>
    <w:p>
      <w:pPr>
        <w:ind w:left="980" w:right="220" w:hanging="162"/>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and significant indebtedness that we have incurred in connection with the ITG Acquisition, and the integration of ITG (as defined below) into our business;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right="180" w:hanging="16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encounter significant difficulties or delays in integrating the ITG business with ours and that the anticipated benefits, cost savings and synergies or capital release may not be achieved;</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potential liabilities and risks relating to ITG's business;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system failures, and delays;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party infrastructure or systems;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 source software;</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in our proprietary technology;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confidential and proprietary information;</w:t>
      </w:r>
    </w:p>
    <w:p>
      <w:pPr>
        <w:spacing w:after="0" w:line="117" w:lineRule="exact"/>
        <w:rPr>
          <w:rFonts w:ascii="Times New Roman" w:cs="Times New Roman" w:eastAsia="Times New Roman" w:hAnsi="Times New Roman"/>
          <w:sz w:val="18"/>
          <w:szCs w:val="18"/>
          <w:color w:val="auto"/>
        </w:rPr>
      </w:pPr>
    </w:p>
    <w:p>
      <w:pPr>
        <w:ind w:left="980" w:right="100" w:hanging="16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systems from internal or external cyber threats that could result in damage to our computer systems, business interruption, loss of data or other consequences;</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international operations and expansion, including failed acquisitions or dispositions;</w:t>
      </w:r>
    </w:p>
    <w:p>
      <w:pPr>
        <w:spacing w:after="0" w:line="117" w:lineRule="exact"/>
        <w:rPr>
          <w:rFonts w:ascii="Times New Roman" w:cs="Times New Roman" w:eastAsia="Times New Roman" w:hAnsi="Times New Roman"/>
          <w:sz w:val="18"/>
          <w:szCs w:val="18"/>
          <w:color w:val="auto"/>
        </w:rPr>
      </w:pPr>
    </w:p>
    <w:p>
      <w:pPr>
        <w:ind w:left="980" w:right="120" w:hanging="162"/>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68"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growth and associated corporate actions;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or delay in accessing the capital markets to sell shares or raise additional capital;</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executives and failure to recruit and retain qualified personnel; and</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losing access to a significant exchange or other trading venue.</w:t>
      </w:r>
    </w:p>
    <w:p>
      <w:pPr>
        <w:spacing w:after="0" w:line="3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for the three and six months ended June 30, 2019 and 2018 reflect our operations and those of our consolidated subsidiaries. As discussed in Note 1 “Organization and Basis of Presentation” and in Note 3 “ITG Acquisition” of Part I Item 1 “Financial Statements” of this quarterly report on Form 10-Q, we have accounted for the ITG Acquisition under the acquisition method of accounting. Under the acquisition method of accounting, the assets and liabilities of ITG, as of the ITG Closing Date (as defined below), were recorded at their respective fair values and added to the carrying value of our existing assets and liabilities. Our reported financial condition, results of operations and cash flows of the Company for the periods following the ITG Closing Date reflect ITG's and our balances, and reflect the impact of purchase accounting adjustments. The financial results for the three months ended June 30, 2019 comprise our results and the results of ITG for the entire applicable period. The financial results for the six months ended June 30, 2019 comprise our results for the entire applicable period and the results of ITG from the ITG Closing Date through June 30, 2019. All periods prior to the ITG Closing Date comprise solely our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are a leading financial services firm that leverages cutting edge technology to deliver innovative, transparent trading solutions to our clients and liquidity to the global markets. We leverage our market structure expertise and scaled, multi-asset technology infrastructure to provide a complete suite of client solutions, including transparent agency execution and broker-neutral offerings. We believe that our broad diversification, in combination with our proprietary technology platform and low-cost structure, enables us to facilitate risk transfer between global capital markets participants by supplying competitive liquidity while at the same time earning attractive margins and returns.</w:t>
      </w:r>
    </w:p>
    <w:p>
      <w:pPr>
        <w:spacing w:after="0" w:line="18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Technology and operational efficiency are at the core of our business, and our focus on technology is a key element of our success. We have developed a proprietary, multi-asset, multi-currency technology platform that is highly reliable, scalable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and across additional securities and other financial instruments and asset classes without significant incremental costs or third party licensing or processing fees.</w:t>
      </w:r>
    </w:p>
    <w:p>
      <w:pPr>
        <w:spacing w:after="0" w:line="180"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believe that technology-enabled market makers and execution services providers like Virtu serve an important role in maintaining and improving the overall health and efficiency of the global capital markets by ensuring that market participants have an efficient means to transfer risk and analyze the quality of execution. All market participants benefit from the increased liquidity, lower overall trading costs and execution transparency that Virtu provides.</w:t>
      </w:r>
    </w:p>
    <w:p>
      <w:pPr>
        <w:spacing w:after="0" w:line="15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execution services and client solutions products are transparent, because we believe transparency makes markets more efficient and helps investors make better, more informed decisions. We use the best technology to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80" w:lineRule="exact"/>
        <w:rPr>
          <w:sz w:val="20"/>
          <w:szCs w:val="20"/>
          <w:color w:val="auto"/>
        </w:rPr>
      </w:pPr>
    </w:p>
    <w:p>
      <w:pPr>
        <w:ind w:right="220" w:firstLine="549"/>
        <w:spacing w:after="0" w:line="266" w:lineRule="auto"/>
        <w:rPr>
          <w:sz w:val="20"/>
          <w:szCs w:val="20"/>
          <w:color w:val="auto"/>
        </w:rPr>
      </w:pPr>
      <w:r>
        <w:rPr>
          <w:rFonts w:ascii="Times New Roman" w:cs="Times New Roman" w:eastAsia="Times New Roman" w:hAnsi="Times New Roman"/>
          <w:sz w:val="18"/>
          <w:szCs w:val="18"/>
          <w:color w:val="auto"/>
        </w:rPr>
        <w:t>On July 20, 2017 (the “KCG Closing Date”), the Company completed the all-cash acquisition of KCG Holdings, Inc. (“KCG”) (the “Acquisition of KCG”). KCG was a leading independent securities firm offering clients a range of services designed to address trading needs across asset classes, product types and geographies.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described below, we completed the ITG Acquisition on the ITG Closing Date. ITG was a global financial technology company helping leading brokers and asset managers improve returns for investors around the world. ITG empowered traders to reduce the end-to-end cost of implementing investments via liquidity, execution, analytics and workflow technology solutions.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have two operating segments: Market Making and Execution Services, and one non-operating segment: Corporate. Our management allocates resources, assesses performance and manages our business according to these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Making</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leverage cutting edge technology to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best technology to deliver liquidity to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will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Execution Services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offer agency execution services and trading venues that provide transparent trading in global equities, ETFs, fixed income, currencies, and commodities to institutions, banks and broker-dealers. We generally earn commissions as an agent between principals for transactions. Agency-based, execution-only trading in the segment is done primarily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orders in POSIT Alert and in our alternative trading systems (“ATS”), including Virtu MatchIt, POSIT and MATCHNow. We also earn revenues (a) by providing our proprietary technology and infrastructure to select third parties for a service fee, (b) through workflow technology, our integrated, broker-neutral trading tools delivered across the globe including trade order and execution management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Investment Technology Group, Inc.</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March 1, 2019 (the “ITG Closing Date”), we announced the completion of our previously announced acquisition of Investment Technology Group, Inc. (“ITG”) in a cash transaction valued at $30.30 per ITG share, or a total of approximately $1.0 billion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(the “Credit Agreement”), with the lenders party thereto, Jefferies Finance LLC, as administrative agent and Jefferies Finance LLC and RBC Capital Markets, as joint lead arrangers and joint bookrunners. The Credit Agreement provides (i) a senior secured first lien term loan (the “First Lien Term Loan Facility”) in an aggregate principal amount of $1.5 billion, drawn in its entirety on the ITG Closing Date, with approximately $404.5 million being borrowed by VFH to repay all amounts outstanding under its existing term loan facility and the remaining approximately $1,095.0 million being borrowed by the Acquisition Borrower to finance the consideration and fees and expenses to be paid in connection with the ITG Acquisition, and (ii) a $50.0 million senior secured first lien revolving facility to VFH (the “First Lien Revolving Facility”),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Management Incentive Plan</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board of directors and stockholders adopted the 2015 Management Incentive Plan, which became effective upon consummation of the Company's initial public offering in April 2015 (the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w:t>
      </w:r>
    </w:p>
    <w:p>
      <w:pPr>
        <w:spacing w:after="0" w:line="16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June 30, 2019, options to purchase 1,613,750 shares in the aggregate were forfeited and 4,521,600 options were exercised. The fair value of the stock option grants was determined through the application of the Black-Scholes-Merton model and is being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w:t>
      </w:r>
    </w:p>
    <w:p>
      <w:pPr>
        <w:spacing w:after="0" w:line="4" w:lineRule="exact"/>
        <w:rPr>
          <w:sz w:val="20"/>
          <w:szCs w:val="20"/>
          <w:color w:val="auto"/>
        </w:rPr>
      </w:pPr>
    </w:p>
    <w:p>
      <w:pPr>
        <w:ind w:right="80" w:firstLine="8"/>
        <w:spacing w:after="0" w:line="254"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 Financial Information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There are no material differences between our condensed consolidated financial statements and the financial statements of Virtu Financial LLC (“Virtu Financial”) except as follows: (i) cash and cash equivalents reflected on our condensed consolidated statement of financial condition in the amount of $0.1 million; (ii) deferred tax assets reflected on our condensed consolidated statement of financial condition in the amount of $222.9 million and tax receivable agreement obligation in the amount of $256.7 million, in each case as described in greater detail in Note 6 “Tax Receivable Agreements” of Part I Item 1 “Financial Statements” of this quarterly report on Form 10-Q; (iii) a portion of the member's equity of Virtu Financial is represented as non-controlling interest on our condensed consolidated statement of financial condition; and (iv) provision for (benefit from) corporate income tax in the amount of $(12.7) million and $(15.2) million reflected on our condensed consolidated statements of comprehensive income for the three and six months ended June 30, 2019,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0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i) Total revenue, ii) Total operating expenses, and iii) Income before income taxes and noncontrolling interest by segment for the three and six months ended June 30, 2019 and 2018:</w:t>
      </w:r>
    </w:p>
    <w:p>
      <w:pPr>
        <w:spacing w:after="0" w:line="35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235,004</w:t>
            </w:r>
          </w:p>
        </w:tc>
        <w:tc>
          <w:tcPr>
            <w:tcW w:w="12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287,695</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514,225</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720,231</w:t>
            </w:r>
          </w:p>
        </w:tc>
      </w:tr>
      <w:tr>
        <w:trPr>
          <w:trHeight w:val="270"/>
        </w:trPr>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213,042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227,692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444,724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497,065</w:t>
            </w:r>
          </w:p>
        </w:tc>
      </w:tr>
      <w:tr>
        <w:trPr>
          <w:trHeight w:val="250"/>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69,501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223,166</w:t>
            </w:r>
          </w:p>
        </w:tc>
      </w:tr>
      <w:tr>
        <w:trPr>
          <w:trHeight w:val="275"/>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142,024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225,542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424,553</w:t>
            </w:r>
          </w:p>
        </w:tc>
      </w:tr>
      <w:tr>
        <w:trPr>
          <w:trHeight w:val="270"/>
        </w:trPr>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163,721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40,385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291,644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92,979</w:t>
            </w:r>
          </w:p>
        </w:tc>
      </w:tr>
      <w:tr>
        <w:trPr>
          <w:trHeight w:val="250"/>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331,574</w:t>
            </w:r>
          </w:p>
        </w:tc>
      </w:tr>
      <w:tr>
        <w:trPr>
          <w:trHeight w:val="275"/>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r>
      <w:tr>
        <w:trPr>
          <w:trHeight w:val="270"/>
        </w:trPr>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68,272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10,427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87,863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34,975</w:t>
            </w:r>
          </w:p>
        </w:tc>
      </w:tr>
      <w:tr>
        <w:trPr>
          <w:trHeight w:val="250"/>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(36,580)</w:t>
            </w:r>
          </w:p>
        </w:tc>
      </w:tr>
      <w:tr>
        <w:trPr>
          <w:trHeight w:val="275"/>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378,456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328,126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741,448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1,143,179</w:t>
            </w:r>
          </w:p>
        </w:tc>
      </w:tr>
      <w:tr>
        <w:trPr>
          <w:trHeight w:val="270"/>
        </w:trPr>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445,035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278,504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824,231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625,019</w:t>
            </w:r>
          </w:p>
        </w:tc>
      </w:tr>
      <w:tr>
        <w:trPr>
          <w:trHeight w:val="245"/>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(66,579)</w:t>
            </w:r>
          </w:p>
        </w:tc>
        <w:tc>
          <w:tcPr>
            <w:tcW w:w="12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49,622</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(82,783)</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results of operations for the three and six months ended June 30,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income, net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205,923</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258,593</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463,463</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664,755</w:t>
            </w:r>
          </w:p>
        </w:tc>
      </w:tr>
      <w:tr>
        <w:trPr>
          <w:trHeight w:val="2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21,937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53,293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39,886</w:t>
            </w:r>
          </w:p>
        </w:tc>
      </w:tr>
      <w:tr>
        <w:trPr>
          <w:trHeight w:val="26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2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145,120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46,565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220,267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100,409</w:t>
            </w:r>
          </w:p>
        </w:tc>
      </w:tr>
      <w:tr>
        <w:trPr>
          <w:trHeight w:val="27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338,129</w:t>
            </w:r>
          </w:p>
        </w:tc>
      </w:tr>
      <w:tr>
        <w:trPr>
          <w:trHeight w:val="250"/>
        </w:trPr>
        <w:tc>
          <w:tcPr>
            <w:tcW w:w="5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26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378,456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741,448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1,143,179</w:t>
            </w:r>
          </w:p>
        </w:tc>
      </w:tr>
      <w:tr>
        <w:trPr>
          <w:trHeight w:val="275"/>
        </w:trPr>
        <w:tc>
          <w:tcPr>
            <w:tcW w:w="5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5"/>
        </w:trPr>
        <w:tc>
          <w:tcPr>
            <w:tcW w:w="5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75,851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73,318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139,904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161,141</w:t>
            </w:r>
          </w:p>
        </w:tc>
      </w:tr>
      <w:tr>
        <w:trPr>
          <w:trHeight w:val="26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2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54,423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96,237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98,277</w:t>
            </w:r>
          </w:p>
        </w:tc>
      </w:tr>
      <w:tr>
        <w:trPr>
          <w:trHeight w:val="2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83,702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191,540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105,896</w:t>
            </w:r>
          </w:p>
        </w:tc>
      </w:tr>
      <w:tr>
        <w:trPr>
          <w:trHeight w:val="26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for order flow</w:t>
            </w:r>
          </w:p>
        </w:tc>
        <w:tc>
          <w:tcPr>
            <w:tcW w:w="2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23,636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47,197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32,098</w:t>
            </w:r>
          </w:p>
        </w:tc>
      </w:tr>
      <w:tr>
        <w:trPr>
          <w:trHeight w:val="2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36,824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82,193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68,633</w:t>
            </w:r>
          </w:p>
        </w:tc>
      </w:tr>
      <w:tr>
        <w:trPr>
          <w:trHeight w:val="26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2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56,885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36,416</w:t>
            </w:r>
          </w:p>
        </w:tc>
      </w:tr>
      <w:tr>
        <w:trPr>
          <w:trHeight w:val="2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31,260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31,546</w:t>
            </w:r>
          </w:p>
        </w:tc>
      </w:tr>
      <w:tr>
        <w:trPr>
          <w:trHeight w:val="26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13,675</w:t>
            </w:r>
          </w:p>
        </w:tc>
      </w:tr>
      <w:tr>
        <w:trPr>
          <w:trHeight w:val="2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65,207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65,208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21,860</w:t>
            </w:r>
          </w:p>
        </w:tc>
      </w:tr>
      <w:tr>
        <w:trPr>
          <w:trHeight w:val="26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8,380</w:t>
            </w:r>
          </w:p>
        </w:tc>
      </w:tr>
      <w:tr>
        <w:trPr>
          <w:trHeight w:val="2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9,246</w:t>
            </w:r>
          </w:p>
        </w:tc>
      </w:tr>
      <w:tr>
        <w:trPr>
          <w:trHeight w:val="26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 related to share based compensation at IPO</w:t>
            </w:r>
          </w:p>
        </w:tc>
        <w:tc>
          <w:tcPr>
            <w:tcW w:w="2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r>
      <w:tr>
        <w:trPr>
          <w:trHeight w:val="27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34,689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18,780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57,478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37,827</w:t>
            </w:r>
          </w:p>
        </w:tc>
      </w:tr>
      <w:tr>
        <w:trPr>
          <w:trHeight w:val="250"/>
        </w:trPr>
        <w:tc>
          <w:tcPr>
            <w:tcW w:w="54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445,035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278,504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824,231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625,019</w:t>
            </w:r>
          </w:p>
        </w:tc>
      </w:tr>
      <w:tr>
        <w:trPr>
          <w:trHeight w:val="25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(66,579)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49,622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(82,783)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518,160</w:t>
            </w:r>
          </w:p>
        </w:tc>
      </w:tr>
      <w:tr>
        <w:trPr>
          <w:trHeight w:val="265"/>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61,515</w:t>
            </w:r>
          </w:p>
        </w:tc>
      </w:tr>
      <w:tr>
        <w:trPr>
          <w:trHeight w:val="242"/>
        </w:trPr>
        <w:tc>
          <w:tcPr>
            <w:tcW w:w="5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456,645</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240" w:top="121" w:right="67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Revenues are generated through market marking activities, commissions and fees on execution services activities, which include recurring subscriptions on workflow technology and analytic products. The majority of our revenue is generated through market making activities, which is recorded as Trading income, net and Interest and dividends income. Commissions and fees are derived from commissions charged for trade executions in agency execution services. We earn commissions and commission equivalents,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 and thus it is not probable that a significant reversal of cumulative revenue recognized will not occur.</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will be recognized over the course of the year as the performance obligations for those analytics products are satisfied.</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income, net. </w:t>
      </w:r>
      <w:r>
        <w:rPr>
          <w:rFonts w:ascii="Times New Roman" w:cs="Times New Roman" w:eastAsia="Times New Roman" w:hAnsi="Times New Roman"/>
          <w:sz w:val="18"/>
          <w:szCs w:val="18"/>
          <w:color w:val="auto"/>
        </w:rPr>
        <w:t>Trading income, net represents revenue earned from bid/ask spreads. Trading income is generated in the normal course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making activities and is typically proportional to the level of trading activity, or volumes, in the asset classes we serve. Our trading income is highly diversified by asset class and geography and is comprised of small amounts earned on millions of trades on various exchanges, primarily in the following two categories: Global Equities, and Global FICC, Options and Other. Our trading income, net, results from gains and losses associated with trading strategies, which are designed to capture small bid ask spreads. Trading income, net, accounted for 54% and 79% of our total revenues for the three months ended June 30, 2019 and 2018, respectively, and 63% and 58% for the six months ended June 30, 2019 and 2018, respectively.</w:t>
      </w:r>
    </w:p>
    <w:p>
      <w:pPr>
        <w:spacing w:after="0" w:line="18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income. </w:t>
      </w:r>
      <w:r>
        <w:rPr>
          <w:rFonts w:ascii="Times New Roman" w:cs="Times New Roman" w:eastAsia="Times New Roman" w:hAnsi="Times New Roman"/>
          <w:sz w:val="18"/>
          <w:szCs w:val="18"/>
          <w:color w:val="auto"/>
        </w:rPr>
        <w:t>Our market making activities require us to hold securities on a regular basis, and we generate revenues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net and technology services. </w:t>
      </w:r>
      <w:r>
        <w:rPr>
          <w:rFonts w:ascii="Times New Roman" w:cs="Times New Roman" w:eastAsia="Times New Roman" w:hAnsi="Times New Roman"/>
          <w:sz w:val="18"/>
          <w:szCs w:val="18"/>
          <w:color w:val="auto"/>
        </w:rPr>
        <w:t>We earn revenues on transactions for which we charge explicit commissions or commission equivalents,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Agency commission fees are charged for agency trades executed by us on behalf of third party broker-dealers, institutions and other financial institutions. Revenue is recognized on a trade date basis, which is the point at which the performance obligation to the customer is satisfied, based on the trade volume executed. In addition, we offer workflow technology and analytics services to select third parties. Revenues are derived from connectivity fees generated by matching sell-side and buy-side clients orders, and analytic products delivered to the clients.</w:t>
      </w:r>
    </w:p>
    <w:p>
      <w:pPr>
        <w:spacing w:after="0" w:line="18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72"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We have interests in multiple strategic investments and telecommunications joint ventures (“JVs”). We record our pro-rata share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JV’s earnings or losses within other, net, while fees related to the use of communication services provided by the JVs are recorded within communications and data processing. In addition, we also recorded gains or losses on certain one-time transactions, including the sale of our BondPoint business (“BondPoint”) to Intercontinental Exchange (“ICE”) in 2018, within Other, net (see Note 4 “Sale of BondPoint” of Part I Item 1 “Financial Statements” of this quarterly report on Form 10-Q).</w:t>
      </w:r>
    </w:p>
    <w:p>
      <w:pPr>
        <w:spacing w:after="0" w:line="184"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have a minority investment (the “SBI Investment”) in SBI Japannext Co., Ltd. (“SBI”), a proprietary trading system based in Tokyo. In connection with the investment, we issued bonds to certain affiliates of SBI and used the proceeds to partially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finance the transaction. Revenues or losses are recognized due to the changes in fair value of the investment or fluctuations in Japanese Yen conversion rates within Other,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Brokerage, exchange and clearance fees, net. </w:t>
      </w:r>
      <w:r>
        <w:rPr>
          <w:rFonts w:ascii="Times New Roman" w:cs="Times New Roman" w:eastAsia="Times New Roman" w:hAnsi="Times New Roman"/>
          <w:sz w:val="18"/>
          <w:szCs w:val="18"/>
          <w:color w:val="auto"/>
        </w:rPr>
        <w:t>Brokerage, exchange and clearance fees are our most significant expenses, which include the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trading activity, or volumes, in the markets we serve. Execution fees are paid primarily to exchanges and venues where we trade. Clearance fees are paid to clearing houses and clearing agents. Rebates based on volume discounts, credits or payments received from exchanges or other marketplaces are netted against brokerage, exchange and clearance fees.</w:t>
      </w:r>
    </w:p>
    <w:p>
      <w:pPr>
        <w:spacing w:after="0" w:line="18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order flow. </w:t>
      </w:r>
      <w:r>
        <w:rPr>
          <w:rFonts w:ascii="Times New Roman" w:cs="Times New Roman" w:eastAsia="Times New Roman" w:hAnsi="Times New Roman"/>
          <w:sz w:val="18"/>
          <w:szCs w:val="18"/>
          <w:color w:val="auto"/>
        </w:rPr>
        <w:t>Payments for order flow represent payments to broker-dealer clients, in the normal course of business, for directing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flow to us primarily in U.S. equities. Payments for order flow will fluctuate as we modify our rates and as the portion of our clients that do not accept payments for order flow varies. Payments for order flow also fluctuate based on U.S. equity share and option volumes, our profitability and the mix of market orders, limit orders, and customers.</w:t>
      </w:r>
    </w:p>
    <w:p>
      <w:pPr>
        <w:spacing w:after="0" w:line="177"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 and data processing. </w:t>
      </w:r>
      <w:r>
        <w:rPr>
          <w:rFonts w:ascii="Times New Roman" w:cs="Times New Roman" w:eastAsia="Times New Roman" w:hAnsi="Times New Roman"/>
          <w:sz w:val="18"/>
          <w:szCs w:val="18"/>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7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compensation and payroll taxes. </w:t>
      </w:r>
      <w:r>
        <w:rPr>
          <w:rFonts w:ascii="Times New Roman" w:cs="Times New Roman" w:eastAsia="Times New Roman" w:hAnsi="Times New Roman"/>
          <w:sz w:val="18"/>
          <w:szCs w:val="18"/>
          <w:color w:val="auto"/>
        </w:rPr>
        <w:t>Employee compensation and payroll taxes include employee salaries, cash and non-cash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employee benefits, payroll taxes, severance and other employee related costs. Employee compensation and payroll taxes also includes non-cash compensation expenses with respect to the stock options and restricted stock units granted in connection with and subsequent to the IPO pursuant to the Amended and Restated 2015 Management Incentive Plan and stock options and restricted stock units granted pursuant to the Amended and Restated ITG 2007 Equity Plan.</w:t>
      </w:r>
    </w:p>
    <w:p>
      <w:pPr>
        <w:spacing w:after="0" w:line="180" w:lineRule="exact"/>
        <w:rPr>
          <w:sz w:val="20"/>
          <w:szCs w:val="20"/>
          <w:color w:val="auto"/>
        </w:rPr>
      </w:pPr>
    </w:p>
    <w:p>
      <w:pPr>
        <w:ind w:right="620"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activities pursuant to collateralized lending transactions. Typically, dividend expense is incurred when a dividend is paid on securities sold short.</w:t>
      </w:r>
    </w:p>
    <w:p>
      <w:pPr>
        <w:spacing w:after="0" w:line="132"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administrative. </w:t>
      </w:r>
      <w:r>
        <w:rPr>
          <w:rFonts w:ascii="Times New Roman" w:cs="Times New Roman" w:eastAsia="Times New Roman" w:hAnsi="Times New Roman"/>
          <w:sz w:val="18"/>
          <w:szCs w:val="18"/>
          <w:color w:val="auto"/>
        </w:rPr>
        <w:t>Operations and administrative expense represents occupancy, recruiting, travel and related expense,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and other expenses.</w:t>
      </w:r>
    </w:p>
    <w:p>
      <w:pPr>
        <w:spacing w:after="0" w:line="15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results from the depreciation of fixed assets, such as computing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2.5 years, which represents the estimated useful lives of the underlying software. We amortize leasehold improvements on a straight-line basis over the lesser of the life of the improvement or the term of the lease.</w:t>
      </w:r>
    </w:p>
    <w:p>
      <w:pPr>
        <w:spacing w:after="0" w:line="18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intangibles and acquired capitalized software. </w:t>
      </w:r>
      <w:r>
        <w:rPr>
          <w:rFonts w:ascii="Times New Roman" w:cs="Times New Roman" w:eastAsia="Times New Roman" w:hAnsi="Times New Roman"/>
          <w:sz w:val="18"/>
          <w:szCs w:val="18"/>
          <w:color w:val="auto"/>
        </w:rPr>
        <w:t>Amortization of purchased intangibles and acquired capitalized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177"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office leases. </w:t>
      </w:r>
      <w:r>
        <w:rPr>
          <w:rFonts w:ascii="Times New Roman" w:cs="Times New Roman" w:eastAsia="Times New Roman" w:hAnsi="Times New Roman"/>
          <w:sz w:val="18"/>
          <w:szCs w:val="18"/>
          <w:color w:val="auto"/>
        </w:rPr>
        <w:t>Termination of office leases represents the write-off expense related to certain office space we ceased use of as part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effort to integrate and consolidate office space in connection with the ITG Acquisition. The aggregate write-off amount includes the impairment of operating lease right-of-use assets, leasehold improvements and fixed assets, and dilapidation charges.</w:t>
      </w:r>
    </w:p>
    <w:p>
      <w:pPr>
        <w:spacing w:after="0" w:line="17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issue costs related to debt refinancing and prepayment. </w:t>
      </w:r>
      <w:r>
        <w:rPr>
          <w:rFonts w:ascii="Times New Roman" w:cs="Times New Roman" w:eastAsia="Times New Roman" w:hAnsi="Times New Roman"/>
          <w:sz w:val="18"/>
          <w:szCs w:val="18"/>
          <w:color w:val="auto"/>
        </w:rPr>
        <w:t>As a result of the refinancing or early termination of our long-term borrowings,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accelerate the capitalized debt issue costs and the discount on the term loan that would otherwise be amortized or accreted over the life of the term loan.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121" w:right="27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advisory fees and expenses. </w:t>
      </w:r>
      <w:r>
        <w:rPr>
          <w:rFonts w:ascii="Times New Roman" w:cs="Times New Roman" w:eastAsia="Times New Roman" w:hAnsi="Times New Roman"/>
          <w:sz w:val="18"/>
          <w:szCs w:val="18"/>
          <w:color w:val="auto"/>
        </w:rPr>
        <w:t>Transaction advisory fees and expenses primarily reflect professional fees incurred by us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ITG Acquisition and with the sale of BondPoint in 2018.</w:t>
      </w:r>
    </w:p>
    <w:p>
      <w:pPr>
        <w:spacing w:after="0" w:line="15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related to share based compensation at IPO. </w:t>
      </w:r>
      <w:r>
        <w:rPr>
          <w:rFonts w:ascii="Times New Roman" w:cs="Times New Roman" w:eastAsia="Times New Roman" w:hAnsi="Times New Roman"/>
          <w:sz w:val="18"/>
          <w:szCs w:val="18"/>
          <w:color w:val="auto"/>
        </w:rPr>
        <w:t>At the consummation of the IPO and through the three and six months ended June 30,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recognized non-cash compensation expenses in respect of the outstanding time-vested Class B interests of Virtu Financial (the “Virtu Class B Interests”) and Class B interests of Virtu East MIP LLC (the “East MIP Class B Interests”), net of capitalization and amortization of costs attributable to employees incurred in development of software for internal use, as defined and discussed in Note 19 “Share-based Compensation” of Part I Item 1 “Financial Statements” of this quarterly report on Form 10-Q.</w:t>
      </w:r>
    </w:p>
    <w:p>
      <w:pPr>
        <w:spacing w:after="0" w:line="180"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interest expense on long-term borrowings. </w:t>
      </w:r>
      <w:r>
        <w:rPr>
          <w:rFonts w:ascii="Times New Roman" w:cs="Times New Roman" w:eastAsia="Times New Roman" w:hAnsi="Times New Roman"/>
          <w:sz w:val="18"/>
          <w:szCs w:val="18"/>
          <w:color w:val="auto"/>
        </w:rPr>
        <w:t>Financing interest expense reflects interest accrued on outstanding indebtedness under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borrowing arrangements.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U.S. federal, state and local income tax at the rate applicable to corporations less the rate attributable to the noncontrolling interest in Virtu Financial.</w:t>
      </w:r>
    </w:p>
    <w:p>
      <w:pPr>
        <w:spacing w:after="0" w:line="162"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Part I Item 1 “Financial Statements” of this quarterly report on Form 10-Q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Other Items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62" w:lineRule="exact"/>
        <w:rPr>
          <w:sz w:val="20"/>
          <w:szCs w:val="20"/>
          <w:color w:val="auto"/>
        </w:rPr>
      </w:pPr>
    </w:p>
    <w:p>
      <w:pPr>
        <w:ind w:left="1060" w:hanging="242"/>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and clearance fees, net, payments for order flow,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77" w:lineRule="exact"/>
        <w:rPr>
          <w:rFonts w:ascii="Times New Roman" w:cs="Times New Roman" w:eastAsia="Times New Roman" w:hAnsi="Times New Roman"/>
          <w:sz w:val="18"/>
          <w:szCs w:val="18"/>
          <w:color w:val="auto"/>
        </w:rPr>
      </w:pPr>
    </w:p>
    <w:p>
      <w:pPr>
        <w:ind w:left="1060" w:right="100" w:hanging="242"/>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connectivity early termination, trading related settlement income, gain on sale of businesses, other, net, write-down of assets, share based compensation, charges related to share based compensation at IPO, Amended and Restated 2015 Management Incentive Plan, and charges related to share based compensation at IPO.</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1060" w:hanging="242"/>
        <w:spacing w:after="0" w:line="281" w:lineRule="auto"/>
        <w:tabs>
          <w:tab w:leader="none" w:pos="10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common interest units in Virtu Financial (“Virtu Financial Units”) have been exchanged for Class A Common Stock, and applying an effective tax rate, which was between approximately 23% and 24% beginning January 1, 2018.</w:t>
      </w:r>
    </w:p>
    <w:p>
      <w:pPr>
        <w:spacing w:after="0" w:line="56" w:lineRule="exact"/>
        <w:rPr>
          <w:rFonts w:ascii="Times New Roman" w:cs="Times New Roman" w:eastAsia="Times New Roman" w:hAnsi="Times New Roman"/>
          <w:sz w:val="17"/>
          <w:szCs w:val="17"/>
          <w:color w:val="auto"/>
        </w:rPr>
      </w:pPr>
    </w:p>
    <w:p>
      <w:pPr>
        <w:ind w:left="1060" w:hanging="242"/>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which are calculated by dividing net income, EBITDA, and Adjusted EBITDA by Adjusted Net Trading Income.</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Adjusted Net Trading Income, EBITDA, Adjusted EBITDA, Normalized Adjusted Net Income, Normalized Adjusted Net Income before income taxes, Normalized provision for income taxes, Normalized Adjusted EPS, and Operating Margins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Normalized Adjusted EPS, and Operating Margins provide useful information to investors regarding our results of operations and cash flows because they assist both investors and management in analyzing and benchmarking the performance and value of our business. Adjusted Net Trading Income, EBITDA, Adjusted EBITDA, Normalized Adjusted Net Income, Normalized Adjusted Net Income before income taxes, Normalized provision for income taxes, Normalized Adjusted EPS, and Operating Margins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our measures of Adjusted Net Trading Income, Adjusted EBITDA, Normalized Adjusted Net Income, Normalized Adjusted Net Income before income taxes, Normalized provision for income taxes, Normalized Adjusted EPS, and Operating Margins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6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Adjusted Net Trading Income, EBITDA, Adjusted EBITDA, Normalized Adjusted Net Income, Normalized Adjusted Net Income before income taxes, Normalized provision for income taxes, Normalized Adjusted EPS, and Operating Margins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Normalized Adjusted EPS, and Operating Margins should not be construed as an indication that our future results will be unaffected by unusual or nonrecurring items. Adjusted Net Trading Income, Normalized Adjusted Net Income, Normalized Adjusted Net Income before income taxes, Normalized provision for income taxes, Normalized Adjusted EPS, Operating Margins and our EBITDA-based measures have limitations as analytical tools, and you should not consider them in isolation or as substitutes for analysis of our results as reported under U.S. GAAP. Some of these limitations are:</w:t>
      </w:r>
    </w:p>
    <w:p>
      <w:pPr>
        <w:spacing w:after="0" w:line="158" w:lineRule="exact"/>
        <w:rPr>
          <w:sz w:val="20"/>
          <w:szCs w:val="20"/>
          <w:color w:val="auto"/>
        </w:rPr>
      </w:pPr>
    </w:p>
    <w:p>
      <w:pPr>
        <w:ind w:left="1060" w:hanging="242"/>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every cash expenditure,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60" w:right="180" w:hanging="242"/>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EBITDA-based measures do not reflect the significant interest expense or the cash requirements necessary to service interest or principal payment on our debt;</w:t>
      </w:r>
    </w:p>
    <w:p>
      <w:pPr>
        <w:spacing w:after="0" w:line="53" w:lineRule="exact"/>
        <w:rPr>
          <w:rFonts w:ascii="Times New Roman" w:cs="Times New Roman" w:eastAsia="Times New Roman" w:hAnsi="Times New Roman"/>
          <w:sz w:val="18"/>
          <w:szCs w:val="18"/>
          <w:color w:val="auto"/>
        </w:rPr>
      </w:pPr>
    </w:p>
    <w:p>
      <w:pPr>
        <w:ind w:left="1060" w:right="420" w:hanging="242"/>
        <w:spacing w:after="0" w:line="266"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68"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 and</w:t>
      </w:r>
    </w:p>
    <w:p>
      <w:pPr>
        <w:spacing w:after="0" w:line="11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limitations on our costs related to transferring earnings from our subsidiaries to us.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Because of these limitations, Adjusted Net Trading Income, EBITDA, Adjusted EBITDA, Normalized Adjusted Net Income, Normalized Adjusted Net Income before income taxes, Normalized provision for income taxes, Normalized Adjusted EPS, and Operating Margins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Normalized Adjusted Net Income before income taxes, Normalized provision for income taxes, Normalized Adjusted EPS, and Operating Margins along with other comparative tools, together with U.S. GAAP measurements, to assist in the evaluation of operating performance. These U.S. GAAP measurements include operating Net Income, cash flows from operations and cash flow data. See below a reconciliation of each non-GAAP financial measure to the most directly comparable U.S. GAAP measure.</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condensed consolidated statements of comprehensive income to arrive at Adjusted Net Trading Income, EBITDA, Adjusted EBITDA, and Operating Margins for the three and six months ended June 30, 2019 and 2018.</w:t>
      </w:r>
    </w:p>
    <w:p>
      <w:pPr>
        <w:spacing w:after="0" w:line="38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6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205,923</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258,593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463,463</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664,755</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24,162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21,937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53,293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39,886</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4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145,120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46,565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220,267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100,409</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(75,851)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(73,318)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(139,904)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(161,141)</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40" w:type="dxa"/>
            <w:vAlign w:val="bottom"/>
          </w:tcPr>
          <w:p>
            <w:pPr>
              <w:spacing w:after="0"/>
              <w:rPr>
                <w:sz w:val="23"/>
                <w:szCs w:val="23"/>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(23,636)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(47,197)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(32,098)</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(36,824)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(82,193)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(68,633)</w:t>
            </w:r>
          </w:p>
        </w:tc>
        <w:tc>
          <w:tcPr>
            <w:tcW w:w="0" w:type="dxa"/>
            <w:vAlign w:val="bottom"/>
          </w:tcPr>
          <w:p>
            <w:pPr>
              <w:spacing w:after="0"/>
              <w:rPr>
                <w:sz w:val="1"/>
                <w:szCs w:val="1"/>
                <w:color w:val="auto"/>
              </w:rPr>
            </w:pPr>
          </w:p>
        </w:tc>
      </w:tr>
      <w:tr>
        <w:trPr>
          <w:trHeight w:val="24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238,894</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202,926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467,729</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543,178</w:t>
            </w:r>
          </w:p>
        </w:tc>
        <w:tc>
          <w:tcPr>
            <w:tcW w:w="0" w:type="dxa"/>
            <w:vAlign w:val="bottom"/>
          </w:tcPr>
          <w:p>
            <w:pPr>
              <w:spacing w:after="0"/>
              <w:rPr>
                <w:sz w:val="1"/>
                <w:szCs w:val="1"/>
                <w:color w:val="auto"/>
              </w:rPr>
            </w:pPr>
          </w:p>
        </w:tc>
      </w:tr>
      <w:tr>
        <w:trPr>
          <w:trHeight w:val="289"/>
        </w:trPr>
        <w:tc>
          <w:tcPr>
            <w:tcW w:w="5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(55,485)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46,622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(69,104)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456,645</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14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34,689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57,478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37,827</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8,380</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14,810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16,194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31,260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31,546</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20,606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31,528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13,675</w:t>
            </w: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(11,094)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(13,679)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61,515</w:t>
            </w:r>
          </w:p>
        </w:tc>
        <w:tc>
          <w:tcPr>
            <w:tcW w:w="0" w:type="dxa"/>
            <w:vAlign w:val="bottom"/>
          </w:tcPr>
          <w:p>
            <w:pPr>
              <w:spacing w:after="0"/>
              <w:rPr>
                <w:sz w:val="1"/>
                <w:szCs w:val="1"/>
                <w:color w:val="auto"/>
              </w:rPr>
            </w:pPr>
          </w:p>
        </w:tc>
      </w:tr>
      <w:tr>
        <w:trPr>
          <w:trHeight w:val="25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2,207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93,793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45,377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609,588</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Severance</w:t>
            </w:r>
          </w:p>
        </w:tc>
        <w:tc>
          <w:tcPr>
            <w:tcW w:w="14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7,873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61,224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6,334</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16,907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9,246</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14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65,208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65,208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21,860</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Connectivity early termination</w:t>
            </w: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7,062</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Gain on sale of business</w:t>
            </w:r>
          </w:p>
        </w:tc>
        <w:tc>
          <w:tcPr>
            <w:tcW w:w="14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(337,549)</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Write-down of assets</w:t>
            </w:r>
          </w:p>
        </w:tc>
        <w:tc>
          <w:tcPr>
            <w:tcW w:w="14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11,983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21,796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13,121</w:t>
            </w:r>
          </w:p>
        </w:tc>
        <w:tc>
          <w:tcPr>
            <w:tcW w:w="0" w:type="dxa"/>
            <w:vAlign w:val="bottom"/>
          </w:tcPr>
          <w:p>
            <w:pPr>
              <w:spacing w:after="0"/>
              <w:rPr>
                <w:sz w:val="1"/>
                <w:szCs w:val="1"/>
                <w:color w:val="auto"/>
              </w:rPr>
            </w:pPr>
          </w:p>
        </w:tc>
      </w:tr>
      <w:tr>
        <w:trPr>
          <w:trHeight w:val="153"/>
        </w:trPr>
        <w:tc>
          <w:tcPr>
            <w:tcW w:w="56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Charges related to share based compensation at IPO, Amended and Restated 2015</w:t>
            </w:r>
          </w:p>
        </w:tc>
        <w:tc>
          <w:tcPr>
            <w:tcW w:w="140" w:type="dxa"/>
            <w:vAlign w:val="bottom"/>
          </w:tcPr>
          <w:p>
            <w:pPr>
              <w:spacing w:after="0"/>
              <w:rPr>
                <w:sz w:val="13"/>
                <w:szCs w:val="13"/>
                <w:color w:val="auto"/>
              </w:rPr>
            </w:pPr>
          </w:p>
        </w:tc>
        <w:tc>
          <w:tcPr>
            <w:tcW w:w="11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1,534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2,931</w:t>
            </w:r>
          </w:p>
        </w:tc>
        <w:tc>
          <w:tcPr>
            <w:tcW w:w="0" w:type="dxa"/>
            <w:vAlign w:val="bottom"/>
          </w:tcPr>
          <w:p>
            <w:pPr>
              <w:spacing w:after="0"/>
              <w:rPr>
                <w:sz w:val="1"/>
                <w:szCs w:val="1"/>
                <w:color w:val="auto"/>
              </w:rPr>
            </w:pPr>
          </w:p>
        </w:tc>
      </w:tr>
      <w:tr>
        <w:trPr>
          <w:trHeight w:val="19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Management Incentive Plan</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Charges related to share based compensation awards at IPO</w:t>
            </w: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4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89,164</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112,350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213,388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335,134</w:t>
            </w:r>
          </w:p>
        </w:tc>
        <w:tc>
          <w:tcPr>
            <w:tcW w:w="0" w:type="dxa"/>
            <w:vAlign w:val="bottom"/>
          </w:tcPr>
          <w:p>
            <w:pPr>
              <w:spacing w:after="0"/>
              <w:rPr>
                <w:sz w:val="1"/>
                <w:szCs w:val="1"/>
                <w:color w:val="auto"/>
              </w:rPr>
            </w:pPr>
          </w:p>
        </w:tc>
      </w:tr>
      <w:tr>
        <w:trPr>
          <w:trHeight w:val="289"/>
        </w:trPr>
        <w:tc>
          <w:tcPr>
            <w:tcW w:w="5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Margin (1)</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Margin (2)</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 (3)</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spacing w:after="0" w:line="23"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ectPr>
          <w:pgSz w:w="11900" w:h="16838" w:orient="portrait"/>
          <w:cols w:equalWidth="0" w:num="1">
            <w:col w:w="11400"/>
          </w:cols>
          <w:pgMar w:left="240" w:top="121" w:right="25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21" w:right="25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Net Income to arrive at Normalized Adjusted Net Income before income taxes, Normalized provision for income taxes, Normalized Adjusted Net Income and Normalized Adjusted EPS.</w:t>
      </w:r>
    </w:p>
    <w:p>
      <w:pPr>
        <w:spacing w:after="0" w:line="34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(55,485)</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46,622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(69,104)</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456,645</w:t>
            </w:r>
          </w:p>
        </w:tc>
      </w:tr>
      <w:tr>
        <w:trPr>
          <w:trHeight w:val="270"/>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61,515</w:t>
            </w:r>
          </w:p>
        </w:tc>
      </w:tr>
      <w:tr>
        <w:trPr>
          <w:trHeight w:val="250"/>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518,160</w:t>
            </w:r>
          </w:p>
        </w:tc>
      </w:tr>
      <w:tr>
        <w:trPr>
          <w:trHeight w:val="329"/>
        </w:trPr>
        <w:tc>
          <w:tcPr>
            <w:tcW w:w="5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20,606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13,675</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Debt issue cost related to debt refinancing</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8,380</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Severance</w:t>
            </w: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61,224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6,334</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9,246</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65,208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65,208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21,860</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Connectivity early termination</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7,062</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on sale of business</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(337,549)</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Write-down of assets</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2,697</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21,796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13,121</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Charges related to share based compensation at IPO, 2015 Management Incentive Plan</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2,931</w:t>
            </w:r>
          </w:p>
        </w:tc>
      </w:tr>
      <w:tr>
        <w:trPr>
          <w:trHeight w:val="270"/>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Charges related to share based compensation awards at IPO</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r>
      <w:tr>
        <w:trPr>
          <w:trHeight w:val="250"/>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1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39,665</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77,376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124,650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265,761</w:t>
            </w:r>
          </w:p>
        </w:tc>
      </w:tr>
      <w:tr>
        <w:trPr>
          <w:trHeight w:val="270"/>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9,520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17,796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29,916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61,125</w:t>
            </w:r>
          </w:p>
        </w:tc>
      </w:tr>
      <w:tr>
        <w:trPr>
          <w:trHeight w:val="25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30,145</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59,580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94,734</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204,636</w:t>
            </w:r>
          </w:p>
        </w:tc>
      </w:tr>
      <w:tr>
        <w:trPr>
          <w:trHeight w:val="329"/>
        </w:trPr>
        <w:tc>
          <w:tcPr>
            <w:tcW w:w="5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5"/>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194,217,318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191,142,871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192,959,477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190,320,527</w:t>
            </w:r>
          </w:p>
        </w:tc>
      </w:tr>
      <w:tr>
        <w:trPr>
          <w:trHeight w:val="329"/>
        </w:trPr>
        <w:tc>
          <w:tcPr>
            <w:tcW w:w="5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Normalized Adjusted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1878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23% for 2019 and 2018.</w:t>
      </w:r>
    </w:p>
    <w:p>
      <w:pPr>
        <w:spacing w:after="0" w:line="23" w:lineRule="exact"/>
        <w:rPr>
          <w:rFonts w:ascii="Times New Roman" w:cs="Times New Roman" w:eastAsia="Times New Roman" w:hAnsi="Times New Roman"/>
          <w:sz w:val="16"/>
          <w:szCs w:val="16"/>
          <w:color w:val="auto"/>
        </w:rPr>
      </w:pPr>
    </w:p>
    <w:p>
      <w:pPr>
        <w:ind w:left="420" w:hanging="412"/>
        <w:spacing w:after="0" w:line="248" w:lineRule="auto"/>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Amended and Restated 2015 Management Incentive Plan and the Amended and Restated ITG 2007 Equity Plan during the three and six months ended June 30, 2018.</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240" w:top="121" w:right="3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trading income, net to Adjusted Net Trading Income by segment for the three and six months ended June 30, 2019 and 2018:</w:t>
      </w:r>
    </w:p>
    <w:p>
      <w:pPr>
        <w:spacing w:after="0" w:line="38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205,568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205,923</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140,159</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145,120</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24,162</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(35,838)</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(75,851)</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(23,636)</w:t>
            </w:r>
          </w:p>
        </w:tc>
      </w:tr>
      <w:tr>
        <w:trPr>
          <w:trHeight w:val="265"/>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(36,395)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(36,824)</w:t>
            </w:r>
          </w:p>
        </w:tc>
      </w:tr>
      <w:tr>
        <w:trPr>
          <w:trHeight w:val="24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133,788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105,106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238,894</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258,629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258,593</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39,767</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46,565</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21,937</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(73,318)</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w:t>
            </w:r>
          </w:p>
        </w:tc>
      </w:tr>
      <w:tr>
        <w:trPr>
          <w:trHeight w:val="265"/>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(35,009)</w:t>
            </w:r>
          </w:p>
        </w:tc>
      </w:tr>
      <w:tr>
        <w:trPr>
          <w:trHeight w:val="24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176,651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26,275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202,926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460,689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463,463</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210,306</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220,267</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41,787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11,506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53,293</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(56,864)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(139,904)</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(47,197)</w:t>
            </w:r>
          </w:p>
        </w:tc>
      </w:tr>
      <w:tr>
        <w:trPr>
          <w:trHeight w:val="265"/>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(70,655)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(11,538)</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(82,193)</w:t>
            </w:r>
          </w:p>
        </w:tc>
      </w:tr>
      <w:tr>
        <w:trPr>
          <w:trHeight w:val="24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311,585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156,144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467,729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664,338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664,755</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85,110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100,409</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39,886</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(161,141)</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(32,098)</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(68,633)</w:t>
            </w:r>
          </w:p>
        </w:tc>
      </w:tr>
      <w:tr>
        <w:trPr>
          <w:trHeight w:val="242"/>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543,178</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our Market Making segment trading income, net to Adjusted Net Trading Income by category for the three and six months ended June 30, 2019 and 2018:</w:t>
      </w:r>
    </w:p>
    <w:p>
      <w:pPr>
        <w:spacing w:after="0" w:line="38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25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163,044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41,126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205,568</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4,961</w:t>
            </w:r>
          </w:p>
        </w:tc>
        <w:tc>
          <w:tcPr>
            <w:tcW w:w="0" w:type="dxa"/>
            <w:vAlign w:val="bottom"/>
          </w:tcPr>
          <w:p>
            <w:pPr>
              <w:spacing w:after="0"/>
              <w:rPr>
                <w:sz w:val="1"/>
                <w:szCs w:val="1"/>
                <w:color w:val="auto"/>
              </w:rPr>
            </w:pPr>
          </w:p>
        </w:tc>
      </w:tr>
      <w:tr>
        <w:trPr>
          <w:trHeight w:val="27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(40,013)</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(23,617)</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107,540</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28,348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133,788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25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198,404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55,755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258,629</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6,798</w:t>
            </w:r>
          </w:p>
        </w:tc>
        <w:tc>
          <w:tcPr>
            <w:tcW w:w="0" w:type="dxa"/>
            <w:vAlign w:val="bottom"/>
          </w:tcPr>
          <w:p>
            <w:pPr>
              <w:spacing w:after="0"/>
              <w:rPr>
                <w:sz w:val="1"/>
                <w:szCs w:val="1"/>
                <w:color w:val="auto"/>
              </w:rPr>
            </w:pPr>
          </w:p>
        </w:tc>
      </w:tr>
      <w:tr>
        <w:trPr>
          <w:trHeight w:val="27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(59,794)</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(15,827)</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(13,155)</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139,409</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36,287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176,651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25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371,677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90,916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460,689</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9,961</w:t>
            </w:r>
          </w:p>
        </w:tc>
        <w:tc>
          <w:tcPr>
            <w:tcW w:w="0" w:type="dxa"/>
            <w:vAlign w:val="bottom"/>
          </w:tcPr>
          <w:p>
            <w:pPr>
              <w:spacing w:after="0"/>
              <w:rPr>
                <w:sz w:val="1"/>
                <w:szCs w:val="1"/>
                <w:color w:val="auto"/>
              </w:rPr>
            </w:pPr>
          </w:p>
        </w:tc>
      </w:tr>
      <w:tr>
        <w:trPr>
          <w:trHeight w:val="27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(83,040)</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(47,157)</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(28,868)</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247,148</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64,433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311,585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25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523,286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137,825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664,338</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15,299</w:t>
            </w:r>
          </w:p>
        </w:tc>
        <w:tc>
          <w:tcPr>
            <w:tcW w:w="0" w:type="dxa"/>
            <w:vAlign w:val="bottom"/>
          </w:tcPr>
          <w:p>
            <w:pPr>
              <w:spacing w:after="0"/>
              <w:rPr>
                <w:sz w:val="1"/>
                <w:szCs w:val="1"/>
                <w:color w:val="auto"/>
              </w:rPr>
            </w:pPr>
          </w:p>
        </w:tc>
      </w:tr>
      <w:tr>
        <w:trPr>
          <w:trHeight w:val="27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(128,866)</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(32,023)</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(28,593)</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388,456</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102,546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490,155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240" w:top="121" w:right="5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Adjusted Net Trading Income and average daily Adjusted Net Trading Income and percentage of Adjusted Net Trading Income by asset class for the three and six months ended June 30, 2019 and 2018:</w:t>
      </w:r>
    </w:p>
    <w:p>
      <w:pPr>
        <w:spacing w:after="0" w:line="169"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4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 by Category:</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Making:</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5"/>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Global Equities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107,540</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139,409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(22.9)%</w:t>
            </w:r>
          </w:p>
        </w:tc>
      </w:tr>
      <w:tr>
        <w:trPr>
          <w:trHeight w:val="275"/>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(21.9)%</w:t>
            </w:r>
          </w:p>
        </w:tc>
      </w:tr>
      <w:tr>
        <w:trPr>
          <w:trHeight w:val="265"/>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Unallocated(1)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center"/>
              <w:ind w:right="168"/>
              <w:spacing w:after="0"/>
              <w:rPr>
                <w:sz w:val="20"/>
                <w:szCs w:val="20"/>
                <w:color w:val="auto"/>
              </w:rPr>
            </w:pPr>
            <w:r>
              <w:rPr>
                <w:rFonts w:ascii="Times New Roman" w:cs="Times New Roman" w:eastAsia="Times New Roman" w:hAnsi="Times New Roman"/>
                <w:sz w:val="14"/>
                <w:szCs w:val="14"/>
                <w:color w:val="auto"/>
              </w:rPr>
              <w:t>NM</w:t>
            </w:r>
          </w:p>
        </w:tc>
      </w:tr>
      <w:tr>
        <w:trPr>
          <w:trHeight w:val="255"/>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Market Making</w:t>
            </w: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133,788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176,651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(24.3)%</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Execution Services</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105,106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300.0%</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NM</w:t>
            </w:r>
          </w:p>
        </w:tc>
      </w:tr>
      <w:tr>
        <w:trPr>
          <w:trHeight w:val="284"/>
        </w:trPr>
        <w:tc>
          <w:tcPr>
            <w:tcW w:w="4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r>
      <w:tr>
        <w:trPr>
          <w:trHeight w:val="23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238,894</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202,926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w w:val="99"/>
              </w:rPr>
              <w:t>17.7%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4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Category:</w:t>
            </w:r>
          </w:p>
        </w:tc>
        <w:tc>
          <w:tcPr>
            <w:tcW w:w="5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Making:</w:t>
            </w: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Global Equities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(21.6)%</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(20.6)%</w:t>
            </w:r>
          </w:p>
        </w:tc>
      </w:tr>
      <w:tr>
        <w:trPr>
          <w:trHeight w:val="265"/>
        </w:trPr>
        <w:tc>
          <w:tcPr>
            <w:tcW w:w="4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Unallocated(1)</w:t>
            </w:r>
          </w:p>
        </w:tc>
        <w:tc>
          <w:tcPr>
            <w:tcW w:w="5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center"/>
              <w:ind w:right="168"/>
              <w:spacing w:after="0"/>
              <w:rPr>
                <w:sz w:val="20"/>
                <w:szCs w:val="20"/>
                <w:color w:val="auto"/>
              </w:rPr>
            </w:pPr>
            <w:r>
              <w:rPr>
                <w:rFonts w:ascii="Times New Roman" w:cs="Times New Roman" w:eastAsia="Times New Roman" w:hAnsi="Times New Roman"/>
                <w:sz w:val="14"/>
                <w:szCs w:val="14"/>
                <w:color w:val="auto"/>
              </w:rPr>
              <w:t>NM</w:t>
            </w:r>
          </w:p>
        </w:tc>
      </w:tr>
      <w:tr>
        <w:trPr>
          <w:trHeight w:val="25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Market Making</w:t>
            </w:r>
          </w:p>
        </w:tc>
        <w:tc>
          <w:tcPr>
            <w:tcW w:w="5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(23.0)%</w:t>
            </w:r>
          </w:p>
        </w:tc>
      </w:tr>
      <w:tr>
        <w:trPr>
          <w:trHeight w:val="284"/>
        </w:trPr>
        <w:tc>
          <w:tcPr>
            <w:tcW w:w="4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Execution Services</w:t>
            </w: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305.8%</w:t>
            </w:r>
          </w:p>
        </w:tc>
      </w:tr>
      <w:tr>
        <w:trPr>
          <w:trHeight w:val="284"/>
        </w:trPr>
        <w:tc>
          <w:tcPr>
            <w:tcW w:w="4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NM</w:t>
            </w:r>
          </w:p>
        </w:tc>
      </w:tr>
      <w:tr>
        <w:trPr>
          <w:trHeight w:val="284"/>
        </w:trPr>
        <w:tc>
          <w:tcPr>
            <w:tcW w:w="4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r>
      <w:tr>
        <w:trPr>
          <w:trHeight w:val="237"/>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w w:val="99"/>
              </w:rPr>
              <w:t>19.6%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880"/>
          </w:cols>
          <w:pgMar w:left="240" w:top="121" w:right="77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8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 by Category: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Making:</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Americas Equities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247,148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388,456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(36.4)%</w:t>
            </w:r>
          </w:p>
        </w:tc>
      </w:tr>
      <w:tr>
        <w:trPr>
          <w:trHeight w:val="275"/>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64,433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102,546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(37.2)%</w:t>
            </w:r>
          </w:p>
        </w:tc>
      </w:tr>
      <w:tr>
        <w:trPr>
          <w:trHeight w:val="265"/>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Unallocated(1)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jc w:val="center"/>
              <w:ind w:right="128"/>
              <w:spacing w:after="0"/>
              <w:rPr>
                <w:sz w:val="20"/>
                <w:szCs w:val="20"/>
                <w:color w:val="auto"/>
              </w:rPr>
            </w:pPr>
            <w:r>
              <w:rPr>
                <w:rFonts w:ascii="Times New Roman" w:cs="Times New Roman" w:eastAsia="Times New Roman" w:hAnsi="Times New Roman"/>
                <w:sz w:val="14"/>
                <w:szCs w:val="14"/>
                <w:color w:val="auto"/>
              </w:rPr>
              <w:t>NM</w:t>
            </w:r>
          </w:p>
        </w:tc>
      </w:tr>
      <w:tr>
        <w:trPr>
          <w:trHeight w:val="255"/>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Market Making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311,585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490,155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(36.4)%</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Execution Services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156,144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52,988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194.7%</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NM</w:t>
            </w:r>
          </w:p>
        </w:tc>
      </w:tr>
      <w:tr>
        <w:trPr>
          <w:trHeight w:val="284"/>
        </w:trPr>
        <w:tc>
          <w:tcPr>
            <w:tcW w:w="4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3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467,729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543,178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(13.9)%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8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Category: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Making:</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Americas Equities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(36.4)%</w:t>
            </w:r>
          </w:p>
        </w:tc>
      </w:tr>
      <w:tr>
        <w:trPr>
          <w:trHeight w:val="275"/>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(37.2)%</w:t>
            </w:r>
          </w:p>
        </w:tc>
      </w:tr>
      <w:tr>
        <w:trPr>
          <w:trHeight w:val="265"/>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Unallocated(1)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jc w:val="center"/>
              <w:ind w:right="128"/>
              <w:spacing w:after="0"/>
              <w:rPr>
                <w:sz w:val="20"/>
                <w:szCs w:val="20"/>
                <w:color w:val="auto"/>
              </w:rPr>
            </w:pPr>
            <w:r>
              <w:rPr>
                <w:rFonts w:ascii="Times New Roman" w:cs="Times New Roman" w:eastAsia="Times New Roman" w:hAnsi="Times New Roman"/>
                <w:sz w:val="14"/>
                <w:szCs w:val="14"/>
                <w:color w:val="auto"/>
              </w:rPr>
              <w:t>NM</w:t>
            </w:r>
          </w:p>
        </w:tc>
      </w:tr>
      <w:tr>
        <w:trPr>
          <w:trHeight w:val="255"/>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Market Making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(36.4)%</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Execution Services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194.6%</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NM</w:t>
            </w:r>
          </w:p>
        </w:tc>
      </w:tr>
      <w:tr>
        <w:trPr>
          <w:trHeight w:val="284"/>
        </w:trPr>
        <w:tc>
          <w:tcPr>
            <w:tcW w:w="4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3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(13.9)%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78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firstLine="8"/>
        <w:spacing w:after="0" w:line="339" w:lineRule="auto"/>
        <w:tabs>
          <w:tab w:leader="none" w:pos="83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methodology for recording “trading income, net” in our condensed consolidated statements of comprehensive income from Part I Item 1 “Financial Statements”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2019 Compared to Three Months Ended June 30,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increased $50.3 million, or 15.3%, to $378.5 million for the three months ended June 30, 2019, compared to $328.1 million for the three months ended June 30, 2018. We had an increase in Commissions, net and technology services of $98.6 million for the three months ended June 30, 2019 as compared to the prior-year period, which was primarily attributable to the results of ITG for the three months ended June 30, 2019.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total revenues by segment for the three months ended June 30, 2019 and 2018.</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21" w:right="25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00" w:type="dxa"/>
            <w:vAlign w:val="bottom"/>
            <w:tcBorders>
              <w:bottom w:val="single" w:sz="8" w:color="auto"/>
            </w:tcBorders>
          </w:tcPr>
          <w:p>
            <w:pPr>
              <w:spacing w:after="0"/>
              <w:rPr>
                <w:sz w:val="16"/>
                <w:szCs w:val="16"/>
                <w:color w:val="auto"/>
              </w:rPr>
            </w:pPr>
          </w:p>
        </w:tc>
      </w:tr>
      <w:tr>
        <w:trPr>
          <w:trHeight w:val="264"/>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205,568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258,629</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(20.5)%</w:t>
            </w: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23,284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21,592</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6,798</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(27.0)%</w:t>
            </w:r>
          </w:p>
        </w:tc>
      </w:tr>
      <w:tr>
        <w:trPr>
          <w:trHeight w:val="270"/>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76.2%</w:t>
            </w:r>
          </w:p>
        </w:tc>
      </w:tr>
      <w:tr>
        <w:trPr>
          <w:trHeight w:val="282"/>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235,004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287,695</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(18.3)%</w:t>
            </w:r>
          </w:p>
        </w:tc>
      </w:tr>
      <w:tr>
        <w:trPr>
          <w:trHeight w:val="264"/>
        </w:trPr>
        <w:tc>
          <w:tcPr>
            <w:tcW w:w="41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CCEEFF"/>
            </w:tcBorders>
            <w:shd w:val="clear" w:color="auto" w:fill="CCEEFF"/>
          </w:tcPr>
          <w:p>
            <w:pPr>
              <w:spacing w:after="0"/>
              <w:rPr>
                <w:sz w:val="22"/>
                <w:szCs w:val="22"/>
                <w:color w:val="auto"/>
              </w:rPr>
            </w:pPr>
          </w:p>
        </w:tc>
      </w:tr>
      <w:tr>
        <w:trPr>
          <w:trHeight w:val="26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154.5%</w:t>
            </w: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140,159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39,767</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252.5%</w:t>
            </w:r>
          </w:p>
        </w:tc>
      </w:tr>
      <w:tr>
        <w:trPr>
          <w:trHeight w:val="265"/>
        </w:trPr>
        <w:tc>
          <w:tcPr>
            <w:tcW w:w="4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698</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(9.5)%</w:t>
            </w:r>
          </w:p>
        </w:tc>
      </w:tr>
      <w:tr>
        <w:trPr>
          <w:trHeight w:val="242"/>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142,024</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40,774</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248.3%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264"/>
        </w:trPr>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70"/>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82"/>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64"/>
        </w:trPr>
        <w:tc>
          <w:tcPr>
            <w:tcW w:w="41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CCEEFF"/>
            </w:tcBorders>
            <w:shd w:val="clear" w:color="auto" w:fill="CCEEFF"/>
          </w:tcPr>
          <w:p>
            <w:pPr>
              <w:spacing w:after="0"/>
              <w:rPr>
                <w:sz w:val="22"/>
                <w:szCs w:val="22"/>
                <w:color w:val="auto"/>
              </w:rPr>
            </w:pPr>
          </w:p>
        </w:tc>
      </w:tr>
      <w:tr>
        <w:trPr>
          <w:trHeight w:val="26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205,923</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258,593</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w:t>
            </w: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24,162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21,937</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w:t>
            </w: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145,120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46,565</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211.7%</w:t>
            </w:r>
          </w:p>
        </w:tc>
      </w:tr>
      <w:tr>
        <w:trPr>
          <w:trHeight w:val="265"/>
        </w:trPr>
        <w:tc>
          <w:tcPr>
            <w:tcW w:w="4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215.3%</w:t>
            </w:r>
          </w:p>
        </w:tc>
      </w:tr>
      <w:tr>
        <w:trPr>
          <w:trHeight w:val="242"/>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378,456</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328,126</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income, net. </w:t>
      </w:r>
      <w:r>
        <w:rPr>
          <w:rFonts w:ascii="Times New Roman" w:cs="Times New Roman" w:eastAsia="Times New Roman" w:hAnsi="Times New Roman"/>
          <w:sz w:val="18"/>
          <w:szCs w:val="18"/>
          <w:color w:val="auto"/>
        </w:rPr>
        <w:t>Trading income, net was primarily earned by our Market Making segment. Trading income, net decreased $52.7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20.4%, to $205.9 million for the three months ended June 30, 2019, compared to $258.6 million for the three months ended June 30, 2018. The decrease was primarily attributable to the lack of volatility and low trading volume across major asset categories during the three months ended June 30, 2019 compared to the prior period. Rather than analyzing trading income, net, in isolation, we generally evaluate it in the broader context of our Adjusted Net Trading Income, together with interest and dividends income, interest and dividends expense, payments for flow order, and brokerage, exchange and clearance fees, net, each of which are described below.</w:t>
      </w:r>
    </w:p>
    <w:p>
      <w:pPr>
        <w:spacing w:after="0" w:line="18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income. </w:t>
      </w:r>
      <w:r>
        <w:rPr>
          <w:rFonts w:ascii="Times New Roman" w:cs="Times New Roman" w:eastAsia="Times New Roman" w:hAnsi="Times New Roman"/>
          <w:sz w:val="18"/>
          <w:szCs w:val="18"/>
          <w:color w:val="auto"/>
        </w:rPr>
        <w:t>Interest and dividends income was primarily earned by our Market Making segment. Interest and dividends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$2.2 million, or 10.1%, to $24.2 million for the three months ended June 30, 2019, compared to $21.9 million for the three months ended June 30, 2018. This increase was primarily attributable to the higher interest income earned on cash collateral posted as part of securities loaned transactions. As indicated above, rather than analyzing interest and dividends income in isolation, we generally evaluate it in the broader context of our Adjusted Net Trading Income.</w:t>
      </w:r>
    </w:p>
    <w:p>
      <w:pPr>
        <w:spacing w:after="0" w:line="180"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net and technology services. </w:t>
      </w:r>
      <w:r>
        <w:rPr>
          <w:rFonts w:ascii="Times New Roman" w:cs="Times New Roman" w:eastAsia="Times New Roman" w:hAnsi="Times New Roman"/>
          <w:sz w:val="18"/>
          <w:szCs w:val="18"/>
          <w:color w:val="auto"/>
        </w:rPr>
        <w:t>Commissions, net and technology services revenues were primarily earned by our Execution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Commissions, net and technology services revenues increased $98.6 million, or 211.7%, to $145.1 million for the three months ended June 30, 2019, compared to $46.6 million for the three months ended June 30, 2018. The increase was primarily attributable to the ITG Acquisition, as ITG's entire business is included in our Execution Services segment. The ITG Acquisition also brought recurring connectivity revenues generated from workflow technology and subscription revenues from analytics services to Commissions, net and technology services during the three months ended June 30, 2019.</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240" w:top="121" w:right="31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right="2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revenues were primarily earned by our Corporate segment. Other, net was $3.3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compared to $1.0 million for the three months ended June 30, 2018. The increase was primarily due to higher rental income from sublet office space compared to the prior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Trading Income</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Adjusted Net Trading Income increased $36.0 million, or 17.7%, to $238.9 million for the three months ended June 30, 2019, compared to $202.9 million for the three months ended June 30, 2018. This increase was primarily attributable to higher Commissions, net and technology services as a result of the ITG Acquisition, which was partially offset by lower Trading income, net, driven by the lack of volatility and low trading volume across major asset categories during the three months ended June 30, 2019 compared to the prior period. There were decreases in Global Equities of $31.9 million, or 22.9%, and Global FICC, Options and Other of $7.9 million, or 21.9%, from the Market Making segment for the three months ended June 30, 2019. These decreases were partially offset by an increase of $78.8 million, or 300.0%, from the Execution Services segment. Adjusted Net Trading Income per day increased $0.6 million, or 19.6%, to $3.8 million for the three months ended June 30, 2019, compared to $3.2 million for the three months ended June 30, 2018. There were 63 and 64 trading days for the three months ended June 30, 2019 and 2018, respectively.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$166.5 million, or 59.8%, to $445.0 million for the three months ended June 30, 2019, compared to $278.5 million for the three months ended June 30, 2018. The increase in operating expenses is primarily due to the ITG Acquisition, which caused an overall increase in expenses in multiple expense categories as described in more detail below.</w:t>
      </w:r>
    </w:p>
    <w:p>
      <w:pPr>
        <w:spacing w:after="0" w:line="172"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Brokerage, exchange and clearance fees, net. </w:t>
      </w:r>
      <w:r>
        <w:rPr>
          <w:rFonts w:ascii="Times New Roman" w:cs="Times New Roman" w:eastAsia="Times New Roman" w:hAnsi="Times New Roman"/>
          <w:sz w:val="18"/>
          <w:szCs w:val="18"/>
          <w:color w:val="auto"/>
        </w:rPr>
        <w:t>Brokerage exchange and clearance fees, net, increased $2.5 million, or 3.5%, to $75.9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2019, compared to $73.3 million for the three months ended June 30, 2018. This increase was primarily attributable to the ITG Acquisition, and was partially offset by a decrease in volume we traded in Global Equities instruments and other asset categories. As indicated above, rather than analyzing brokerage, exchange and clearance fees, net, in isolation, we generally evaluate it in the broader context of our Adjusted Net Trading Income.</w:t>
      </w:r>
    </w:p>
    <w:p>
      <w:pPr>
        <w:spacing w:after="0" w:line="177"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 and data processing. </w:t>
      </w:r>
      <w:r>
        <w:rPr>
          <w:rFonts w:ascii="Times New Roman" w:cs="Times New Roman" w:eastAsia="Times New Roman" w:hAnsi="Times New Roman"/>
          <w:sz w:val="18"/>
          <w:szCs w:val="18"/>
          <w:color w:val="auto"/>
        </w:rPr>
        <w:t>Communication and data processing expense increased $5.6 million, or 11.5%, to $54.4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2019, compared to $48.8 million for the three months ended June 30, 2018. This increase was primarily due to the additional connectivity and market data service subscriptions acquired as part of the ITG Acquisition. The increase was partially offset by reductions in connectivity connections as a result of an on-going effort to consolidate various communication and data processing subscriptions.</w:t>
      </w:r>
    </w:p>
    <w:p>
      <w:pPr>
        <w:spacing w:after="0" w:line="177"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compensation and payroll taxes. </w:t>
      </w:r>
      <w:r>
        <w:rPr>
          <w:rFonts w:ascii="Times New Roman" w:cs="Times New Roman" w:eastAsia="Times New Roman" w:hAnsi="Times New Roman"/>
          <w:sz w:val="18"/>
          <w:szCs w:val="18"/>
          <w:color w:val="auto"/>
        </w:rPr>
        <w:t>Employee compensation and payroll taxes increased $42.5 million, or 103.0%, to $83.7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2019, compared to $41.2 million for the three months ended June 30, 2018. The increase in compensation levels was primarily attributable to the increases in headcount subsequent to the ITG Acquisition. Incentive compensation is recorded at management’s discretion and is generally accrued in connection with the overall level of profitability. We have capitalized and therefore excluded employee compensation and benefits related to software development of $9.9 million, and $7.0 million for the three months ended June 30, 2019, and 2018, respectively.</w:t>
      </w:r>
    </w:p>
    <w:p>
      <w:pPr>
        <w:spacing w:after="0" w:line="18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order flow. </w:t>
      </w:r>
      <w:r>
        <w:rPr>
          <w:rFonts w:ascii="Times New Roman" w:cs="Times New Roman" w:eastAsia="Times New Roman" w:hAnsi="Times New Roman"/>
          <w:sz w:val="18"/>
          <w:szCs w:val="18"/>
          <w:color w:val="auto"/>
        </w:rPr>
        <w:t>Payments for order flow increased $7.8 million, or 49.2%, to $23.6 million for the three months ended June 30,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$15.8 million for the three months ended June 30, 2018. The increase was primarily attributable to the increase in volumes from our broker-dealer clients eligible for payments for order flow, including a new counterparty onboarded during 2019. Payments for order flow also fluctuate based on U.S. equity share and option volumes, our profitability and the mix of market orders, limit orders, and customer mix. As indicated above, rather than analyzing payments for order flow, in isolation, we generally evaluate it in the broader context of our Adjusted Net Trading Income.</w:t>
      </w:r>
    </w:p>
    <w:p>
      <w:pPr>
        <w:spacing w:after="0" w:line="18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expense. </w:t>
      </w:r>
      <w:r>
        <w:rPr>
          <w:rFonts w:ascii="Times New Roman" w:cs="Times New Roman" w:eastAsia="Times New Roman" w:hAnsi="Times New Roman"/>
          <w:sz w:val="18"/>
          <w:szCs w:val="18"/>
          <w:color w:val="auto"/>
        </w:rPr>
        <w:t>Interest and dividends expense increased $1.8 million, or 5.2%, to $36.8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compared to $35.0 million for the three months ended June 30, 2018. This increase was primarily attributable to higher interest expense incurred on cash collateral received as part of securities lending transactions, as well as increased interest expense resulting from the ITG Acquisition. As indicated above, rather than analyzing interest and dividends expense in isolation, we generally evaluate it in the broader context of our Adjusted Net Trading Income.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administrative. </w:t>
      </w:r>
      <w:r>
        <w:rPr>
          <w:rFonts w:ascii="Times New Roman" w:cs="Times New Roman" w:eastAsia="Times New Roman" w:hAnsi="Times New Roman"/>
          <w:sz w:val="18"/>
          <w:szCs w:val="18"/>
          <w:color w:val="auto"/>
        </w:rPr>
        <w:t>Operations and administrative expense increased $18.2 million, or 109.6%, to $34.8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2019, compared to $16.6 million for the three months ended June 30, 2018. This increase was primarily attributable to the additional occupancy, professional and consulting expenses resulting from the ITG Acquisition, offset by on-going efforts to consolidate office premises and professional services.</w:t>
      </w:r>
    </w:p>
    <w:p>
      <w:pPr>
        <w:spacing w:after="0" w:line="177"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decreased $1.4 million, or 8.5%, to $14.8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compared to $16.2 million for the three months ended June 30, 2018. This decrease was primarily attributable to lower depreciation due to write-offs of leasehold improvements and other fixed assets associated with abandoned office space during the second quarter of 2019. This decrease was partially offset by depreciation and amortization of additional assets resulting from the ITG Acquisition.</w:t>
      </w:r>
    </w:p>
    <w:p>
      <w:pPr>
        <w:spacing w:after="0" w:line="177"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intangibles and acquired capitalized software. </w:t>
      </w:r>
      <w:r>
        <w:rPr>
          <w:rFonts w:ascii="Times New Roman" w:cs="Times New Roman" w:eastAsia="Times New Roman" w:hAnsi="Times New Roman"/>
          <w:sz w:val="18"/>
          <w:szCs w:val="18"/>
          <w:color w:val="auto"/>
        </w:rPr>
        <w:t>Amortization of purchased intangibles and acquired capitalized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$13.8 million, or 201.3%, to $20.6 million for the three months ended June 30, 2019, compared to $6.8 million for the three months ended June 30, 2018. This increase was due to the amortization of intangible assets acquired in connection with the ITG Acquisition.</w:t>
      </w:r>
    </w:p>
    <w:p>
      <w:pPr>
        <w:spacing w:after="0" w:line="17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office leases. </w:t>
      </w:r>
      <w:r>
        <w:rPr>
          <w:rFonts w:ascii="Times New Roman" w:cs="Times New Roman" w:eastAsia="Times New Roman" w:hAnsi="Times New Roman"/>
          <w:sz w:val="18"/>
          <w:szCs w:val="18"/>
          <w:color w:val="auto"/>
        </w:rPr>
        <w:t>Termination of office leases increased $63.4 million, or 3,569.5%, to $65.2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compared to $1.8 million for the three months ended June 30, 2018. The increase in termination of office leases is due to the impairment of operating lease right-of-use assets and leasehold improvements and fixed assets for certain abandoned office space as part of the effort to integrate and consolidate office space in connection with the ITG Acquisition.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issue cost related to debt refinancing and prepayment. </w:t>
      </w:r>
      <w:r>
        <w:rPr>
          <w:rFonts w:ascii="Times New Roman" w:cs="Times New Roman" w:eastAsia="Times New Roman" w:hAnsi="Times New Roman"/>
          <w:sz w:val="18"/>
          <w:szCs w:val="18"/>
          <w:color w:val="auto"/>
        </w:rPr>
        <w:t>Debt issue costs related to debt refinancing decreased $3.7 million, or 155.9%,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million for the three months ended June 30, 2019, compared to $2.4 million for the three months ended June 30, 2018. The $(1.3) million includes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accelerated amortization of the related debt issuance costs from prepayment of long-term debt during the three months ended June 30, 2019, offset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($2.5) million decrease to the provisional debt issue costs previously accelerated in connection with the ITG Acquisition.</w:t>
      </w:r>
    </w:p>
    <w:p>
      <w:pPr>
        <w:spacing w:after="0" w:line="203"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advisory fees and expenses. </w:t>
      </w:r>
      <w:r>
        <w:rPr>
          <w:rFonts w:ascii="Times New Roman" w:cs="Times New Roman" w:eastAsia="Times New Roman" w:hAnsi="Times New Roman"/>
          <w:sz w:val="18"/>
          <w:szCs w:val="18"/>
          <w:color w:val="auto"/>
        </w:rPr>
        <w:t>Transaction advisory fees and expenses were $1.8 million for the three months ended June 30,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with the three months ended June 30, 2018.</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related to share based compensation at IPO. </w:t>
      </w:r>
      <w:r>
        <w:rPr>
          <w:rFonts w:ascii="Times New Roman" w:cs="Times New Roman" w:eastAsia="Times New Roman" w:hAnsi="Times New Roman"/>
          <w:sz w:val="18"/>
          <w:szCs w:val="18"/>
          <w:color w:val="auto"/>
        </w:rPr>
        <w:t>There were no charges related to share-based compensation at IPO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2019, due to the fact that certain Virtu Class B Interests and East MIP Class B Interests became fully vested. Such charges were $10 thousand for the three months ended June 30, 2018.</w:t>
      </w:r>
    </w:p>
    <w:p>
      <w:pPr>
        <w:spacing w:after="0" w:line="171"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interest expense on long-term borrowings. </w:t>
      </w:r>
      <w:r>
        <w:rPr>
          <w:rFonts w:ascii="Times New Roman" w:cs="Times New Roman" w:eastAsia="Times New Roman" w:hAnsi="Times New Roman"/>
          <w:sz w:val="18"/>
          <w:szCs w:val="18"/>
          <w:color w:val="auto"/>
        </w:rPr>
        <w:t>Financing interest expense on long-term borrowings increased $15.9 million, or 84.7%,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$34.7 million for the three months ended June 30, 2019, compared to $18.8 million for the three months ended June 30, 2018. This increase was primarily attributable to the increase in outstanding principal as a result of the First Lien Term Loan Facility, as discussed in Note 10 “Borrowings” of Part I Item 1 “Financial Statements” of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(benefit from) income taxes decreased $14.1 million, to $(11.1) million for the three months ended June 30, 2019, compared to $3.0 million for the three months ended June 30, 2018. The decrease was primarily due to a loss before income taxes and noncontrolling interest for the three months ended June 30, 2019.</w:t>
      </w:r>
    </w:p>
    <w:p>
      <w:pPr>
        <w:spacing w:after="0" w:line="176" w:lineRule="exact"/>
        <w:rPr>
          <w:sz w:val="20"/>
          <w:szCs w:val="20"/>
          <w:color w:val="auto"/>
        </w:rPr>
      </w:pPr>
    </w:p>
    <w:p>
      <w:pPr>
        <w:ind w:right="5280"/>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Six Months Ended June 30, 2019 Compared to Six Months Ended June 30, 2018 </w:t>
      </w:r>
      <w:r>
        <w:rPr>
          <w:rFonts w:ascii="Times New Roman" w:cs="Times New Roman" w:eastAsia="Times New Roman" w:hAnsi="Times New Roman"/>
          <w:sz w:val="18"/>
          <w:szCs w:val="18"/>
          <w:b w:val="1"/>
          <w:bCs w:val="1"/>
          <w:i w:val="1"/>
          <w:iCs w:val="1"/>
          <w:color w:val="auto"/>
        </w:rPr>
        <w:t>Total Revenues</w:t>
      </w:r>
    </w:p>
    <w:p>
      <w:pPr>
        <w:spacing w:after="0" w:line="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total revenues decreased $401.7 million, or 35.1%, to $741.4 million for the six months ended June 30, 2019, compared to $1.1 billion for the six months ended June 30, 2018. This decrease was primarily attributable to a decrease in Trading income, net, of $201.3 million and a decrease in Other, net, of $333.7 million primarily due to gain on the sale of BondPoint to ICE of $337.6 million recognized in January 2018. These decreases were partially offset by an increase in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Commissions, net and technology services of $119.9 million which was primarily attributable to the results of ITG from the ITG Closing Date through June 30,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total revenues by segment for the six months ended June 30, 2019 and 2018.</w:t>
      </w:r>
    </w:p>
    <w:p>
      <w:pPr>
        <w:spacing w:after="0" w:line="200" w:lineRule="exact"/>
        <w:rPr>
          <w:sz w:val="20"/>
          <w:szCs w:val="20"/>
          <w:color w:val="auto"/>
        </w:rPr>
      </w:pPr>
    </w:p>
    <w:p>
      <w:pPr>
        <w:spacing w:after="0" w:line="248"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264"/>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460,689</w:t>
            </w:r>
          </w:p>
        </w:tc>
        <w:tc>
          <w:tcPr>
            <w:tcW w:w="100" w:type="dxa"/>
            <w:vAlign w:val="bottom"/>
          </w:tcPr>
          <w:p>
            <w:pPr>
              <w:spacing w:after="0"/>
              <w:rPr>
                <w:sz w:val="23"/>
                <w:szCs w:val="23"/>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664,338</w:t>
            </w:r>
          </w:p>
        </w:tc>
        <w:tc>
          <w:tcPr>
            <w:tcW w:w="18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(30.7)%</w:t>
            </w: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41,787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39,361</w:t>
            </w:r>
          </w:p>
        </w:tc>
        <w:tc>
          <w:tcPr>
            <w:tcW w:w="1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6.2%</w:t>
            </w: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15,299</w:t>
            </w:r>
          </w:p>
        </w:tc>
        <w:tc>
          <w:tcPr>
            <w:tcW w:w="18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(34.9)%</w:t>
            </w:r>
          </w:p>
        </w:tc>
      </w:tr>
      <w:tr>
        <w:trPr>
          <w:trHeight w:val="270"/>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1,233</w:t>
            </w:r>
          </w:p>
        </w:tc>
        <w:tc>
          <w:tcPr>
            <w:tcW w:w="18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45.0%</w:t>
            </w:r>
          </w:p>
        </w:tc>
      </w:tr>
      <w:tr>
        <w:trPr>
          <w:trHeight w:val="282"/>
        </w:trPr>
        <w:tc>
          <w:tcPr>
            <w:tcW w:w="4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514,225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720,231</w:t>
            </w:r>
          </w:p>
        </w:tc>
        <w:tc>
          <w:tcPr>
            <w:tcW w:w="182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(28.6)%</w:t>
            </w:r>
          </w:p>
        </w:tc>
      </w:tr>
      <w:tr>
        <w:trPr>
          <w:trHeight w:val="264"/>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417</w:t>
            </w:r>
          </w:p>
        </w:tc>
        <w:tc>
          <w:tcPr>
            <w:tcW w:w="18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565.2%</w:t>
            </w: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210,306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85,110</w:t>
            </w:r>
          </w:p>
        </w:tc>
        <w:tc>
          <w:tcPr>
            <w:tcW w:w="18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147.1%</w:t>
            </w:r>
          </w:p>
        </w:tc>
      </w:tr>
      <w:tr>
        <w:trPr>
          <w:trHeight w:val="265"/>
        </w:trPr>
        <w:tc>
          <w:tcPr>
            <w:tcW w:w="4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338,536</w:t>
            </w:r>
          </w:p>
        </w:tc>
        <w:tc>
          <w:tcPr>
            <w:tcW w:w="182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(100)%</w:t>
            </w:r>
          </w:p>
        </w:tc>
      </w:tr>
      <w:tr>
        <w:trPr>
          <w:trHeight w:val="242"/>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225,542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424,553</w:t>
            </w:r>
          </w:p>
        </w:tc>
        <w:tc>
          <w:tcPr>
            <w:tcW w:w="18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(46.9)%</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4"/>
        </w:trPr>
        <w:tc>
          <w:tcPr>
            <w:tcW w:w="4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1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(100.0)%</w:t>
            </w: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70"/>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82"/>
        </w:trPr>
        <w:tc>
          <w:tcPr>
            <w:tcW w:w="4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64"/>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463,463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664,755</w:t>
            </w:r>
          </w:p>
        </w:tc>
        <w:tc>
          <w:tcPr>
            <w:tcW w:w="18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(30.3)%</w:t>
            </w: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53,293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39,886</w:t>
            </w:r>
          </w:p>
        </w:tc>
        <w:tc>
          <w:tcPr>
            <w:tcW w:w="18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33.6%</w:t>
            </w: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220,267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100,409</w:t>
            </w:r>
          </w:p>
        </w:tc>
        <w:tc>
          <w:tcPr>
            <w:tcW w:w="18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119.4%</w:t>
            </w:r>
          </w:p>
        </w:tc>
      </w:tr>
      <w:tr>
        <w:trPr>
          <w:trHeight w:val="265"/>
        </w:trPr>
        <w:tc>
          <w:tcPr>
            <w:tcW w:w="4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4,425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338,129</w:t>
            </w:r>
          </w:p>
        </w:tc>
        <w:tc>
          <w:tcPr>
            <w:tcW w:w="182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(98.7)%</w:t>
            </w:r>
          </w:p>
        </w:tc>
      </w:tr>
      <w:tr>
        <w:trPr>
          <w:trHeight w:val="242"/>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741,448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1,143,179</w:t>
            </w:r>
          </w:p>
        </w:tc>
        <w:tc>
          <w:tcPr>
            <w:tcW w:w="18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(35.1)%</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income, net. </w:t>
      </w:r>
      <w:r>
        <w:rPr>
          <w:rFonts w:ascii="Times New Roman" w:cs="Times New Roman" w:eastAsia="Times New Roman" w:hAnsi="Times New Roman"/>
          <w:sz w:val="18"/>
          <w:szCs w:val="18"/>
          <w:color w:val="auto"/>
        </w:rPr>
        <w:t>Trading income, net was primarily earned by our Market Making segment. Trading income, net, decreased $201.3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30.3%, to $463.5 million for the six months ended June 30, 2019, compared to $664.8 million for the six months ended June 30, 2018. The decrease was primarily attributable to the lack of volatility and low trading volume across major asset categories during the six months ended June 30, 2019 compared to the prior period.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income. </w:t>
      </w:r>
      <w:r>
        <w:rPr>
          <w:rFonts w:ascii="Times New Roman" w:cs="Times New Roman" w:eastAsia="Times New Roman" w:hAnsi="Times New Roman"/>
          <w:sz w:val="18"/>
          <w:szCs w:val="18"/>
          <w:color w:val="auto"/>
        </w:rPr>
        <w:t>Interest and dividends income was primarily earned by our Market Making segment. Interest and dividends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$13.4 million, or 33.6%, to $53.3 million for the six months ended June 30, 2019, compared to $39.9 million for the six months ended June 30, 2018. This increase was primarily attributable to the higher interest income earned on cash collateral posted as part of securities loaned transactions. As indicated above, rather than analyzing interest and dividends income in isolation, we generally evaluate it in the broader context of our Adjusted Net Trading Income.</w:t>
      </w:r>
    </w:p>
    <w:p>
      <w:pPr>
        <w:spacing w:after="0" w:line="18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net and technology services. </w:t>
      </w:r>
      <w:r>
        <w:rPr>
          <w:rFonts w:ascii="Times New Roman" w:cs="Times New Roman" w:eastAsia="Times New Roman" w:hAnsi="Times New Roman"/>
          <w:sz w:val="18"/>
          <w:szCs w:val="18"/>
          <w:color w:val="auto"/>
        </w:rPr>
        <w:t>Commissions, net and technology services revenues were primarily earned by our Execution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Commissions, net and technology services revenues increased $119.9 million, or 119.4%, to $220.3 million for the six months ended June 30, 2019, compared to $100.4 million for the six months ended June 30, 2018. The increase was primarily attributable to the ITG Acquisition, as ITG's entire business is included in our</w:t>
      </w:r>
    </w:p>
    <w:p>
      <w:pPr>
        <w:sectPr>
          <w:pgSz w:w="11900" w:h="16838" w:orient="portrait"/>
          <w:cols w:equalWidth="0" w:num="1">
            <w:col w:w="11360"/>
          </w:cols>
          <w:pgMar w:left="240" w:top="121" w:right="299" w:bottom="1440" w:gutter="0" w:footer="0" w:header="0"/>
        </w:sect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60"/>
          </w:cols>
          <w:pgMar w:left="240" w:top="121" w:right="29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Execution Services segment. The ITG Acquisition also brought recurring connectivity revenues generated from workflow technology and subscription revenues from analytics services to Commissions, net and technology services during the six months ended June 30, 2019.</w:t>
      </w:r>
    </w:p>
    <w:p>
      <w:pPr>
        <w:spacing w:after="0" w:line="158"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decreased $333.7 million, or 98.7%, to $4.4 million for the six months ended June 30, 2019, compared to $338.1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June 30, 2018. The decrease was primarily due to the one-time transaction gain of $337.6 million on the sale of BondPoint to ICE in January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Trading Income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Adjusted Net Trading Income decreased $75.4 million, or 13.9%, to $467.7 million for the six months ended June 30, 2019, compared to $543.2 million for the six months ended June 30, 2018. This decrease was primarily attributable to lower Trading income, net, driven by the lack of volatility and low trading volume across major asset categories during the six months ended June 30, 2019 compared to the prior period. The decrease in Trading income, net was partially offset by an increase in Commissions, net and technology services as a result of the ITG Acquisition. There were decreases in Trading income, net in Global Equities of $141.3 million, and in Global FICC, Options and Other of $38.1 million, from the Market Making segment. These decreases were partially offset by an increase of $103.2 million, or 194.7%, in the Execution Services segment. Adjusted Net Trading Income per day decreased $0.6 million, or 13.9%, to $3.7 million for the six months ended June 30, 2019, compared to $4.3 million for the six months ended June 30, 2018. The number of trading days was 125 for both the six months ended June 30, 2019, and 2018.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$199.2 million, or 31.9%, to $824.2 million for the six months ended June 30, 2019, compared to $625.0 million for the six months ended June 30, 2018. The increase in operating expenses was primarily due to the ITG Acquisition, which caused an overall increase in expenses in multiple expense categories as described in more detail below.</w:t>
      </w:r>
    </w:p>
    <w:p>
      <w:pPr>
        <w:spacing w:after="0" w:line="172"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Brokerage, exchange and clearance fees, net. </w:t>
      </w:r>
      <w:r>
        <w:rPr>
          <w:rFonts w:ascii="Times New Roman" w:cs="Times New Roman" w:eastAsia="Times New Roman" w:hAnsi="Times New Roman"/>
          <w:sz w:val="18"/>
          <w:szCs w:val="18"/>
          <w:color w:val="auto"/>
        </w:rPr>
        <w:t>Brokerage exchange and clearance fees, net, decreased $21.2 million, or 13.2%, to $139.9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June 30, 2019, compared to $161.1 million for the six months ended June 30, 2018. This decrease was primarily attributable to a decrease in volume we traded in Global Equities instruments and other asset categories, partially offset by increases due to the ITG Acquisition. As indicated above, rather than analyzing brokerage, exchange and clearance fees, net, in isolation, we generally evaluate it in the broader context of our Adjusted Net Trading Income.</w:t>
      </w:r>
    </w:p>
    <w:p>
      <w:pPr>
        <w:spacing w:after="0" w:line="180"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 and data processing. </w:t>
      </w:r>
      <w:r>
        <w:rPr>
          <w:rFonts w:ascii="Times New Roman" w:cs="Times New Roman" w:eastAsia="Times New Roman" w:hAnsi="Times New Roman"/>
          <w:sz w:val="18"/>
          <w:szCs w:val="18"/>
          <w:color w:val="auto"/>
        </w:rPr>
        <w:t>Communication and data processing expense decreased $2.0 million, or 2.1%, to $96.2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2019, compared to $98.3 million for the six months ended June 30, 2018. This decrease was primarily due to reductions in connectivity connections as a result of an on-going effort to consolidate various communication and data processing subscriptions. The decrease was partially offset by the additional connectivity and market data service subscriptions acquired as part of the ITG Acquisition.</w:t>
      </w:r>
    </w:p>
    <w:p>
      <w:pPr>
        <w:spacing w:after="0" w:line="17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compensation and payroll taxes. </w:t>
      </w:r>
      <w:r>
        <w:rPr>
          <w:rFonts w:ascii="Times New Roman" w:cs="Times New Roman" w:eastAsia="Times New Roman" w:hAnsi="Times New Roman"/>
          <w:sz w:val="18"/>
          <w:szCs w:val="18"/>
          <w:color w:val="auto"/>
        </w:rPr>
        <w:t>Employee compensation and payroll taxes increased $85.6 million, or 80.9%, to $191.5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June 30, 2019, compared to $105.9 million for the six months ended June 30, 2018. The increase in compensation levels was primarily attributable to the increases in headcount subsequent to the ITG Acquisition. Incentive compensation is recorded at management’s discretion and is generally accrued in connection with the overall level of profitability. We have capitalized and therefore excluded employee compensation and benefits related to software development of $16.7 million, and $14.2 million for the six months ended June 30, 2019 and 2018, respectively.</w:t>
      </w:r>
    </w:p>
    <w:p>
      <w:pPr>
        <w:spacing w:after="0" w:line="18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order flow. </w:t>
      </w:r>
      <w:r>
        <w:rPr>
          <w:rFonts w:ascii="Times New Roman" w:cs="Times New Roman" w:eastAsia="Times New Roman" w:hAnsi="Times New Roman"/>
          <w:sz w:val="18"/>
          <w:szCs w:val="18"/>
          <w:color w:val="auto"/>
        </w:rPr>
        <w:t>Payments for order flow increased $15.1 million, or 47.0%, to $47.2 million for the six months ended June 30,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$32.1 million for the six months ended June 30, 2018, The increase was primarily attributable to the increase in volumes from our broker-dealer clients eligible for payments for order flow, including a new counterparty onboarded during 2019. Payments for order flow also fluctuate based on U.S. equity share and option volumes, our profitability and the mix of market orders, limit orders, and customer mix. As indicated above, rather than analyzing payments for order flow in isolation, we generally evaluate it in the broader context of our Adjusted Net Trading Income.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expense. </w:t>
      </w:r>
      <w:r>
        <w:rPr>
          <w:rFonts w:ascii="Times New Roman" w:cs="Times New Roman" w:eastAsia="Times New Roman" w:hAnsi="Times New Roman"/>
          <w:sz w:val="18"/>
          <w:szCs w:val="18"/>
          <w:color w:val="auto"/>
        </w:rPr>
        <w:t>Interest and dividends expense increased $13.6 million, or 19.8%, to $82.2 million for the six months ended</w:t>
      </w:r>
    </w:p>
    <w:p>
      <w:pPr>
        <w:spacing w:after="0" w:line="3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June 30, 2019, compared to $68.6 million for the six months ended June 30, 2018. This increase was primarily attributable to higher interest expense incurred on cash collateral received as part of securities lending transactions, as well as increased interest expense resulting from the ITG Acquisition. As indicated above, rather than analyzing interest and dividends expense in isolation, we generally evaluate it in the broader context of our Adjusted Net Trading Income.</w:t>
      </w:r>
    </w:p>
    <w:p>
      <w:pPr>
        <w:spacing w:after="0" w:line="16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administrative. </w:t>
      </w:r>
      <w:r>
        <w:rPr>
          <w:rFonts w:ascii="Times New Roman" w:cs="Times New Roman" w:eastAsia="Times New Roman" w:hAnsi="Times New Roman"/>
          <w:sz w:val="18"/>
          <w:szCs w:val="18"/>
          <w:color w:val="auto"/>
        </w:rPr>
        <w:t>Operations and administrative expense increased $20.5 million, or 56.2%, to $56.9 million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2019, compared to $36.4 million for the six months ended June 30, 2018. The increase was primarily attributable to the additional occupancy, professional and consulting expenses resulting from the ITG Acquisition, offset by on-going efforts to consolidate office premises and professional services.</w:t>
      </w:r>
    </w:p>
    <w:p>
      <w:pPr>
        <w:spacing w:after="0" w:line="17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decreased $0.3 million, or 0.9%, to $31.3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compared to $31.5 million for the six months ended June 30, 2018. This decrease was primarily attributable to lower depreciation due to write-offs of leasehold improvements and other fixed assets associated with abandoned office space during the second quarter of 2019, partially offset by depreciation and amortization of additional assets resulting from the ITG Acquisition.</w:t>
      </w:r>
    </w:p>
    <w:p>
      <w:pPr>
        <w:spacing w:after="0" w:line="177"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intangibles and acquired capitalized software. </w:t>
      </w:r>
      <w:r>
        <w:rPr>
          <w:rFonts w:ascii="Times New Roman" w:cs="Times New Roman" w:eastAsia="Times New Roman" w:hAnsi="Times New Roman"/>
          <w:sz w:val="18"/>
          <w:szCs w:val="18"/>
          <w:color w:val="auto"/>
        </w:rPr>
        <w:t>Amortization of purchased intangibles and acquired capitalized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$17.9 million, or 130.6%, to $31.5 million for the six months ended June 30, 2019, compared to $13.7 million for the six months ended June 30, 2018. This increase was due to the amortization of intangible assets acquired in connection with the ITG Acquisition.</w:t>
      </w:r>
    </w:p>
    <w:p>
      <w:pPr>
        <w:spacing w:after="0" w:line="171" w:lineRule="exact"/>
        <w:rPr>
          <w:sz w:val="20"/>
          <w:szCs w:val="20"/>
          <w:color w:val="auto"/>
        </w:rPr>
      </w:pPr>
    </w:p>
    <w:p>
      <w:pPr>
        <w:jc w:val="both"/>
        <w:ind w:right="2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office leases. </w:t>
      </w:r>
      <w:r>
        <w:rPr>
          <w:rFonts w:ascii="Times New Roman" w:cs="Times New Roman" w:eastAsia="Times New Roman" w:hAnsi="Times New Roman"/>
          <w:sz w:val="18"/>
          <w:szCs w:val="18"/>
          <w:color w:val="auto"/>
        </w:rPr>
        <w:t>Termination of office leases increased $43.3 million, or 198.3%, to $65.2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compared to $21.9 million six months ended June 30, 2018. The increase in termination of office leases is due to the impairment of operating lease right-of-use assets and leasehold improvements and fixed assets for certain abandoned office space as part of the effort to integrate and consolidate office space in connection with the ITG Acquisition.</w:t>
      </w:r>
    </w:p>
    <w:p>
      <w:pPr>
        <w:spacing w:after="0" w:line="177"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issue costs related to debt refinancing and prepayment. </w:t>
      </w:r>
      <w:r>
        <w:rPr>
          <w:rFonts w:ascii="Times New Roman" w:cs="Times New Roman" w:eastAsia="Times New Roman" w:hAnsi="Times New Roman"/>
          <w:sz w:val="18"/>
          <w:szCs w:val="18"/>
          <w:color w:val="auto"/>
        </w:rPr>
        <w:t>Expense from debt issue costs related to debt refinancing and prepayment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$0.5 million, or 5.8%, to $7.9 million for the six months ended June 30, 2019, compared to $8.4 million for the six months ended June 30, 2018. The amount for the six months ended June 30, 2019 mainly reflects costs incurred related to the termination of the Senior Secured Term Loan Facility (as defined below) in the first quarter of 2019, while the amount for the six months ended June 30, 2018 reflects the accelerated amortization of debt issuance costs due to prepayments of $384.8 million on long term borrowings in the six months ended June 30, 2018.</w:t>
      </w:r>
    </w:p>
    <w:p>
      <w:pPr>
        <w:spacing w:after="0" w:line="180"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advisory fees and expenses. </w:t>
      </w:r>
      <w:r>
        <w:rPr>
          <w:rFonts w:ascii="Times New Roman" w:cs="Times New Roman" w:eastAsia="Times New Roman" w:hAnsi="Times New Roman"/>
          <w:sz w:val="18"/>
          <w:szCs w:val="18"/>
          <w:color w:val="auto"/>
        </w:rPr>
        <w:t>Transaction advisory fees and expenses increased $7.7 million, or 82.9%, to $16.9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2019, compared to $9.2 million for the six months ended June 30, 2018. The increase was primarily attributable to the ITG Acquisition, for which we incurred significantly higher transaction advisory fees than those incurred in connection with the sale of BondPoint in January 2018.</w:t>
      </w:r>
    </w:p>
    <w:p>
      <w:pPr>
        <w:spacing w:after="0" w:line="177"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related to share based compensation at IPO. </w:t>
      </w:r>
      <w:r>
        <w:rPr>
          <w:rFonts w:ascii="Times New Roman" w:cs="Times New Roman" w:eastAsia="Times New Roman" w:hAnsi="Times New Roman"/>
          <w:sz w:val="18"/>
          <w:szCs w:val="18"/>
          <w:color w:val="auto"/>
        </w:rPr>
        <w:t>There were no charges related to share-based compensation at IPO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2019, due to the fact that certain Virtu Class B Interests and East MIP Class B Interests became fully vested. Such charges were $24 thousand for the six months ended June 30, 2018.</w:t>
      </w:r>
    </w:p>
    <w:p>
      <w:pPr>
        <w:spacing w:after="0" w:line="171"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interest expense on long term borrowings. </w:t>
      </w:r>
      <w:r>
        <w:rPr>
          <w:rFonts w:ascii="Times New Roman" w:cs="Times New Roman" w:eastAsia="Times New Roman" w:hAnsi="Times New Roman"/>
          <w:sz w:val="18"/>
          <w:szCs w:val="18"/>
          <w:color w:val="auto"/>
        </w:rPr>
        <w:t>Financing interest expense on long-term borrowings increased $19.7 million, or 51.9%,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$57.5 million for the six months ended June 30, 2019, compared to $37.8 million for the six months ended June 30, 2018. This increase was primarily attributable to the increase in outstanding principal as a result of the First Lien Term Loan Facility, as discussed in Note 10 “Borrowings” of Part I Item 1 “Financial Statements” of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(benefit from) income taxes decreased $75.2 million to $(13.7) million for the six months ended June 30, 2019, compared to $61.5 million for the six months ended June 30, 2018. The decrease was primarily due to a loss before income taxes and noncontrolling interest for the six months ended June 30, 2019.</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121" w:right="27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June 30, 2019, we had $458.1 million in Cash and cash equivalents, and $39.5 million in Cash and securities segregated under regulations and other. These balances are maintained primarily to support operating activities for capital expenditures and for short-term access to liquidity, and for other general corporate purposes. As of June 30, 2019, we had borrowings under our short-term credit facilities of approximately $156.9 million, borrowing under broker dealer facilities of $92.0 million, short-term bank overdrafts of $59.5 million, and long-term debt outstanding in an aggregate principal amount of approximately $1,982.5 million. As of June 30, 2019, our regulatory capital requirements for domestic U.S. broker-dealer subsidiaries were $7.5 million, in aggregate.</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an uncommitted credit facility and a revolving credit facility for three of our wholly-owned broker-dealer subsidiaries, as discussed in Note 10 “Borrowings” of Part I Item 1 “Financial Statements” of this quarterly report on Form 10-Q.</w:t>
      </w:r>
    </w:p>
    <w:p>
      <w:pPr>
        <w:spacing w:after="0" w:line="18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 requirements both intra-day and inter-day, as required.</w:t>
      </w:r>
    </w:p>
    <w:p>
      <w:pPr>
        <w:spacing w:after="0" w:line="18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Generally, we are required under the tax receivable agreements entered into in connection with our IPO to make payments to certain direct or indirect equityholders of Virtu Financial that are generally equal to 85% of the applicable cash tax savings, if any, that we actually realize as a result of favorable tax attributes that will be available to us as a result of certain reorganization transactions consummated in connection with the IPO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equityholders of Virtu Financial described in Note 6 “Tax Receivable Agreements” to the condensed consolidated financial statements included in Part I Item 1 “Financial Statements” of this quarterly report on Form 10-Q are expected to range from approximately $2.6 million to $19.9 million per year over the next 15 years. Such payments will occur only after we have filed our U.S. federal and state income tax returns and realized the cash tax savings from the favorable tax attributes. We made our first payment of $7.0 million in February 2017 and our second payment of $12.4 million in September 2018. Future payments under the tax receivable agreements in respect of subsequent exchanges would be in addition to these amounts. We currently expect to fund these payments from realized cash tax savings from the favorable tax attributes.</w:t>
      </w:r>
    </w:p>
    <w:p>
      <w:pPr>
        <w:spacing w:after="0" w:line="19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the tax receivable agreements, as a result of certain types of transactions and other factors, including a transaction resulting in a change of control, we may also be required to make payments to certain direct or indirect equityholders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or the indenture governing our Notes (as defined below) restricts the ability of our subsidiaries to make distributions to us) such payments will be deferred and will accrue interest until paid.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 Requirements</w:t>
      </w:r>
    </w:p>
    <w:p>
      <w:pPr>
        <w:spacing w:after="0" w:line="229"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Certain of our operating subsidiaries are subject to separate regulation and capital requirements in the United States and other jurisdictions. Virtu Financial BD LLC, Virtu Americas LLC, Virtu Financial Capital Markets LLC, Virtu ITG LLC, and Virtu Alternet Securities LLC, the latter two of which became our subsidiaries following the ITG Acquisition, are registered U.S. broker-dealers, and their primary regulators include the SEC, the Chicago Stock Exchange and the Financial Industry Regulatory Authority (“FINRA”).</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rules impose requirements that may have the effect of prohibiting a broker-dealer from distributing or withdrawing capital and requiring prior notice to and/or approval from the SEC, the Chicago Stock Exchange and FINRA for certain capital withdrawals. Virtu Americas LLC is also subject to rules set forth by NYSE and is required to maintain a certain level of capital in connection with the operation of its designated market maker business.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Canadian subsidiaries, Virtu ITG Canada Corp, TriAct Canada Marketplace LP, and Virtu Financial Canada ULC, are subject to regulatory capital requirements and periodic requirements to report their regulatory capital and submit other regulatory reports set forth by the Investment Industry Regulatory Organization of Canada. Virtu Financial Ireland Limited and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Virtu Financial Ireland Limited and Virtu ITG Europe Limited are required to obtain consent prior to receiving capital contributions or making capital distributions from their regulatory capital. Failure to comply with their regulatory capital requirements could result in regulatory sanction or revocation of their regulatory</w:t>
      </w:r>
    </w:p>
    <w:p>
      <w:pPr>
        <w:spacing w:after="0" w:line="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license. KCG Europe Limited and Virtu ITG UK Limited are regulated by the Financial Conduct Authority in the United Kingdom and are subject to similar prudential capital requirements. Virtu ITG Australia Limited, Virtu ITG Hong Kong Limited, and Virtu ITG Singapore Pte Limited are also subject to local regulatory capital requirements and are regulated by the Australian Securities Exchange, the Securities and Futures Commission, and the Monetary Authority of Singapore, respectively.</w:t>
      </w:r>
    </w:p>
    <w:p>
      <w:pPr>
        <w:spacing w:after="0" w:line="18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See Note 20 “Regulatory Requirement” of Part I Item 1 “Financial Statements” of this quarterly report on Form 10-Q for a discussion of regulatory capital requirements of our regulated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maintain various broker-dealer facilities and short-term credit facilities as part of our daily trading operations. See Note 10 “Borrowings” of Part I Item 1 “Financial Statements” of this quarterly report on Form 10-Q for details on our various credit facilities. As of June 30, 2019, the outstanding principal balance on our broker-dealer facilities was $92.0 million, and the outstanding aggregate short-term credit facilities with various prime brokers and other financial institutions from which the Company receives execution or clearing services was approximately $156.9 million, which was netted within Receivables from broker-dealers and clearing organizations on the condensed consolidated statement of financial condition of Part I Item 1 “Financial Statements” of this quarterly report on Form 10-Q.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provides (i) a senior secured first lien term loan in an aggregate principal amount of $1.5 billion, drawn in its entirety on the ITG Closing Date, with approximately $404.5 million borrowed by VFH to repay all amounts outstanding under the Company's Fourth Amended and Restated Credit Agreement and the remaining approximately $1,095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ITG Closing Date, VFH assumed the obligations of the Acquisition Borrower in respect of the acquisition term loans. During the three months ended June 30, 2019, $50.0 million was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repaid under the First Lien Term Loan Facility. As of June 30, 2019, $1,450 million was outstanding under the First Lien Term Loan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borrowings and revolver borrowings under the Credit Agreement will bear interest at a per annum rate equal to, at our election, either</w:t>
      </w:r>
    </w:p>
    <w:p>
      <w:pPr>
        <w:spacing w:after="0" w:line="27" w:lineRule="exact"/>
        <w:rPr>
          <w:sz w:val="20"/>
          <w:szCs w:val="20"/>
          <w:color w:val="auto"/>
        </w:rPr>
      </w:pPr>
    </w:p>
    <w:p>
      <w:pPr>
        <w:ind w:right="100" w:firstLine="8"/>
        <w:spacing w:after="0" w:line="252"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greatest of (a) the prime rate in effect, (b) the greater of (i) the federal funds effective rate and (ii) the overnight bank funding rate, in each case plus 0.5%, (c) an adjusted LIBOR rate for a Eurodollar borrowing with an interest period of one month plus 1% and (d) 1.00%, plus, in each case, 2.50%, with a stepdown to 2.25% based on VFH's first lien leverage ratio, or (ii) the greater of (x) an adjusted LIBOR rate for the interest period in effect and (y) 0%, plus, in each case, 3.50%, with a stepdown to 3.25% based on VFH’s first lien leverage ratio.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19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First Lien Revolving Facility under the Credit Agreement is subject to a springing net first lien leverage ratio which may spring into effect as of the last day of a fiscal quarter based on the usage of the aggregate revolving commitments as of such date. VFH is also subject to contingent principal prepayments based on excess cash flow and certain other triggering events. Borrowings under the Credit Agreement are guaranteed by Virtu Financial and VFH’s material non-regulated restricted subsidiaries and secured by substantially all of the assets of VFH and the guarantors, in each case, subject to certain exceptions.</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Credit Agreement, term loans will mature on March 1, 2026; provided that unless at least $400.0 million of VFH's existing 6.750% second lien notes due 2022 have been repaid or refinanced (the “repayment requirement”) prior to the date that is 91 days prior to the maturity of the second lien notes (the “term springing maturity date”), the term loans will mature on the term springing maturity date. The term loans amortize in annual installments equal to 1.0% of the original aggregate principal amount of the term loans. The revolving commitments will terminate on March 1, 2022; provided that unless the repayment requirement is satisfied on or prior to the date that is 182 days prior to the maturity of the second lien notes (the “revolving springing maturity date”), the revolving commitments will terminate on the revolving springing maturity date.</w:t>
      </w:r>
    </w:p>
    <w:p>
      <w:pPr>
        <w:spacing w:after="0" w:line="18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covenants and certain customary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finance the Acquisition of KCG, on June 30, 2017, Virtu Financial and VFH previously entered into the Fourth Amended and Restated Credit Agreement with the lenders party thereto and JPMorgan Chase Bank, N.A., as administrative agent, sole lead arranger and bookrunner, which amended and restated in its entirety the existing credit agreement, and upon the closing of the Acquisition of KCG, provided for an aggregate $1.15 billion of first lien secured term loans (the “Senior Secured Term Loan Facility”). As described above, the Senior Secured Term Loan Facility was fully terminated following its repayment in full with the proceeds of the First Lien Term Loan Facility.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all applicable covenants under the Credit Agreement as of June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Second Lien Notes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June 16, 2017, Orchestra Borrower LLC (the “Escrow Issuer”), a wholly-owned subsidiary of Virtu Financial, and Orchestra Co-Issuer, Inc. (the “Co-Issuer”) completed the offering of $500 million aggregate principal amount of 6.750% Senior Secured Second Lien Notes due 2022 (the “Notes”). The Notes were issued under an Indenture, dated as of June 16, 2017 (the “Indenture”), among the Escrow Issuer, the Co-Issuer and U.S. Bank National Association, as the trustee and collateral agent. The Notes mature on June 15, 2022. Interest on the Notes accrues at 6.750% per annum, payable every six months through maturity on each June 15th and December 15th, beginning on December 15, 2017.</w:t>
      </w:r>
    </w:p>
    <w:p>
      <w:pPr>
        <w:spacing w:after="0" w:line="184"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On July 20, 2017, VFH assumed all of the obligations of the Escrow Issuer under the Indenture and the Notes. The Notes are guaranteed by Virtu Financial and each of Virtu Financial’s wholly-owned domestic restricted subsidiaries that guarantee the Credit Agreement. We refer to VFH and the Co-Issuer together as, the “Issuers.”</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Notes and the related guarantees are secured by second-priority perfected liens on substantially all of the Issuers’ and guarantors’ existing and future assets, subject to certain exceptions, including all material personal property, a pledge of the capital stock of the Issuers, the guarantors (other than Virtu Financial) and the direct subsidiaries of the Issuers and the guarantors and 100% of the non-voting capital stock and up to 65.0% of the voting capital stock of any now-owned or later-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acquired foreign subsidiaries that are directly owned by the Issuers or any of the guarantors, which assets also secure obligations under the Credit Agreement on a first-priority basis.</w:t>
      </w:r>
    </w:p>
    <w:p>
      <w:pPr>
        <w:spacing w:after="0" w:line="162"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(as such term is defined in the Indenture); (iii) create liens on their assets to secure debt; (iv) enter into transactions with affiliates; (v) merge, consolidate or amalgamate with another company; (vi) transfer and sell assets; and (vii) permit restrictions on the payment of dividends by Virtu Financial’s subsidiaries.</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80" w:lineRule="exact"/>
        <w:rPr>
          <w:sz w:val="20"/>
          <w:szCs w:val="20"/>
          <w:color w:val="auto"/>
        </w:rPr>
      </w:pPr>
    </w:p>
    <w:p>
      <w:pPr>
        <w:ind w:right="220" w:firstLine="549"/>
        <w:spacing w:after="0" w:line="266" w:lineRule="auto"/>
        <w:rPr>
          <w:sz w:val="20"/>
          <w:szCs w:val="20"/>
          <w:color w:val="auto"/>
        </w:rPr>
      </w:pPr>
      <w:r>
        <w:rPr>
          <w:rFonts w:ascii="Times New Roman" w:cs="Times New Roman" w:eastAsia="Times New Roman" w:hAnsi="Times New Roman"/>
          <w:sz w:val="18"/>
          <w:szCs w:val="18"/>
          <w:color w:val="auto"/>
        </w:rPr>
        <w:t>On or after June 15, 2019, we may redeem some or all of the Notes, at the following redemption prices (expressed as percentages of principal amount), plus accrued and unpaid interest to (but not including) the date of redemption, if redeemed during the 12-month period beginning on June 15th of the years indicated below:</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55"/>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CCEEFF"/>
            </w:tcBorders>
            <w:shd w:val="clear" w:color="auto" w:fill="CCEEFF"/>
          </w:tcPr>
          <w:p>
            <w:pPr>
              <w:spacing w:after="0"/>
              <w:rPr>
                <w:sz w:val="22"/>
                <w:szCs w:val="22"/>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103.375%</w:t>
            </w:r>
          </w:p>
        </w:tc>
      </w:tr>
      <w:tr>
        <w:trPr>
          <w:trHeight w:val="265"/>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23"/>
                <w:szCs w:val="23"/>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101.688%</w:t>
            </w:r>
          </w:p>
        </w:tc>
      </w:tr>
      <w:tr>
        <w:trPr>
          <w:trHeight w:val="27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and thereafter</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w:t>
            </w:r>
          </w:p>
        </w:tc>
      </w:tr>
    </w:tbl>
    <w:p>
      <w:pPr>
        <w:spacing w:after="0" w:line="200" w:lineRule="exact"/>
        <w:rPr>
          <w:sz w:val="20"/>
          <w:szCs w:val="20"/>
          <w:color w:val="auto"/>
        </w:rPr>
      </w:pPr>
    </w:p>
    <w:p>
      <w:pPr>
        <w:spacing w:after="0" w:line="21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of specified change of control events as defined in the Indenture, we must offer to repurchase the Notes at 101% of the principal amount, plus accrued and unpaid interest, if any, to (but excluding) the purchase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all applicable covenants under the indenture governing our Notes as of June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1" w:lineRule="exact"/>
        <w:rPr>
          <w:sz w:val="20"/>
          <w:szCs w:val="20"/>
          <w:color w:val="auto"/>
        </w:rPr>
      </w:pPr>
    </w:p>
    <w:p>
      <w:pPr>
        <w:ind w:right="180" w:firstLine="648"/>
        <w:spacing w:after="0" w:line="239" w:lineRule="exact"/>
        <w:rPr>
          <w:sz w:val="20"/>
          <w:szCs w:val="20"/>
          <w:color w:val="auto"/>
        </w:rPr>
      </w:pPr>
      <w:r>
        <w:rPr>
          <w:rFonts w:ascii="Times New Roman" w:cs="Times New Roman" w:eastAsia="Times New Roman" w:hAnsi="Times New Roman"/>
          <w:sz w:val="18"/>
          <w:szCs w:val="18"/>
          <w:color w:val="auto"/>
        </w:rPr>
        <w:t>Our main sources of liquidity are cash flow from the operations of our subsidiaries, our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credit facilities (as described above), margin financing provided by our prime brokers and cash on hand.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primary sources and uses of cash for the six months ended June 30, 2019 and 2018.</w:t>
      </w:r>
    </w:p>
    <w:p>
      <w:pPr>
        <w:spacing w:after="0" w:line="200" w:lineRule="exact"/>
        <w:rPr>
          <w:sz w:val="20"/>
          <w:szCs w:val="20"/>
          <w:color w:val="auto"/>
        </w:rPr>
      </w:pP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(377,325)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310,297</w:t>
            </w:r>
          </w:p>
        </w:tc>
      </w:tr>
      <w:tr>
        <w:trPr>
          <w:trHeight w:val="265"/>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(864,384)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373,708</w:t>
            </w:r>
          </w:p>
        </w:tc>
      </w:tr>
      <w:tr>
        <w:trPr>
          <w:trHeight w:val="275"/>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1,005,614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(553,778)</w:t>
            </w:r>
          </w:p>
        </w:tc>
      </w:tr>
      <w:tr>
        <w:trPr>
          <w:trHeight w:val="265"/>
        </w:trPr>
        <w:tc>
          <w:tcPr>
            <w:tcW w:w="5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w:t>
            </w:r>
          </w:p>
        </w:tc>
      </w:tr>
      <w:tr>
        <w:trPr>
          <w:trHeight w:val="242"/>
        </w:trPr>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127,180</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$377.3 million for the six months ended June 30, 2019, compared to net cash provided by operating activities of $310.3 million for the six months ended June 30, 2018. The decrease of $687.6 million in net cash used by operating activities was primarily attributable to lower trading income for the six months ended June 30, 2019 compared to the prior year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$864.4 million for the six months ended June 30, 2019, compared to net cash provided by investing activities of $373.7 million for the six months ended June 30, 2018. The decrease in cash provided by investment activities was primarily attributable to the $835.6 million cash used for the ITG Acquisition on the ITG Closing Date, as well the $400.2 million proceeds received from the sale of BondPoint in January 2018. See Note 3 “ITG Acquisition” and Note 4 “Sale of BondPoint” of Part I Item 1 “Financial Statements” of this quarterly report on Form 10-Q.</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80"/>
          </w:cols>
          <w:pgMar w:left="240" w:top="121" w:right="27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$1,005.6 million for the six months ended June 30, 2019, while net cash used in financing activities was $553.8 million for the six months ended June 30, 2018. The increase in cash provided of $1,559.4 million compared to the prior year period was primarily attributable to $1,500.0 million of proceeds from long term borrowings, offset by $400.0 million of repayments on the Senior Secured Term Loan Facility and $50.0 million of prepayments on the First Lien Term Loan Facility. In addition, cash provided by short-term borrowings increased approximately $101.2 million, primarily attributable to the increase in short-term bank loans in the form of overdrafts.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February 8, 2018, the Company’s board of directors authorized a share repurchase program of up to $50.0 million in Class A Common Stock and Virtu Financial Units, which was expanded to $100.0 million on July 27, 2018. The stock and common units repurchase program expires on September 30, 2019. Since the inception of the program, the Company repurchased approximately 2.6 million shares of Class A Common Stock and Virtu Financial Units for approximately $65.9 million. At June 30, 2019, the Company has approximately $34.1 million remaining capacity for future purchases of shares of Class A Common Stock and Virtu Financial Units under the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May 2018 Secondary Offering, the Company, TJMT Holdings LLC, North Island Holdings I, LP (the “North Island Stockholder”), Havelock Fund Investments Pte. Ltd. (“Havelock”) and Aranda Investments Pte. Ltd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88"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As of June 30, 2019,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We believe inflation has not had a material effect on our financial condition as of June 30, 2019, and December 31, 2018, or on our results of operations and cash flows for the three and six months ended June 30, 2019 and 2018.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Part I Item 1 “Financial Statements” of this quarterly report on Form 10-Q for further information about fair value measurements.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Income, Net</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Dividends Income/Interest and Dividends Expense</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Commissions, net and Technology Services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 The Company recognizes the related revenue when the third-party research services are rendered and payments are made.</w:t>
      </w:r>
    </w:p>
    <w:p>
      <w:pPr>
        <w:spacing w:after="0" w:line="184"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Workflow technology revenues consist of order and trade execution management and order routing services we provide through our front-end workflow solutions and network capabilities.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80" w:lineRule="exact"/>
        <w:rPr>
          <w:sz w:val="20"/>
          <w:szCs w:val="20"/>
          <w:color w:val="auto"/>
        </w:rPr>
      </w:pPr>
    </w:p>
    <w:p>
      <w:pPr>
        <w:ind w:right="320" w:firstLine="648"/>
        <w:spacing w:after="0" w:line="313"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8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1300" w:right="32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value for each customer for the products and services it receives, which is priced using the value for similar stand-alone subscription arrangements; and</w:t>
      </w:r>
    </w:p>
    <w:p>
      <w:pPr>
        <w:ind w:left="1300" w:right="40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calculated ratio of the commission value for the products and services relative to the total amount of commissions generated from the customer.</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Share-based awards issued for compensation in connection with or subsequent to the Reorganization Transactions and the IPO pursuant to our Amended and Restated 2015 Management Incentive Plan, and pursuant to the Amended and Restated ITG 2007 Equity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95" w:lineRule="exact"/>
        <w:rPr>
          <w:sz w:val="20"/>
          <w:szCs w:val="20"/>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accessing capital;</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or other developments in equity and credit markets;</w:t>
      </w:r>
    </w:p>
    <w:p>
      <w:pPr>
        <w:spacing w:after="0" w:line="49" w:lineRule="exact"/>
        <w:rPr>
          <w:rFonts w:ascii="Times New Roman" w:cs="Times New Roman" w:eastAsia="Times New Roman" w:hAnsi="Times New Roman"/>
          <w:sz w:val="18"/>
          <w:szCs w:val="18"/>
          <w:color w:val="auto"/>
        </w:rPr>
      </w:pPr>
    </w:p>
    <w:p>
      <w:pPr>
        <w:ind w:left="660" w:right="20" w:firstLine="320"/>
        <w:spacing w:after="0" w:line="297"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spacing w:after="0" w:line="1"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such as increases in raw materials, labor, or other costs that have a negative effect on earnings and cash flows;</w:t>
      </w:r>
    </w:p>
    <w:p>
      <w:pPr>
        <w:spacing w:after="0" w:line="49" w:lineRule="exact"/>
        <w:rPr>
          <w:rFonts w:ascii="Times New Roman" w:cs="Times New Roman" w:eastAsia="Times New Roman" w:hAnsi="Times New Roman"/>
          <w:sz w:val="18"/>
          <w:szCs w:val="18"/>
          <w:color w:val="auto"/>
        </w:rPr>
      </w:pPr>
    </w:p>
    <w:p>
      <w:pPr>
        <w:ind w:left="660" w:right="20" w:firstLine="320"/>
        <w:spacing w:after="0" w:line="297"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financial performance such as negative or declining cash flows or a decline in actual or planned revenue or earnings compared with actual and projected results of relevant prior periods;</w:t>
      </w:r>
    </w:p>
    <w:p>
      <w:pPr>
        <w:ind w:left="660" w:right="160" w:firstLine="320"/>
        <w:spacing w:after="0" w:line="329"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relevant entity-specific events such as changes in management, key personnel, strategy, or customers, contemplation of bankruptcy, or litigation.</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assess goodwill for impairment on an annual basis as of July 1st and on an interim basis when certain events or circumstances exist. In the impairment assessment as of July 1, 2018, we performed a qualitative assessment as described above for each reporting unit. No impairment of goodwill was identified.</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121" w:right="25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Company's Chief Risk Officer , the independent risk group and senior management.</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7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maintain inventories of exchange-listed and other equity securities, and to a lesser extent, fixed income securities and listed equity options. The fair value of these financial instruments at June 30, 2019 and December 31, 2018 was $3.1 billion and $2.6 billion, respectively, in long positions and $2.7 billion and $2.5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Derivative Instruments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utilize derivative financial instruments in connection with our proprietary trading activities. We do not designate our derivative financial instruments as hedging instruments under ASC 815 Derivatives and Hedging, other than derivatives used to reduce the impact of fluctuations in foreign exchange rates on our net investment in certain non-U.S. operations as discussed in Note 12 “Derivative Instruments” of Part I Item 1 “Financial Statements” of this quarterly report on Form 10-Q. Instead, we carry our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83"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6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Due from Broker-Dealers and Clearing Organizations</w:t>
      </w:r>
      <w:r>
        <w:rPr>
          <w:rFonts w:ascii="Times New Roman" w:cs="Times New Roman" w:eastAsia="Times New Roman" w:hAnsi="Times New Roman"/>
          <w:sz w:val="18"/>
          <w:szCs w:val="18"/>
          <w:color w:val="auto"/>
        </w:rPr>
        <w:t>. Management periodically evaluates our counterparty credit exposures to various brokers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organizations with a view to limiting potential losses resulting from counterparty insolvency.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84"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Approximately 27.6% and 15.5% of our revenues for the three months ended June 30, 2019 and 2018, respectively, and approximately 23.7% and 10.7% for the six months ended June 30, 2019 and 2018, respectively, were denominated in non-U.S. Dollar currencies. We estimate that a hypothetical 10% adverse change in the above-mentioned foreign exchange rates would have resulted in decreases in revenues of $10.4 million and $5.1 million for the three months ended June 30, 2019 and 2018, respectively, and $17.6 million and $12.3 million for the six months ended June 30, 2019 and 2018, respectively.</w:t>
      </w:r>
    </w:p>
    <w:p>
      <w:pPr>
        <w:spacing w:after="0" w:line="16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changes in equity. Our primary currency translation exposures historically relate to net investments in subsidiaries having functional currencies denominated in the Euro and Pound Sterling.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 Balance Sheet Risk</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June 30, 2019. Based upon that evaluation, our Chief Executive Officer and Chief Financial Officer concluded that, as of June 30, 2019,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 13a-15(f) under the Exchange Act) occurred during the three months ended June 30, 2019 that has or is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“Legal Proceedings” section in Note 15 “Commitments, Contingencies and Guarantees” to the Company’s condensed consolidated financial statements included in Part I “Financial Information”, which is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Part I Item 1A. “Risk Factors” in our 2018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8, 2018, the Company’s board of directors authorized a new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2.6 million shares of Class A Common Stock and Virtu Financial Units for approximately $65.9 million. The Company now has approximately $34.1 million remaining capacity for future purchases of shares of Class A Common Stock and Virtu Financial Units under the program. Pursuant to the program,</w:t>
      </w: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The Company had no repurchases of its Class A Common Stock under the Company's share repurchase program during the six months ended June 30, 2019. Total share repurchases for the six months ended June 30, 2019 were as follows: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3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69"/>
        </w:trPr>
        <w:tc>
          <w:tcPr>
            <w:tcW w:w="5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January 1, 2019 - January 31, 2019</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208,610</w:t>
            </w:r>
          </w:p>
        </w:tc>
        <w:tc>
          <w:tcPr>
            <w:tcW w:w="12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26.43</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February 1, 2019 - February 28, 2019</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25.15</w:t>
            </w: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March 1, 2019 - March 31, 2019</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111,932</w:t>
            </w:r>
          </w:p>
        </w:tc>
        <w:tc>
          <w:tcPr>
            <w:tcW w:w="12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24.72</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April 1, 2019 - April 30, 2019</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C Common Stock/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3,584</w:t>
            </w:r>
          </w:p>
        </w:tc>
        <w:tc>
          <w:tcPr>
            <w:tcW w:w="12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26.66</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May 1, 2019 - May 31, 2019</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27,814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June 1, 2019 - June 30, 2019</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41,625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Common Stock / Virtu Financial Unit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419,631</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-1270</wp:posOffset>
            </wp:positionV>
            <wp:extent cx="3833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ind w:right="160" w:firstLine="8"/>
        <w:spacing w:after="0" w:line="282" w:lineRule="auto"/>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repurchase of 416,047 shares from employees in order to satisfy statutory tax withholding requirements upon the net settlement of equity awards 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-233680</wp:posOffset>
            </wp:positionV>
            <wp:extent cx="38334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600" w:type="dxa"/>
            <w:vAlign w:val="bottom"/>
            <w:tcBorders>
              <w:bottom w:val="single" w:sz="8" w:color="FEFEFE"/>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14"/>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1"/>
        </w:trPr>
        <w:tc>
          <w:tcPr>
            <w:tcW w:w="15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9100" w:type="dxa"/>
            <w:vAlign w:val="bottom"/>
            <w:tcBorders>
              <w:bottom w:val="single" w:sz="8" w:color="0000FF"/>
            </w:tcBorders>
            <w:gridSpan w:val="12"/>
            <w:shd w:val="clear" w:color="auto" w:fill="FEFEFE"/>
          </w:tcPr>
          <w:p>
            <w:pPr>
              <w:spacing w:after="0" w:line="201"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Underwriting Agreement, dated May 14, 2019, by and among Virtu Financial, Inc., Virtu Financial LLC and the Underwriters</w:t>
              </w:r>
            </w:hyperlink>
          </w:p>
        </w:tc>
        <w:tc>
          <w:tcPr>
            <w:tcW w:w="220" w:type="dxa"/>
            <w:vAlign w:val="bottom"/>
            <w:tcBorders>
              <w:bottom w:val="single" w:sz="8" w:color="FEFEFE"/>
            </w:tcBorders>
            <w:gridSpan w:val="4"/>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9080" w:type="dxa"/>
            <w:vAlign w:val="bottom"/>
            <w:tcBorders>
              <w:bottom w:val="single" w:sz="8" w:color="0000FF"/>
            </w:tcBorders>
            <w:gridSpan w:val="11"/>
            <w:shd w:val="clear" w:color="auto" w:fill="FEFEFE"/>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(incorporated herein by reference to Exhibit 1.1 to the Company's Current Report on Form 8-K (File No. 001-37352), filed on</w:t>
              </w:r>
            </w:hyperlink>
          </w:p>
        </w:tc>
        <w:tc>
          <w:tcPr>
            <w:tcW w:w="240" w:type="dxa"/>
            <w:vAlign w:val="bottom"/>
            <w:tcBorders>
              <w:bottom w:val="single" w:sz="8" w:color="FEFEFE"/>
            </w:tcBorders>
            <w:gridSpan w:val="5"/>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1060" w:type="dxa"/>
            <w:vAlign w:val="bottom"/>
            <w:tcBorders>
              <w:bottom w:val="single" w:sz="8" w:color="0000FF"/>
            </w:tcBorders>
            <w:shd w:val="clear" w:color="auto" w:fill="FEFEFE"/>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May 17, 2019.</w:t>
              </w:r>
            </w:hyperlink>
          </w:p>
        </w:tc>
        <w:tc>
          <w:tcPr>
            <w:tcW w:w="8260" w:type="dxa"/>
            <w:vAlign w:val="bottom"/>
            <w:tcBorders>
              <w:bottom w:val="single" w:sz="8" w:color="FEFEFE"/>
            </w:tcBorders>
            <w:gridSpan w:val="15"/>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9260" w:type="dxa"/>
            <w:vAlign w:val="bottom"/>
            <w:tcBorders>
              <w:bottom w:val="single" w:sz="8" w:color="0000FF"/>
            </w:tcBorders>
            <w:gridSpan w:val="14"/>
            <w:shd w:val="clear" w:color="auto" w:fill="FEFEFE"/>
          </w:tcPr>
          <w:p>
            <w:pPr>
              <w:spacing w:after="0"/>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Purchase Agreement, dated May 14, 2019, by and among Virtu Financial, Inc. and TJMT Holdings LLC (incorporated herein by</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16"/>
            <w:shd w:val="clear" w:color="auto" w:fill="FEFEFE"/>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reference to Exhibit 10.1 to the Company's Current Report on Form 8-K (File No. 001-37352), filed on May 17, 2019.</w:t>
              </w:r>
            </w:hyperlink>
          </w:p>
        </w:tc>
      </w:tr>
      <w:tr>
        <w:trPr>
          <w:trHeight w:val="20"/>
        </w:trPr>
        <w:tc>
          <w:tcPr>
            <w:tcW w:w="1500" w:type="dxa"/>
            <w:vAlign w:val="bottom"/>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9040" w:type="dxa"/>
            <w:vAlign w:val="bottom"/>
            <w:tcBorders>
              <w:bottom w:val="single" w:sz="8" w:color="0000FF"/>
            </w:tcBorders>
            <w:gridSpan w:val="10"/>
            <w:shd w:val="clear" w:color="auto" w:fill="FEFEFE"/>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Lock-up Agreement, dated May 14, 2019, entered into by Vincent Viola (incorporated herein by reference to Exhibit 99.15 to</w:t>
              </w:r>
            </w:hyperlink>
          </w:p>
        </w:tc>
        <w:tc>
          <w:tcPr>
            <w:tcW w:w="280" w:type="dxa"/>
            <w:vAlign w:val="bottom"/>
            <w:tcBorders>
              <w:bottom w:val="single" w:sz="8" w:color="FEFEFE"/>
            </w:tcBorders>
            <w:gridSpan w:val="6"/>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6660" w:type="dxa"/>
            <w:vAlign w:val="bottom"/>
            <w:tcBorders>
              <w:bottom w:val="single" w:sz="8" w:color="0000FF"/>
            </w:tcBorders>
            <w:gridSpan w:val="4"/>
            <w:shd w:val="clear" w:color="auto" w:fill="FEFEFE"/>
          </w:tcPr>
          <w:p>
            <w:pPr>
              <w:spacing w:after="0" w:line="19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the Report on Schedule 13D of Vincent Viola (File No. 005-89306), filed on May 21, 2019).</w:t>
              </w:r>
            </w:hyperlink>
          </w:p>
        </w:tc>
        <w:tc>
          <w:tcPr>
            <w:tcW w:w="2660" w:type="dxa"/>
            <w:vAlign w:val="bottom"/>
            <w:tcBorders>
              <w:bottom w:val="single" w:sz="8" w:color="FEFEFE"/>
            </w:tcBorders>
            <w:gridSpan w:val="12"/>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9260" w:type="dxa"/>
            <w:vAlign w:val="bottom"/>
            <w:tcBorders>
              <w:bottom w:val="single" w:sz="8" w:color="0000FF"/>
            </w:tcBorders>
            <w:gridSpan w:val="14"/>
            <w:shd w:val="clear" w:color="auto" w:fill="FEFEFE"/>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Lock-up Agreement, dated May 14, 2019, entered into by Michael T. Viola (incorporated herein by reference to Exhibit 99.15 to</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6660" w:type="dxa"/>
            <w:vAlign w:val="bottom"/>
            <w:tcBorders>
              <w:bottom w:val="single" w:sz="8" w:color="0000FF"/>
            </w:tcBorders>
            <w:gridSpan w:val="4"/>
            <w:shd w:val="clear" w:color="auto" w:fill="FEFEFE"/>
          </w:tcPr>
          <w:p>
            <w:pPr>
              <w:spacing w:after="0" w:line="196"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the Report on Schedule 13D of Vincent Viola (File No. 005-89306), filed on May 21, 2019).</w:t>
              </w:r>
            </w:hyperlink>
          </w:p>
        </w:tc>
        <w:tc>
          <w:tcPr>
            <w:tcW w:w="2660" w:type="dxa"/>
            <w:vAlign w:val="bottom"/>
            <w:tcBorders>
              <w:bottom w:val="single" w:sz="8" w:color="FEFEFE"/>
            </w:tcBorders>
            <w:gridSpan w:val="12"/>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16"/>
            <w:shd w:val="clear" w:color="auto" w:fill="FEFEFE"/>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Lock-up Agreement, dated May 14, 2019, entered into by TJMT Holdings LLC (incorporated herein by reference to Exhibit</w:t>
              </w:r>
            </w:hyperlink>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right w:val="single" w:sz="8" w:color="FEFEFE"/>
            </w:tcBorders>
            <w:shd w:val="clear" w:color="auto" w:fill="FEFEFE"/>
          </w:tcPr>
          <w:p>
            <w:pPr>
              <w:spacing w:after="0"/>
              <w:rPr>
                <w:sz w:val="17"/>
                <w:szCs w:val="17"/>
                <w:color w:val="auto"/>
              </w:rPr>
            </w:pPr>
          </w:p>
        </w:tc>
        <w:tc>
          <w:tcPr>
            <w:tcW w:w="8940" w:type="dxa"/>
            <w:vAlign w:val="bottom"/>
            <w:tcBorders>
              <w:top w:val="single" w:sz="8" w:color="0000FF"/>
            </w:tcBorders>
            <w:gridSpan w:val="7"/>
            <w:shd w:val="clear" w:color="auto" w:fill="FEFEFE"/>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0000FF"/>
                </w:rPr>
                <w:t xml:space="preserve"> to the Report on Schedule 13D of Vincent Viola (File No. 005-89306), filed on May 21, 2019).</w:t>
              </w:r>
            </w:hyperlink>
          </w:p>
        </w:tc>
        <w:tc>
          <w:tcPr>
            <w:tcW w:w="380" w:type="dxa"/>
            <w:vAlign w:val="bottom"/>
            <w:tcBorders>
              <w:top w:val="single" w:sz="8" w:color="FEFEFE"/>
            </w:tcBorders>
            <w:gridSpan w:val="9"/>
            <w:shd w:val="clear" w:color="auto" w:fill="FEFEFE"/>
          </w:tcPr>
          <w:p>
            <w:pPr>
              <w:spacing w:after="0"/>
              <w:rPr>
                <w:sz w:val="17"/>
                <w:szCs w:val="17"/>
                <w:color w:val="auto"/>
              </w:rPr>
            </w:pPr>
          </w:p>
        </w:tc>
      </w:tr>
      <w:tr>
        <w:trPr>
          <w:trHeight w:val="48"/>
        </w:trPr>
        <w:tc>
          <w:tcPr>
            <w:tcW w:w="1500" w:type="dxa"/>
            <w:vAlign w:val="bottom"/>
          </w:tcPr>
          <w:p>
            <w:pPr>
              <w:spacing w:after="0"/>
              <w:rPr>
                <w:sz w:val="4"/>
                <w:szCs w:val="4"/>
                <w:color w:val="auto"/>
              </w:rPr>
            </w:pPr>
          </w:p>
        </w:tc>
        <w:tc>
          <w:tcPr>
            <w:tcW w:w="600" w:type="dxa"/>
            <w:vAlign w:val="bottom"/>
            <w:tcBorders>
              <w:top w:val="single" w:sz="8" w:color="FEFEFE"/>
              <w:right w:val="single" w:sz="8" w:color="FEFEFE"/>
            </w:tcBorders>
            <w:shd w:val="clear" w:color="auto" w:fill="FEFEFE"/>
          </w:tcPr>
          <w:p>
            <w:pPr>
              <w:spacing w:after="0"/>
              <w:rPr>
                <w:sz w:val="4"/>
                <w:szCs w:val="4"/>
                <w:color w:val="auto"/>
              </w:rPr>
            </w:pPr>
          </w:p>
        </w:tc>
        <w:tc>
          <w:tcPr>
            <w:tcW w:w="1060" w:type="dxa"/>
            <w:vAlign w:val="bottom"/>
            <w:tcBorders>
              <w:top w:val="single" w:sz="8" w:color="0000FF"/>
            </w:tcBorders>
            <w:shd w:val="clear" w:color="auto" w:fill="FEFEFE"/>
          </w:tcPr>
          <w:p>
            <w:pPr>
              <w:spacing w:after="0"/>
              <w:rPr>
                <w:sz w:val="4"/>
                <w:szCs w:val="4"/>
                <w:color w:val="auto"/>
              </w:rPr>
            </w:pPr>
          </w:p>
        </w:tc>
        <w:tc>
          <w:tcPr>
            <w:tcW w:w="340" w:type="dxa"/>
            <w:vAlign w:val="bottom"/>
            <w:tcBorders>
              <w:top w:val="single" w:sz="8" w:color="0000FF"/>
            </w:tcBorders>
            <w:shd w:val="clear" w:color="auto" w:fill="FEFEFE"/>
          </w:tcPr>
          <w:p>
            <w:pPr>
              <w:spacing w:after="0"/>
              <w:rPr>
                <w:sz w:val="4"/>
                <w:szCs w:val="4"/>
                <w:color w:val="auto"/>
              </w:rPr>
            </w:pPr>
          </w:p>
        </w:tc>
        <w:tc>
          <w:tcPr>
            <w:tcW w:w="4460" w:type="dxa"/>
            <w:vAlign w:val="bottom"/>
            <w:tcBorders>
              <w:top w:val="single" w:sz="8" w:color="0000FF"/>
            </w:tcBorders>
            <w:shd w:val="clear" w:color="auto" w:fill="FEFEFE"/>
          </w:tcPr>
          <w:p>
            <w:pPr>
              <w:spacing w:after="0"/>
              <w:rPr>
                <w:sz w:val="4"/>
                <w:szCs w:val="4"/>
                <w:color w:val="auto"/>
              </w:rPr>
            </w:pPr>
          </w:p>
        </w:tc>
        <w:tc>
          <w:tcPr>
            <w:tcW w:w="800" w:type="dxa"/>
            <w:vAlign w:val="bottom"/>
            <w:tcBorders>
              <w:top w:val="single" w:sz="8" w:color="0000FF"/>
            </w:tcBorders>
            <w:shd w:val="clear" w:color="auto" w:fill="FEFEFE"/>
          </w:tcPr>
          <w:p>
            <w:pPr>
              <w:spacing w:after="0"/>
              <w:rPr>
                <w:sz w:val="4"/>
                <w:szCs w:val="4"/>
                <w:color w:val="auto"/>
              </w:rPr>
            </w:pPr>
          </w:p>
        </w:tc>
        <w:tc>
          <w:tcPr>
            <w:tcW w:w="620" w:type="dxa"/>
            <w:vAlign w:val="bottom"/>
            <w:tcBorders>
              <w:top w:val="single" w:sz="8" w:color="0000FF"/>
            </w:tcBorders>
            <w:shd w:val="clear" w:color="auto" w:fill="FEFEFE"/>
          </w:tcPr>
          <w:p>
            <w:pPr>
              <w:spacing w:after="0"/>
              <w:rPr>
                <w:sz w:val="4"/>
                <w:szCs w:val="4"/>
                <w:color w:val="auto"/>
              </w:rPr>
            </w:pPr>
          </w:p>
        </w:tc>
        <w:tc>
          <w:tcPr>
            <w:tcW w:w="1240" w:type="dxa"/>
            <w:vAlign w:val="bottom"/>
            <w:tcBorders>
              <w:top w:val="single" w:sz="8" w:color="FEFEFE"/>
            </w:tcBorders>
            <w:shd w:val="clear" w:color="auto" w:fill="FEFEFE"/>
          </w:tcPr>
          <w:p>
            <w:pPr>
              <w:spacing w:after="0"/>
              <w:rPr>
                <w:sz w:val="4"/>
                <w:szCs w:val="4"/>
                <w:color w:val="auto"/>
              </w:rPr>
            </w:pPr>
          </w:p>
        </w:tc>
        <w:tc>
          <w:tcPr>
            <w:tcW w:w="4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r>
      <w:tr>
        <w:trPr>
          <w:trHeight w:val="203"/>
        </w:trPr>
        <w:tc>
          <w:tcPr>
            <w:tcW w:w="1500" w:type="dxa"/>
            <w:vAlign w:val="bottom"/>
            <w:shd w:val="clear" w:color="auto" w:fill="FEFEFE"/>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16"/>
            <w:shd w:val="clear" w:color="auto" w:fill="FEFEFE"/>
          </w:tcPr>
          <w:p>
            <w:pPr>
              <w:spacing w:after="0" w:line="202" w:lineRule="exact"/>
              <w:rPr>
                <w:rFonts w:ascii="Times New Roman" w:cs="Times New Roman" w:eastAsia="Times New Roman" w:hAnsi="Times New Roman"/>
                <w:sz w:val="18"/>
                <w:szCs w:val="18"/>
                <w:color w:val="0000FF"/>
              </w:rPr>
            </w:pPr>
            <w:hyperlink w:anchor="page95">
              <w:r>
                <w:rPr>
                  <w:rFonts w:ascii="Times New Roman" w:cs="Times New Roman" w:eastAsia="Times New Roman" w:hAnsi="Times New Roman"/>
                  <w:sz w:val="18"/>
                  <w:szCs w:val="18"/>
                  <w:color w:val="0000FF"/>
                </w:rPr>
                <w:t>Certification of Chief Executive Officer required by Rule 13a-14(a)/15d-14(a) under the Securities Exchange Act of 1934, as</w:t>
              </w:r>
            </w:hyperlink>
          </w:p>
        </w:tc>
      </w:tr>
      <w:tr>
        <w:trPr>
          <w:trHeight w:val="196"/>
        </w:trPr>
        <w:tc>
          <w:tcPr>
            <w:tcW w:w="1500" w:type="dxa"/>
            <w:vAlign w:val="bottom"/>
            <w:tcBorders>
              <w:top w:val="single" w:sz="8" w:color="FEFEFE"/>
              <w:bottom w:val="single" w:sz="8" w:color="FEFEFE"/>
            </w:tcBorders>
            <w:shd w:val="clear" w:color="auto" w:fill="FEFEFE"/>
          </w:tcPr>
          <w:p>
            <w:pPr>
              <w:spacing w:after="0"/>
              <w:rPr>
                <w:sz w:val="17"/>
                <w:szCs w:val="17"/>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5860" w:type="dxa"/>
            <w:vAlign w:val="bottom"/>
            <w:tcBorders>
              <w:top w:val="single" w:sz="8" w:color="0000FF"/>
              <w:bottom w:val="single" w:sz="8" w:color="0000FF"/>
            </w:tcBorders>
            <w:gridSpan w:val="3"/>
            <w:shd w:val="clear" w:color="auto" w:fill="FEFEFE"/>
          </w:tcPr>
          <w:p>
            <w:pPr>
              <w:spacing w:after="0" w:line="196" w:lineRule="exact"/>
              <w:rPr>
                <w:rFonts w:ascii="Times New Roman" w:cs="Times New Roman" w:eastAsia="Times New Roman" w:hAnsi="Times New Roman"/>
                <w:sz w:val="18"/>
                <w:szCs w:val="18"/>
                <w:color w:val="0000FF"/>
                <w:w w:val="99"/>
              </w:rPr>
            </w:pPr>
            <w:hyperlink w:anchor="page95">
              <w:r>
                <w:rPr>
                  <w:rFonts w:ascii="Times New Roman" w:cs="Times New Roman" w:eastAsia="Times New Roman" w:hAnsi="Times New Roman"/>
                  <w:sz w:val="18"/>
                  <w:szCs w:val="18"/>
                  <w:color w:val="0000FF"/>
                  <w:w w:val="99"/>
                </w:rPr>
                <w:t>amended, as adopted pursuant to Section 302 of the Sarbanes-Oxley Act of 2002.</w:t>
              </w:r>
            </w:hyperlink>
          </w:p>
        </w:tc>
        <w:tc>
          <w:tcPr>
            <w:tcW w:w="3140" w:type="dxa"/>
            <w:vAlign w:val="bottom"/>
            <w:tcBorders>
              <w:top w:val="single" w:sz="8" w:color="0000FF"/>
              <w:bottom w:val="single" w:sz="8" w:color="FEFEFE"/>
            </w:tcBorders>
            <w:gridSpan w:val="6"/>
            <w:shd w:val="clear" w:color="auto" w:fill="FEFEFE"/>
          </w:tcPr>
          <w:p>
            <w:pPr>
              <w:spacing w:after="0"/>
              <w:rPr>
                <w:sz w:val="17"/>
                <w:szCs w:val="17"/>
                <w:color w:val="auto"/>
              </w:rPr>
            </w:pPr>
          </w:p>
        </w:tc>
        <w:tc>
          <w:tcPr>
            <w:tcW w:w="320" w:type="dxa"/>
            <w:vAlign w:val="bottom"/>
            <w:tcBorders>
              <w:top w:val="single" w:sz="8" w:color="FEFEFE"/>
              <w:bottom w:val="single" w:sz="8" w:color="FEFEFE"/>
            </w:tcBorders>
            <w:gridSpan w:val="7"/>
            <w:shd w:val="clear" w:color="auto" w:fill="FEFEFE"/>
          </w:tcPr>
          <w:p>
            <w:pPr>
              <w:spacing w:after="0"/>
              <w:rPr>
                <w:sz w:val="17"/>
                <w:szCs w:val="17"/>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8960" w:type="dxa"/>
            <w:vAlign w:val="bottom"/>
            <w:tcBorders>
              <w:bottom w:val="single" w:sz="8" w:color="0000FF"/>
            </w:tcBorders>
            <w:gridSpan w:val="8"/>
            <w:shd w:val="clear" w:color="auto" w:fill="FEFEFE"/>
          </w:tcPr>
          <w:p>
            <w:pPr>
              <w:spacing w:after="0"/>
              <w:rPr>
                <w:rFonts w:ascii="Times New Roman" w:cs="Times New Roman" w:eastAsia="Times New Roman" w:hAnsi="Times New Roman"/>
                <w:sz w:val="18"/>
                <w:szCs w:val="18"/>
                <w:color w:val="0000FF"/>
                <w:w w:val="99"/>
              </w:rPr>
            </w:pPr>
            <w:hyperlink w:anchor="page96">
              <w:r>
                <w:rPr>
                  <w:rFonts w:ascii="Times New Roman" w:cs="Times New Roman" w:eastAsia="Times New Roman" w:hAnsi="Times New Roman"/>
                  <w:sz w:val="18"/>
                  <w:szCs w:val="18"/>
                  <w:color w:val="0000FF"/>
                  <w:w w:val="99"/>
                </w:rPr>
                <w:t>Certification of Chief Financial Officer required by Rule 13a-14(a)/15d-14(a) under the Securities Exchange Act of 1934, as</w:t>
              </w:r>
            </w:hyperlink>
          </w:p>
        </w:tc>
        <w:tc>
          <w:tcPr>
            <w:tcW w:w="360" w:type="dxa"/>
            <w:vAlign w:val="bottom"/>
            <w:tcBorders>
              <w:bottom w:val="single" w:sz="8" w:color="FEFEFE"/>
            </w:tcBorders>
            <w:gridSpan w:val="8"/>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5860" w:type="dxa"/>
            <w:vAlign w:val="bottom"/>
            <w:tcBorders>
              <w:bottom w:val="single" w:sz="8" w:color="0000FF"/>
            </w:tcBorders>
            <w:gridSpan w:val="3"/>
            <w:shd w:val="clear" w:color="auto" w:fill="FEFEFE"/>
          </w:tcPr>
          <w:p>
            <w:pPr>
              <w:spacing w:after="0" w:line="196" w:lineRule="exact"/>
              <w:rPr>
                <w:rFonts w:ascii="Times New Roman" w:cs="Times New Roman" w:eastAsia="Times New Roman" w:hAnsi="Times New Roman"/>
                <w:sz w:val="18"/>
                <w:szCs w:val="18"/>
                <w:color w:val="0000FF"/>
                <w:w w:val="99"/>
              </w:rPr>
            </w:pPr>
            <w:hyperlink w:anchor="page96">
              <w:r>
                <w:rPr>
                  <w:rFonts w:ascii="Times New Roman" w:cs="Times New Roman" w:eastAsia="Times New Roman" w:hAnsi="Times New Roman"/>
                  <w:sz w:val="18"/>
                  <w:szCs w:val="18"/>
                  <w:color w:val="0000FF"/>
                  <w:w w:val="99"/>
                </w:rPr>
                <w:t>amended, as adopted pursuant to Section 302 of the Sarbanes-Oxley Act of 2002.</w:t>
              </w:r>
            </w:hyperlink>
          </w:p>
        </w:tc>
        <w:tc>
          <w:tcPr>
            <w:tcW w:w="3460" w:type="dxa"/>
            <w:vAlign w:val="bottom"/>
            <w:tcBorders>
              <w:bottom w:val="single" w:sz="8" w:color="FEFEFE"/>
            </w:tcBorders>
            <w:gridSpan w:val="13"/>
            <w:shd w:val="clear" w:color="auto" w:fill="FEFEFE"/>
          </w:tcPr>
          <w:p>
            <w:pPr>
              <w:spacing w:after="0"/>
              <w:rPr>
                <w:sz w:val="17"/>
                <w:szCs w:val="17"/>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9300" w:type="dxa"/>
            <w:vAlign w:val="bottom"/>
            <w:tcBorders>
              <w:bottom w:val="single" w:sz="8" w:color="0000FF"/>
            </w:tcBorders>
            <w:gridSpan w:val="15"/>
            <w:shd w:val="clear" w:color="auto" w:fill="FEFEFE"/>
          </w:tcPr>
          <w:p>
            <w:pPr>
              <w:spacing w:after="0"/>
              <w:rPr>
                <w:rFonts w:ascii="Times New Roman" w:cs="Times New Roman" w:eastAsia="Times New Roman" w:hAnsi="Times New Roman"/>
                <w:sz w:val="18"/>
                <w:szCs w:val="18"/>
                <w:color w:val="0000FF"/>
                <w:w w:val="99"/>
              </w:rPr>
            </w:pPr>
            <w:hyperlink w:anchor="page97">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w:t>
              </w:r>
            </w:hyperlink>
          </w:p>
        </w:tc>
        <w:tc>
          <w:tcPr>
            <w:tcW w:w="20" w:type="dxa"/>
            <w:vAlign w:val="bottom"/>
            <w:tcBorders>
              <w:bottom w:val="single" w:sz="8" w:color="FEFEFE"/>
            </w:tcBorders>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1400" w:type="dxa"/>
            <w:vAlign w:val="bottom"/>
            <w:tcBorders>
              <w:bottom w:val="single" w:sz="8" w:color="0000FF"/>
            </w:tcBorders>
            <w:gridSpan w:val="2"/>
            <w:shd w:val="clear" w:color="auto" w:fill="FEFEFE"/>
          </w:tcPr>
          <w:p>
            <w:pPr>
              <w:spacing w:after="0" w:line="196" w:lineRule="exact"/>
              <w:rPr>
                <w:rFonts w:ascii="Times New Roman" w:cs="Times New Roman" w:eastAsia="Times New Roman" w:hAnsi="Times New Roman"/>
                <w:sz w:val="18"/>
                <w:szCs w:val="18"/>
                <w:color w:val="0000FF"/>
                <w:w w:val="99"/>
              </w:rPr>
            </w:pPr>
            <w:hyperlink w:anchor="page97">
              <w:r>
                <w:rPr>
                  <w:rFonts w:ascii="Times New Roman" w:cs="Times New Roman" w:eastAsia="Times New Roman" w:hAnsi="Times New Roman"/>
                  <w:sz w:val="18"/>
                  <w:szCs w:val="18"/>
                  <w:color w:val="0000FF"/>
                  <w:w w:val="99"/>
                </w:rPr>
                <w:t>Oxley Act of 2002.</w:t>
              </w:r>
            </w:hyperlink>
          </w:p>
        </w:tc>
        <w:tc>
          <w:tcPr>
            <w:tcW w:w="7920" w:type="dxa"/>
            <w:vAlign w:val="bottom"/>
            <w:tcBorders>
              <w:bottom w:val="single" w:sz="8" w:color="FEFEFE"/>
            </w:tcBorders>
            <w:gridSpan w:val="14"/>
            <w:shd w:val="clear" w:color="auto" w:fill="FEFEFE"/>
          </w:tcPr>
          <w:p>
            <w:pPr>
              <w:spacing w:after="0"/>
              <w:rPr>
                <w:sz w:val="17"/>
                <w:szCs w:val="17"/>
                <w:color w:val="auto"/>
              </w:rPr>
            </w:pPr>
          </w:p>
        </w:tc>
      </w:tr>
      <w:tr>
        <w:trPr>
          <w:trHeight w:val="250"/>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16"/>
            <w:shd w:val="clear" w:color="auto" w:fill="FEFEFE"/>
          </w:tcPr>
          <w:p>
            <w:pPr>
              <w:spacing w:after="0"/>
              <w:rPr>
                <w:rFonts w:ascii="Times New Roman" w:cs="Times New Roman" w:eastAsia="Times New Roman" w:hAnsi="Times New Roman"/>
                <w:sz w:val="18"/>
                <w:szCs w:val="18"/>
                <w:color w:val="0000FF"/>
              </w:rPr>
            </w:pPr>
            <w:hyperlink w:anchor="page98">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hyperlink>
          </w:p>
        </w:tc>
      </w:tr>
      <w:tr>
        <w:trPr>
          <w:trHeight w:val="196"/>
        </w:trPr>
        <w:tc>
          <w:tcPr>
            <w:tcW w:w="1500" w:type="dxa"/>
            <w:vAlign w:val="bottom"/>
            <w:tcBorders>
              <w:top w:val="single" w:sz="8" w:color="FEFEFE"/>
              <w:bottom w:val="single" w:sz="8" w:color="FEFEFE"/>
            </w:tcBorders>
            <w:shd w:val="clear" w:color="auto" w:fill="FEFEFE"/>
          </w:tcPr>
          <w:p>
            <w:pPr>
              <w:spacing w:after="0"/>
              <w:rPr>
                <w:sz w:val="17"/>
                <w:szCs w:val="17"/>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1400" w:type="dxa"/>
            <w:vAlign w:val="bottom"/>
            <w:tcBorders>
              <w:top w:val="single" w:sz="8" w:color="0000FF"/>
              <w:bottom w:val="single" w:sz="8" w:color="0000FF"/>
            </w:tcBorders>
            <w:gridSpan w:val="2"/>
            <w:shd w:val="clear" w:color="auto" w:fill="FEFEFE"/>
          </w:tcPr>
          <w:p>
            <w:pPr>
              <w:spacing w:after="0" w:line="196" w:lineRule="exact"/>
              <w:rPr>
                <w:rFonts w:ascii="Times New Roman" w:cs="Times New Roman" w:eastAsia="Times New Roman" w:hAnsi="Times New Roman"/>
                <w:sz w:val="18"/>
                <w:szCs w:val="18"/>
                <w:color w:val="0000FF"/>
                <w:w w:val="99"/>
              </w:rPr>
            </w:pPr>
            <w:hyperlink w:anchor="page98">
              <w:r>
                <w:rPr>
                  <w:rFonts w:ascii="Times New Roman" w:cs="Times New Roman" w:eastAsia="Times New Roman" w:hAnsi="Times New Roman"/>
                  <w:sz w:val="18"/>
                  <w:szCs w:val="18"/>
                  <w:color w:val="0000FF"/>
                  <w:w w:val="99"/>
                </w:rPr>
                <w:t>Oxley Act of 2002.</w:t>
              </w:r>
            </w:hyperlink>
          </w:p>
        </w:tc>
        <w:tc>
          <w:tcPr>
            <w:tcW w:w="7840" w:type="dxa"/>
            <w:vAlign w:val="bottom"/>
            <w:tcBorders>
              <w:top w:val="single" w:sz="8" w:color="0000FF"/>
              <w:bottom w:val="single" w:sz="8" w:color="FEFEFE"/>
            </w:tcBorders>
            <w:gridSpan w:val="11"/>
            <w:shd w:val="clear" w:color="auto" w:fill="FEFEFE"/>
          </w:tcPr>
          <w:p>
            <w:pPr>
              <w:spacing w:after="0"/>
              <w:rPr>
                <w:sz w:val="17"/>
                <w:szCs w:val="17"/>
                <w:color w:val="auto"/>
              </w:rPr>
            </w:pPr>
          </w:p>
        </w:tc>
        <w:tc>
          <w:tcPr>
            <w:tcW w:w="80" w:type="dxa"/>
            <w:vAlign w:val="bottom"/>
            <w:tcBorders>
              <w:top w:val="single" w:sz="8" w:color="FEFEFE"/>
              <w:bottom w:val="single" w:sz="8" w:color="FEFEFE"/>
            </w:tcBorders>
            <w:gridSpan w:val="3"/>
            <w:shd w:val="clear" w:color="auto" w:fill="FEFEFE"/>
          </w:tcPr>
          <w:p>
            <w:pPr>
              <w:spacing w:after="0"/>
              <w:rPr>
                <w:sz w:val="17"/>
                <w:szCs w:val="17"/>
                <w:color w:val="auto"/>
              </w:rPr>
            </w:pPr>
          </w:p>
        </w:tc>
      </w:tr>
      <w:tr>
        <w:trPr>
          <w:trHeight w:val="291"/>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1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1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1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1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1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1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r>
      <w:tr>
        <w:trPr>
          <w:trHeight w:val="41"/>
        </w:trPr>
        <w:tc>
          <w:tcPr>
            <w:tcW w:w="1500" w:type="dxa"/>
            <w:vAlign w:val="bottom"/>
            <w:shd w:val="clear" w:color="auto" w:fill="FEFEFE"/>
          </w:tcPr>
          <w:p>
            <w:pPr>
              <w:spacing w:after="0"/>
              <w:rPr>
                <w:sz w:val="3"/>
                <w:szCs w:val="3"/>
                <w:color w:val="auto"/>
              </w:rPr>
            </w:pPr>
          </w:p>
        </w:tc>
        <w:tc>
          <w:tcPr>
            <w:tcW w:w="600" w:type="dxa"/>
            <w:vAlign w:val="bottom"/>
            <w:tcBorders>
              <w:right w:val="single" w:sz="8" w:color="FEFEFE"/>
            </w:tcBorders>
            <w:shd w:val="clear" w:color="auto" w:fill="FEFEFE"/>
          </w:tcPr>
          <w:p>
            <w:pPr>
              <w:spacing w:after="0"/>
              <w:rPr>
                <w:sz w:val="3"/>
                <w:szCs w:val="3"/>
                <w:color w:val="auto"/>
              </w:rPr>
            </w:pPr>
          </w:p>
        </w:tc>
        <w:tc>
          <w:tcPr>
            <w:tcW w:w="1060" w:type="dxa"/>
            <w:vAlign w:val="bottom"/>
            <w:shd w:val="clear" w:color="auto" w:fill="FEFEFE"/>
          </w:tcPr>
          <w:p>
            <w:pPr>
              <w:spacing w:after="0"/>
              <w:rPr>
                <w:sz w:val="3"/>
                <w:szCs w:val="3"/>
                <w:color w:val="auto"/>
              </w:rPr>
            </w:pPr>
          </w:p>
        </w:tc>
        <w:tc>
          <w:tcPr>
            <w:tcW w:w="340" w:type="dxa"/>
            <w:vAlign w:val="bottom"/>
            <w:shd w:val="clear" w:color="auto" w:fill="FEFEFE"/>
          </w:tcPr>
          <w:p>
            <w:pPr>
              <w:spacing w:after="0"/>
              <w:rPr>
                <w:sz w:val="3"/>
                <w:szCs w:val="3"/>
                <w:color w:val="auto"/>
              </w:rPr>
            </w:pPr>
          </w:p>
        </w:tc>
        <w:tc>
          <w:tcPr>
            <w:tcW w:w="4460" w:type="dxa"/>
            <w:vAlign w:val="bottom"/>
            <w:shd w:val="clear" w:color="auto" w:fill="FEFEFE"/>
          </w:tcPr>
          <w:p>
            <w:pPr>
              <w:spacing w:after="0"/>
              <w:rPr>
                <w:sz w:val="3"/>
                <w:szCs w:val="3"/>
                <w:color w:val="auto"/>
              </w:rPr>
            </w:pPr>
          </w:p>
        </w:tc>
        <w:tc>
          <w:tcPr>
            <w:tcW w:w="800" w:type="dxa"/>
            <w:vAlign w:val="bottom"/>
            <w:shd w:val="clear" w:color="auto" w:fill="FEFEFE"/>
          </w:tcPr>
          <w:p>
            <w:pPr>
              <w:spacing w:after="0"/>
              <w:rPr>
                <w:sz w:val="3"/>
                <w:szCs w:val="3"/>
                <w:color w:val="auto"/>
              </w:rPr>
            </w:pPr>
          </w:p>
        </w:tc>
        <w:tc>
          <w:tcPr>
            <w:tcW w:w="620" w:type="dxa"/>
            <w:vAlign w:val="bottom"/>
            <w:shd w:val="clear" w:color="auto" w:fill="FEFEFE"/>
          </w:tcPr>
          <w:p>
            <w:pPr>
              <w:spacing w:after="0"/>
              <w:rPr>
                <w:sz w:val="3"/>
                <w:szCs w:val="3"/>
                <w:color w:val="auto"/>
              </w:rPr>
            </w:pPr>
          </w:p>
        </w:tc>
        <w:tc>
          <w:tcPr>
            <w:tcW w:w="1240" w:type="dxa"/>
            <w:vAlign w:val="bottom"/>
            <w:shd w:val="clear" w:color="auto" w:fill="FEFEFE"/>
          </w:tcPr>
          <w:p>
            <w:pPr>
              <w:spacing w:after="0"/>
              <w:rPr>
                <w:sz w:val="3"/>
                <w:szCs w:val="3"/>
                <w:color w:val="auto"/>
              </w:rPr>
            </w:pPr>
          </w:p>
        </w:tc>
        <w:tc>
          <w:tcPr>
            <w:tcW w:w="4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14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spacing w:after="0"/>
        <w:tabs>
          <w:tab w:leader="none" w:pos="2680" w:val="left"/>
          <w:tab w:leader="none" w:pos="49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34290</wp:posOffset>
            </wp:positionV>
            <wp:extent cx="3181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Douglas A. Cifu</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spacing w:after="0"/>
        <w:tabs>
          <w:tab w:leader="none" w:pos="2680" w:val="left"/>
          <w:tab w:leader="none" w:pos="49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34290</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Joseph Molluso</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240" w:top="121" w:right="65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CEO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 —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A. Cifu, certify that:</w:t>
      </w:r>
    </w:p>
    <w:p>
      <w:pPr>
        <w:spacing w:after="0" w:line="225" w:lineRule="exact"/>
        <w:rPr>
          <w:sz w:val="20"/>
          <w:szCs w:val="20"/>
          <w:color w:val="auto"/>
        </w:rPr>
      </w:pPr>
    </w:p>
    <w:p>
      <w:pPr>
        <w:ind w:left="660" w:right="3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ending June 30, 2019 of Virtu Financial, Inc. (the “registrant”) as filed with the Securities and Exchange Commission on the date hereof;</w:t>
      </w:r>
    </w:p>
    <w:p>
      <w:pPr>
        <w:spacing w:after="0" w:line="16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484"/>
        <w:spacing w:after="0" w:line="261"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480" w:hanging="484"/>
        <w:spacing w:after="0" w:line="261"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ind w:left="4160"/>
        <w:spacing w:after="0"/>
        <w:tabs>
          <w:tab w:leader="none" w:pos="6300" w:val="left"/>
        </w:tabs>
        <w:rPr>
          <w:sz w:val="20"/>
          <w:szCs w:val="20"/>
          <w:color w:val="auto"/>
        </w:rPr>
      </w:pPr>
      <w:r>
        <w:rPr>
          <w:rFonts w:ascii="Times New Roman" w:cs="Times New Roman" w:eastAsia="Times New Roman" w:hAnsi="Times New Roman"/>
          <w:sz w:val="18"/>
          <w:szCs w:val="18"/>
          <w:color w:val="auto"/>
        </w:rPr>
        <w:t>Date: August 9, 2019 By:</w:t>
      </w:r>
      <w:r>
        <w:rPr>
          <w:sz w:val="20"/>
          <w:szCs w:val="20"/>
          <w:color w:val="auto"/>
        </w:rPr>
        <w:tab/>
      </w: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Douglas A. Cifu</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CFO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 —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Molluso, certify that:</w:t>
      </w:r>
    </w:p>
    <w:p>
      <w:pPr>
        <w:spacing w:after="0" w:line="225" w:lineRule="exact"/>
        <w:rPr>
          <w:sz w:val="20"/>
          <w:szCs w:val="20"/>
          <w:color w:val="auto"/>
        </w:rPr>
      </w:pPr>
    </w:p>
    <w:p>
      <w:pPr>
        <w:ind w:left="660" w:right="3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ending June 30, 2019 of Virtu Financial, Inc. (the “registrant”) as filed with the Securities and Exchange Commission on the date hereof;</w:t>
      </w:r>
    </w:p>
    <w:p>
      <w:pPr>
        <w:spacing w:after="0" w:line="16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260"/>
        <w:spacing w:after="0"/>
        <w:tabs>
          <w:tab w:leader="none" w:pos="6420" w:val="left"/>
        </w:tabs>
        <w:rPr>
          <w:sz w:val="20"/>
          <w:szCs w:val="20"/>
          <w:color w:val="auto"/>
        </w:rPr>
      </w:pPr>
      <w:r>
        <w:rPr>
          <w:rFonts w:ascii="Times New Roman" w:cs="Times New Roman" w:eastAsia="Times New Roman" w:hAnsi="Times New Roman"/>
          <w:sz w:val="18"/>
          <w:szCs w:val="18"/>
          <w:color w:val="auto"/>
        </w:rPr>
        <w:t>Date: August 9, 2019 By:</w:t>
      </w:r>
      <w:r>
        <w:rPr>
          <w:sz w:val="20"/>
          <w:szCs w:val="20"/>
          <w:color w:val="auto"/>
        </w:rPr>
        <w:tab/>
      </w:r>
      <w:r>
        <w:rPr>
          <w:rFonts w:ascii="Times New Roman" w:cs="Times New Roman" w:eastAsia="Times New Roman" w:hAnsi="Times New Roman"/>
          <w:sz w:val="17"/>
          <w:szCs w:val="17"/>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Joseph Molluso</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Virtu Financial, Inc. (the “Company”) on Form 10-Q for the period ended June 30, 2019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76" w:lineRule="exact"/>
        <w:rPr>
          <w:sz w:val="20"/>
          <w:szCs w:val="20"/>
          <w:color w:val="auto"/>
        </w:rPr>
      </w:pPr>
    </w:p>
    <w:p>
      <w:pPr>
        <w:ind w:left="1320" w:hanging="178"/>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firstLine="2"/>
        <w:spacing w:after="0" w:line="282" w:lineRule="auto"/>
        <w:tabs>
          <w:tab w:leader="none" w:pos="1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Douglas A. Cifu</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Date: August 9, 2019</w:t>
      </w:r>
    </w:p>
    <w:p>
      <w:pPr>
        <w:sectPr>
          <w:pgSz w:w="11900" w:h="16838" w:orient="portrait"/>
          <w:cols w:equalWidth="0" w:num="1">
            <w:col w:w="11420"/>
          </w:cols>
          <w:pgMar w:left="240" w:top="576"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Virtu Financial, Inc. (the “Company”) on Form 10-Q for the period ended June 30, 2019 as filed with the Securities and Exchange Commission on the date hereof (the “Report”), I, Joseph Molluso, certify, pursuant to 18 U.S.C. Section 1350, as adopted pursuant to Section 906 of the Sarbanes-Oxley Act of 2002, in my capacity as an officer of the Company that, to my knowledge:</w:t>
      </w:r>
    </w:p>
    <w:p>
      <w:pPr>
        <w:spacing w:after="0" w:line="176" w:lineRule="exact"/>
        <w:rPr>
          <w:sz w:val="20"/>
          <w:szCs w:val="20"/>
          <w:color w:val="auto"/>
        </w:rPr>
      </w:pPr>
    </w:p>
    <w:p>
      <w:pPr>
        <w:ind w:left="1320" w:hanging="178"/>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firstLine="2"/>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Joseph Molluso</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Date: August 9,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Roman"/>
      <w:start w:val="3"/>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Roman"/>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30" Type="http://schemas.openxmlformats.org/officeDocument/2006/relationships/hyperlink" Target="http://www.sec.gov/Archives/edgar/data/1592386/000110465919030277/a19-9566_8ex1d1.htm#Exhibit1_1_105856" TargetMode="External"/><Relationship Id="rId31" Type="http://schemas.openxmlformats.org/officeDocument/2006/relationships/hyperlink" Target="http://www.sec.gov/Archives/edgar/data/1592386/000110465919030277/a19-9566_8ex10d1.htm#Exhibit10_1_073957" TargetMode="External"/><Relationship Id="rId32" Type="http://schemas.openxmlformats.org/officeDocument/2006/relationships/hyperlink" Target="http://www.sec.gov/Archives/edgar/data/1573350/000110465919030859/a19-10292_1ex99d15.htm" TargetMode="External"/><Relationship Id="rId33" Type="http://schemas.openxmlformats.org/officeDocument/2006/relationships/hyperlink" Target="http://www.sec.gov/Archives/edgar/data/1573350/000110465919030859/a19-10292_1ex99d16.htm" TargetMode="External"/><Relationship Id="rId34" Type="http://schemas.openxmlformats.org/officeDocument/2006/relationships/hyperlink" Target="http://www.sec.gov/Archives/edgar/data/1573350/000110465919030859/a19-10292_1ex99d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2019-12-28T07:26:50Z</dcterms:created>
  <dcterms:modified xsi:type="dcterms:W3CDTF">2019-12-28T07:26:50Z</dcterms:modified>
</cp:coreProperties>
</file>