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8-A</w:t>
      </w:r>
    </w:p>
    <w:p>
      <w:pPr>
        <w:spacing w:after="0" w:line="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REGISTRATION OF CERTAIN CLASSES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VIRTU FINANCIAL,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right"/>
              <w:ind w:right="2170"/>
              <w:spacing w:after="0"/>
              <w:rPr>
                <w:sz w:val="20"/>
                <w:szCs w:val="20"/>
                <w:color w:val="auto"/>
              </w:rPr>
            </w:pPr>
            <w:r>
              <w:rPr>
                <w:rFonts w:ascii="Times New Roman" w:cs="Times New Roman" w:eastAsia="Times New Roman" w:hAnsi="Times New Roman"/>
                <w:sz w:val="18"/>
                <w:szCs w:val="18"/>
                <w:b w:val="1"/>
                <w:bCs w:val="1"/>
                <w:color w:val="auto"/>
              </w:rPr>
              <w:t>32-0420206</w:t>
            </w:r>
          </w:p>
        </w:tc>
      </w:tr>
      <w:tr>
        <w:trPr>
          <w:trHeight w:val="198"/>
        </w:trPr>
        <w:tc>
          <w:tcPr>
            <w:tcW w:w="54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460" w:type="dxa"/>
            <w:vAlign w:val="bottom"/>
          </w:tcPr>
          <w:p>
            <w:pPr>
              <w:spacing w:after="0"/>
              <w:rPr>
                <w:sz w:val="17"/>
                <w:szCs w:val="17"/>
                <w:color w:val="auto"/>
              </w:rPr>
            </w:pPr>
          </w:p>
        </w:tc>
        <w:tc>
          <w:tcPr>
            <w:tcW w:w="53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380" w:type="dxa"/>
            <w:vAlign w:val="bottom"/>
          </w:tcPr>
          <w:p>
            <w:pPr>
              <w:spacing w:after="0"/>
              <w:rPr>
                <w:sz w:val="20"/>
                <w:szCs w:val="20"/>
                <w:color w:val="auto"/>
              </w:rPr>
            </w:pPr>
          </w:p>
        </w:tc>
      </w:tr>
      <w:tr>
        <w:trPr>
          <w:trHeight w:val="410"/>
        </w:trPr>
        <w:tc>
          <w:tcPr>
            <w:tcW w:w="5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1633 Broadway</w:t>
            </w:r>
          </w:p>
        </w:tc>
        <w:tc>
          <w:tcPr>
            <w:tcW w:w="5380" w:type="dxa"/>
            <w:vAlign w:val="bottom"/>
          </w:tcPr>
          <w:p>
            <w:pPr>
              <w:spacing w:after="0"/>
              <w:rPr>
                <w:sz w:val="24"/>
                <w:szCs w:val="24"/>
                <w:color w:val="auto"/>
              </w:rPr>
            </w:pPr>
          </w:p>
        </w:tc>
      </w:tr>
      <w:tr>
        <w:trPr>
          <w:trHeight w:val="238"/>
        </w:trPr>
        <w:tc>
          <w:tcPr>
            <w:tcW w:w="5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New York, NY</w:t>
            </w:r>
          </w:p>
        </w:tc>
        <w:tc>
          <w:tcPr>
            <w:tcW w:w="5380" w:type="dxa"/>
            <w:vAlign w:val="bottom"/>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10019</w:t>
            </w:r>
          </w:p>
        </w:tc>
      </w:tr>
      <w:tr>
        <w:trPr>
          <w:trHeight w:val="228"/>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60" w:type="dxa"/>
            <w:vAlign w:val="bottom"/>
          </w:tcPr>
          <w:p>
            <w:pPr>
              <w:spacing w:after="0"/>
              <w:rPr>
                <w:sz w:val="19"/>
                <w:szCs w:val="19"/>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5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Title of each class to be registered</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each class is to be registered</w:t>
            </w:r>
          </w:p>
        </w:tc>
      </w:tr>
      <w:tr>
        <w:trPr>
          <w:trHeight w:val="228"/>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460" w:type="dxa"/>
            <w:vAlign w:val="bottom"/>
          </w:tcPr>
          <w:p>
            <w:pPr>
              <w:spacing w:after="0"/>
              <w:rPr>
                <w:sz w:val="19"/>
                <w:szCs w:val="19"/>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20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33"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If this form relates to the registration of a class of securities pursuant to Section 12(g) of the Exchange Act and is effective pursuant to General Instruction A.(d) or (e), check the following box.</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 (if applicable): Not applicable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Registrant’s Securities to be Registered.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Virtu Financial, Inc. (the “Registrant”) is filing this Registration Statement on Form 8-A with the U.S. Securities and Exchange Commission (the “SEC”) in connection with the transfer of the listing of its Class A common stock, par value $0.00001 per share (the “Common Stock”), from the Nasdaq Stock Market, LLC (“Nasdaq”) to the New York Stock Exchange (the “NYSE”). The Registrant expects that listing of the Common Stock on the Nasdaq will cease at close of trading on June 16, 2025, and the listing of the Common Stock on the NYSE will commence at market open on June 17, 2025.</w:t>
      </w:r>
    </w:p>
    <w:p>
      <w:pPr>
        <w:spacing w:after="0" w:line="18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description under the heading “Description of Capital Stock” relating to the Registrant’s Common Stock included in the Exhibit 4.1 of the Registrant’s Annual Report on Form 10-K for the year ended December 31, 2024, filed with the SEC on February 21, 2025 (File No. 001-37352) under the Securities Exchange Act of 1934, as amended, is incorporated herein by reference, except that any reference to Nasdaq is hereby amended to refer to the NYSE.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and Exchange Act of 1934, as amended, the Registrant has duly caused this registration statement to be signed on its behalf by the undersigned, thereto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VIRTU FINANCIAL,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Justin Waldie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2486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Justin Waldie</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Secretary and General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982980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420"/>
      </w:cols>
      <w:pgMar w:left="320" w:top="81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2025-06-12T07:05:58Z</dcterms:created>
  <dcterms:modified xsi:type="dcterms:W3CDTF">2025-06-12T07:05:58Z</dcterms:modified>
</cp:coreProperties>
</file>