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220.jpeg" ContentType="image/jpeg"/>
  <Override PartName="/word/media/image139.jpeg" ContentType="image/jpeg"/>
  <Override PartName="/word/media/image50.jpeg" ContentType="image/jpeg"/>
  <Override PartName="/word/media/image188.jpeg" ContentType="image/jpeg"/>
  <Override PartName="/word/media/image26.jpeg" ContentType="image/jpeg"/>
  <Override PartName="/word/media/image85.jpeg" ContentType="image/jpeg"/>
  <Override PartName="/word/media/image25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254.jpeg" ContentType="image/jpeg"/>
  <Override PartName="/word/media/image104.jpeg" ContentType="image/jpeg"/>
  <Override PartName="/word/media/image207.jpeg" ContentType="image/jpeg"/>
  <Override PartName="/word/media/image3.jpeg" ContentType="image/jpeg"/>
  <Override PartName="/word/media/image24.jpeg" ContentType="image/jpeg"/>
  <Override PartName="/word/media/image186.jpeg" ContentType="image/jpeg"/>
  <Override PartName="/word/media/image83.jpeg" ContentType="image/jpeg"/>
  <Override PartName="/word/media/image253.jpeg" ContentType="image/jpeg"/>
  <Override PartName="/word/media/image103.jpeg" ContentType="image/jpeg"/>
  <Override PartName="/word/media/image206.jpeg" ContentType="image/jpeg"/>
  <Override PartName="/word/media/image36.jpeg" ContentType="image/jpeg"/>
  <Override PartName="/word/media/image2.jpeg" ContentType="image/jpeg"/>
  <Override PartName="/word/media/image205.jpeg" ContentType="image/jpeg"/>
  <Override PartName="/word/media/image35.jpeg" ContentType="image/jpeg"/>
  <Override PartName="/word/media/image1.jpeg" ContentType="image/jpeg"/>
  <Override PartName="/word/media/image89.jpeg" ContentType="image/jpeg"/>
  <Override PartName="/word/media/image5.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65.jpeg" ContentType="image/jpeg"/>
  <Override PartName="/word/media/image235.jpeg" ContentType="image/jpeg"/>
  <Override PartName="/word/media/image93.jpeg" ContentType="image/jpeg"/>
  <Override PartName="/word/media/image263.jpeg" ContentType="image/jpeg"/>
  <Override PartName="/word/media/image91.jpeg" ContentType="image/jpeg"/>
  <Override PartName="/word/media/image261.jpeg" ContentType="image/jpeg"/>
  <Override PartName="/word/media/image244.jpeg" ContentType="image/jpeg"/>
  <Override PartName="/word/media/image74.jpeg" ContentType="image/jpeg"/>
  <Override PartName="/word/media/image90.jpeg" ContentType="image/jpeg"/>
  <Override PartName="/word/media/image260.jpeg" ContentType="image/jpeg"/>
  <Override PartName="/word/media/image94.jpeg" ContentType="image/jpeg"/>
  <Override PartName="/word/media/image264.jpeg" ContentType="image/jpeg"/>
  <Override PartName="/word/media/image92.jpeg" ContentType="image/jpeg"/>
  <Override PartName="/word/media/image262.jpeg" ContentType="image/jpeg"/>
  <Override PartName="/word/media/image245.jpeg" ContentType="image/jpeg"/>
  <Override PartName="/word/media/image75.jpeg" ContentType="image/jpeg"/>
  <Override PartName="/word/media/image251.jpeg" ContentType="image/jpeg"/>
  <Override PartName="/word/media/image81.jpeg" ContentType="image/jpeg"/>
  <Override PartName="/word/media/image17.jpeg" ContentType="image/jpeg"/>
  <Override PartName="/word/media/image111.jpeg" ContentType="image/jpeg"/>
  <Override PartName="/word/media/image64.jpeg" ContentType="image/jpeg"/>
  <Override PartName="/word/media/image234.jpeg" ContentType="image/jpeg"/>
  <Override PartName="/word/media/image95.jpeg" ContentType="image/jpeg"/>
  <Override PartName="/word/media/image265.jpeg" ContentType="image/jpeg"/>
  <Override PartName="/word/media/image252.jpeg" ContentType="image/jpeg"/>
  <Override PartName="/word/media/image82.jpeg" ContentType="image/jpeg"/>
  <Override PartName="/word/media/image18.jpeg" ContentType="image/jpeg"/>
  <Override PartName="/word/media/image112.jpeg" ContentType="image/jpeg"/>
  <Override PartName="/word/media/image246.jpeg" ContentType="image/jpeg"/>
  <Override PartName="/word/media/image76.jpeg" ContentType="image/jpeg"/>
  <Override PartName="/word/media/image114.jpeg" ContentType="image/jpeg"/>
  <Override PartName="/word/media/image115.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19.jpeg" ContentType="image/jpeg"/>
  <Override PartName="/word/media/image113.jpeg" ContentType="image/jpeg"/>
  <Override PartName="/word/media/image23.jpeg" ContentType="image/jpeg"/>
  <Override PartName="/word/media/image185.jpeg" ContentType="image/jpeg"/>
  <Override PartName="/word/media/image102.jpeg" ContentType="image/jpeg"/>
  <Override PartName="/word/media/image119.jpeg" ContentType="image/jpeg"/>
  <Override PartName="/word/media/image259.jpeg" ContentType="image/jpeg"/>
  <Override PartName="/word/media/image22.jpeg" ContentType="image/jpeg"/>
  <Override PartName="/word/media/image184.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267.jpeg" ContentType="image/jpeg"/>
  <Override PartName="/word/media/image191.jpeg" ContentType="image/jpeg"/>
  <Override PartName="/word/media/image97.jpeg" ContentType="image/jpeg"/>
  <Override PartName="/word/media/image127.jpeg" ContentType="image/jpeg"/>
  <Override PartName="/word/media/image126.jpeg" ContentType="image/jpeg"/>
  <Override PartName="/word/media/image125.jpeg" ContentType="image/jpeg"/>
  <Override PartName="/word/media/image236.jpeg" ContentType="image/jpeg"/>
  <Override PartName="/word/media/image233.jpeg" ContentType="image/jpeg"/>
  <Override PartName="/word/media/image63.jpeg" ContentType="image/jpeg"/>
  <Override PartName="/word/media/image73.jpeg" ContentType="image/jpeg"/>
  <Override PartName="/word/media/image243.jpeg" ContentType="image/jpeg"/>
  <Override PartName="/word/media/image110.jpeg" ContentType="image/jpeg"/>
  <Override PartName="/word/media/image16.jpeg" ContentType="image/jpeg"/>
  <Override PartName="/word/media/image242.jpeg" ContentType="image/jpeg"/>
  <Override PartName="/word/media/image72.jpeg" ContentType="image/jpeg"/>
  <Override PartName="/word/media/image159.jpeg" ContentType="image/jpeg"/>
  <Override PartName="/word/media/image70.jpeg" ContentType="image/jpeg"/>
  <Override PartName="/word/media/image240.jpeg" ContentType="image/jpeg"/>
  <Override PartName="/word/media/image231.jpeg" ContentType="image/jpeg"/>
  <Override PartName="/word/media/image61.jpeg" ContentType="image/jpeg"/>
  <Override PartName="/word/media/image248.jpeg" ContentType="image/jpeg"/>
  <Override PartName="/word/media/image78.jpeg" ContentType="image/jpeg"/>
  <Override PartName="/word/media/image71.jpeg" ContentType="image/jpeg"/>
  <Override PartName="/word/media/image241.jpeg" ContentType="image/jpeg"/>
  <Override PartName="/word/media/image15.jpeg" ContentType="image/jpeg"/>
  <Override PartName="/word/media/image14.jpeg" ContentType="image/jpeg"/>
  <Override PartName="/word/media/image238.jpeg" ContentType="image/jpeg"/>
  <Override PartName="/word/media/image62.jpeg" ContentType="image/jpeg"/>
  <Override PartName="/word/media/image232.jpeg" ContentType="image/jpeg"/>
  <Override PartName="/word/media/image239.jpeg" ContentType="image/jpeg"/>
  <Override PartName="/word/media/image79.jpeg" ContentType="image/jpeg"/>
  <Override PartName="/word/media/image6.jpeg" ContentType="image/jpeg"/>
  <Override PartName="/word/media/image51.jpeg" ContentType="image/jpeg"/>
  <Override PartName="/word/media/image221.jpeg" ContentType="image/jpeg"/>
  <Override PartName="/word/media/image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29.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27.jpeg" ContentType="image/jpeg"/>
  <Override PartName="/word/media/image189.jpeg" ContentType="image/jpeg"/>
  <Override PartName="/word/media/image10.jpeg" ContentType="image/jpeg"/>
  <Override PartName="/word/media/image172.jpeg" ContentType="image/jpeg"/>
  <Override PartName="/word/media/image8.jpeg" ContentType="image/jpeg"/>
  <Override PartName="/word/media/image192.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28.jpeg" ContentType="image/jpeg"/>
  <Override PartName="/word/media/image11.jpeg" ContentType="image/jpeg"/>
  <Override PartName="/word/media/image173.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217.jpeg" ContentType="image/jpeg"/>
  <Override PartName="/word/media/image218.jpeg" ContentType="image/jpeg"/>
  <Override PartName="/word/media/image219.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54.jpeg" ContentType="image/jpeg"/>
  <Override PartName="/word/media/image155.jpeg" ContentType="image/jpeg"/>
  <Override PartName="/word/media/image156.jpeg" ContentType="image/jpeg"/>
  <Override PartName="/word/media/image157.jpeg" ContentType="image/jpeg"/>
  <Override PartName="/word/media/image158.jpeg" ContentType="image/jpeg"/>
  <Override PartName="/word/media/image66.jpeg" ContentType="image/jpeg"/>
  <Override PartName="/word/media/image160.jpeg" ContentType="image/jpeg"/>
  <Override PartName="/word/media/image67.jpeg" ContentType="image/jpeg"/>
  <Override PartName="/word/media/image161.jpeg" ContentType="image/jpeg"/>
  <Override PartName="/word/media/image68.jpeg" ContentType="image/jpeg"/>
  <Override PartName="/word/media/image162.jpeg" ContentType="image/jpeg"/>
  <Override PartName="/word/media/image69.jpeg" ContentType="image/jpeg"/>
  <Override PartName="/word/media/image163.jpeg" ContentType="image/jpeg"/>
  <Override PartName="/word/media/image164.jpeg" ContentType="image/jpeg"/>
  <Override PartName="/word/media/image165.jpeg" ContentType="image/jpeg"/>
  <Override PartName="/word/media/image166.jpeg" ContentType="image/jpeg"/>
  <Override PartName="/word/media/image167.jpeg" ContentType="image/jpeg"/>
  <Override PartName="/word/media/image168.jpeg" ContentType="image/jpeg"/>
  <Override PartName="/word/media/image169.jpeg" ContentType="image/jpeg"/>
  <Override PartName="/word/media/image249.jpeg" ContentType="image/jpeg"/>
  <Override PartName="/word/media/image170.jpeg" ContentType="image/jpeg"/>
  <Override PartName="/word/media/image171.jpeg" ContentType="image/jpeg"/>
  <Override PartName="/word/media/image37.jpeg" ContentType="image/jpeg"/>
  <Override PartName="/word/media/image175.jpeg" ContentType="image/jpeg"/>
  <Override PartName="/word/media/image176.jpeg" ContentType="image/jpeg"/>
  <Override PartName="/word/media/image177.jpeg" ContentType="image/jpeg"/>
  <Override PartName="/word/media/image178.jpeg" ContentType="image/jpeg"/>
  <Override PartName="/word/media/image17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8"/>
        </w:rPr>
        <w:t>FORM 10-Q</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QUARTERLY REPORT PURSUANT TO SECTION 13 OR 15 (d)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 (d)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001-37352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Virtu Financial, Inc.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bl>
      <w:tblPr>
        <w:tblW w:w="6959" w:type="dxa"/>
        <w:jc w:val="center"/>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32-0420206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3778" w:type="dxa"/>
        <w:jc w:val="center"/>
        <w:tblInd w:w="0" w:type="dxa"/>
        <w:tblLayout w:type="fixed"/>
        <w:tblCellMar>
          <w:top w:w="28" w:type="dxa"/>
          <w:left w:w="28" w:type="dxa"/>
          <w:bottom w:w="28" w:type="dxa"/>
          <w:right w:w="28" w:type="dxa"/>
        </w:tblCellMar>
      </w:tblPr>
      <w:tblGrid>
        <w:gridCol w:w="550"/>
        <w:gridCol w:w="483"/>
        <w:gridCol w:w="483"/>
        <w:gridCol w:w="444"/>
        <w:gridCol w:w="444"/>
        <w:gridCol w:w="459"/>
        <w:gridCol w:w="268"/>
        <w:gridCol w:w="268"/>
        <w:gridCol w:w="379"/>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10019</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1633 Broadway</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New York,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New York</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(212) 418-0100 </w:t>
      </w:r>
    </w:p>
    <w:p>
      <w:pPr>
        <w:pStyle w:val="TextBody"/>
        <w:bidi w:val="0"/>
        <w:spacing w:lineRule="auto" w:line="264" w:before="0" w:after="60"/>
        <w:jc w:val="center"/>
        <w:rPr/>
      </w:pPr>
      <w:r>
        <w:rPr>
          <w:rFonts w:ascii="Times New Roman;serif" w:hAnsi="Times New Roman;serif"/>
          <w:b w:val="false"/>
          <w:color w:val="000000"/>
          <w:sz w:val="18"/>
        </w:rPr>
        <w:t>(Registrant’s telephone number, including area code)</w:t>
      </w:r>
      <w:r>
        <w:rPr>
          <w:color w:val="000000"/>
        </w:rPr>
        <w:t> </w:t>
      </w:r>
    </w:p>
    <w:p>
      <w:pPr>
        <w:pStyle w:val="TextBody"/>
        <w:bidi w:val="0"/>
        <w:spacing w:lineRule="auto" w:line="264" w:before="0" w:after="0"/>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306" w:type="dxa"/>
        <w:jc w:val="center"/>
        <w:tblInd w:w="0" w:type="dxa"/>
        <w:tblLayout w:type="fixed"/>
        <w:tblCellMar>
          <w:top w:w="28" w:type="dxa"/>
          <w:left w:w="28" w:type="dxa"/>
          <w:bottom w:w="28" w:type="dxa"/>
          <w:right w:w="28" w:type="dxa"/>
        </w:tblCellMar>
      </w:tblPr>
      <w:tblGrid>
        <w:gridCol w:w="1415"/>
        <w:gridCol w:w="1241"/>
        <w:gridCol w:w="1258"/>
        <w:gridCol w:w="109"/>
        <w:gridCol w:w="109"/>
        <w:gridCol w:w="109"/>
        <w:gridCol w:w="474"/>
        <w:gridCol w:w="474"/>
        <w:gridCol w:w="476"/>
        <w:gridCol w:w="109"/>
        <w:gridCol w:w="109"/>
        <w:gridCol w:w="109"/>
        <w:gridCol w:w="970"/>
        <w:gridCol w:w="970"/>
        <w:gridCol w:w="1374"/>
      </w:tblGrid>
      <w:tr>
        <w:trPr/>
        <w:tc>
          <w:tcPr>
            <w:tcW w:w="141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80"/>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9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80"/>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4" w:before="0" w:after="8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64" w:before="0" w:after="80"/>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tbl>
      <w:tblPr>
        <w:tblW w:w="7481" w:type="dxa"/>
        <w:jc w:val="center"/>
        <w:tblInd w:w="0" w:type="dxa"/>
        <w:tblLayout w:type="fixed"/>
        <w:tblCellMar>
          <w:top w:w="28" w:type="dxa"/>
          <w:left w:w="28" w:type="dxa"/>
          <w:bottom w:w="28" w:type="dxa"/>
          <w:right w:w="28" w:type="dxa"/>
        </w:tblCellMar>
      </w:tblPr>
      <w:tblGrid>
        <w:gridCol w:w="1417"/>
        <w:gridCol w:w="1245"/>
        <w:gridCol w:w="1252"/>
        <w:gridCol w:w="109"/>
        <w:gridCol w:w="109"/>
        <w:gridCol w:w="109"/>
        <w:gridCol w:w="947"/>
        <w:gridCol w:w="947"/>
        <w:gridCol w:w="1346"/>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outstanding as of October 23, 2025</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84,906,703</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C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7,970,185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D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60,091,740</w:t>
            </w:r>
          </w:p>
        </w:tc>
      </w:tr>
    </w:tbl>
    <w:p>
      <w:pPr>
        <w:pStyle w:val="TextBody"/>
        <w:bidi w:val="0"/>
        <w:spacing w:lineRule="auto" w:line="288" w:before="0" w:after="0"/>
        <w:ind w:left="0" w:right="0" w:firstLine="54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b3ab33fb5ee424f9f7db536ce7ce87b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September 30, 2025 </w:t>
      </w:r>
    </w:p>
    <w:tbl>
      <w:tblPr>
        <w:tblW w:w="9493" w:type="dxa"/>
        <w:jc w:val="center"/>
        <w:tblInd w:w="0" w:type="dxa"/>
        <w:tblLayout w:type="fixed"/>
        <w:tblCellMar>
          <w:top w:w="28" w:type="dxa"/>
          <w:left w:w="28" w:type="dxa"/>
          <w:bottom w:w="28" w:type="dxa"/>
          <w:right w:w="28" w:type="dxa"/>
        </w:tblCellMar>
      </w:tblPr>
      <w:tblGrid>
        <w:gridCol w:w="337"/>
        <w:gridCol w:w="295"/>
        <w:gridCol w:w="298"/>
        <w:gridCol w:w="109"/>
        <w:gridCol w:w="109"/>
        <w:gridCol w:w="109"/>
        <w:gridCol w:w="2453"/>
        <w:gridCol w:w="2453"/>
        <w:gridCol w:w="2459"/>
        <w:gridCol w:w="255"/>
        <w:gridCol w:w="255"/>
        <w:gridCol w:w="361"/>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PART I -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56">
              <w:r>
                <w:rPr>
                  <w:rStyle w:val="InternetLink"/>
                  <w:rFonts w:ascii="Times New Roman;serif" w:hAnsi="Times New Roman;serif"/>
                  <w:b w:val="false"/>
                  <w:color w:val="0000FF"/>
                  <w:sz w:val="20"/>
                  <w:u w:val="single"/>
                </w:rPr>
                <w:t>FINANCIAL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40">
              <w:r>
                <w:rPr>
                  <w:rStyle w:val="InternetLink"/>
                  <w:rFonts w:ascii="Times New Roman;serif" w:hAnsi="Times New Roman;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40">
              <w:r>
                <w:rPr>
                  <w:rStyle w:val="InternetLink"/>
                  <w:rFonts w:ascii="Times New Roman;serif" w:hAnsi="Times New Roman;serif"/>
                  <w:b w:val="false"/>
                  <w:color w:val="0000FF"/>
                  <w:sz w:val="20"/>
                  <w:u w:val="single"/>
                </w:rPr>
                <w:t>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46">
              <w:r>
                <w:rPr>
                  <w:rStyle w:val="InternetLink"/>
                  <w:rFonts w:ascii="Times New Roman;serif" w:hAnsi="Times New Roman;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46">
              <w:r>
                <w:rPr>
                  <w:rStyle w:val="InternetLink"/>
                  <w:rFonts w:ascii="Times New Roman;serif" w:hAnsi="Times New Roman;serif"/>
                  <w:b w:val="false"/>
                  <w:strike w:val="false"/>
                  <w:dstrike w:val="false"/>
                  <w:color w:val="0000FF"/>
                  <w:sz w:val="20"/>
                  <w:u w:val="none"/>
                  <w:effect w:val="none"/>
                </w:rPr>
                <w:t>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49">
              <w:r>
                <w:rPr>
                  <w:rStyle w:val="InternetLink"/>
                  <w:rFonts w:ascii="Times New Roman;serif" w:hAnsi="Times New Roman;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49">
              <w:r>
                <w:rPr>
                  <w:rStyle w:val="InternetLink"/>
                  <w:rFonts w:ascii="Times New Roman;serif" w:hAnsi="Times New Roman;serif"/>
                  <w:b w:val="false"/>
                  <w:strike w:val="false"/>
                  <w:dstrike w:val="false"/>
                  <w:color w:val="0000FF"/>
                  <w:sz w:val="20"/>
                  <w:u w:val="none"/>
                  <w:effect w:val="none"/>
                </w:rPr>
                <w:t>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52">
              <w:r>
                <w:rPr>
                  <w:rStyle w:val="InternetLink"/>
                  <w:rFonts w:ascii="Times New Roman;serif" w:hAnsi="Times New Roman;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52">
              <w:r>
                <w:rPr>
                  <w:rStyle w:val="InternetLink"/>
                  <w:rFonts w:ascii="Times New Roman;serif" w:hAnsi="Times New Roman;serif"/>
                  <w:b w:val="false"/>
                  <w:strike w:val="false"/>
                  <w:dstrike w:val="false"/>
                  <w:color w:val="0000FF"/>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55">
              <w:r>
                <w:rPr>
                  <w:rStyle w:val="InternetLink"/>
                  <w:rFonts w:ascii="Times New Roman;serif" w:hAnsi="Times New Roman;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55">
              <w:r>
                <w:rPr>
                  <w:rStyle w:val="InternetLink"/>
                  <w:rFonts w:ascii="Times New Roman;serif" w:hAnsi="Times New Roman;serif"/>
                  <w:b w:val="false"/>
                  <w:strike w:val="false"/>
                  <w:dstrike w:val="false"/>
                  <w:color w:val="0000FF"/>
                  <w:sz w:val="20"/>
                  <w:u w:val="none"/>
                  <w:effect w:val="none"/>
                </w:rPr>
                <w:t>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58">
              <w:r>
                <w:rPr>
                  <w:rStyle w:val="InternetLink"/>
                  <w:rFonts w:ascii="Times New Roman;serif" w:hAnsi="Times New Roman;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58">
              <w:r>
                <w:rPr>
                  <w:rStyle w:val="InternetLink"/>
                  <w:rFonts w:ascii="Times New Roman;serif" w:hAnsi="Times New Roman;serif"/>
                  <w:b w:val="false"/>
                  <w:strike w:val="false"/>
                  <w:dstrike w:val="false"/>
                  <w:color w:val="0000FF"/>
                  <w:sz w:val="20"/>
                  <w:u w:val="none"/>
                  <w:effect w:val="none"/>
                </w:rPr>
                <w:t>11</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178">
              <w:r>
                <w:rPr>
                  <w:rStyle w:val="InternetLink"/>
                  <w:rFonts w:ascii="Times New Roman;serif" w:hAnsi="Times New Roman;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17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178">
              <w:r>
                <w:rPr>
                  <w:rStyle w:val="InternetLink"/>
                  <w:rFonts w:ascii="Times New Roman;serif" w:hAnsi="Times New Roman;serif"/>
                  <w:b w:val="false"/>
                  <w:strike w:val="false"/>
                  <w:dstrike w:val="false"/>
                  <w:color w:val="0000FF"/>
                  <w:sz w:val="20"/>
                  <w:u w:val="none"/>
                  <w:effect w:val="none"/>
                </w:rPr>
                <w:t>53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26">
              <w:r>
                <w:rPr>
                  <w:rStyle w:val="InternetLink"/>
                  <w:rFonts w:ascii="Times New Roman;serif" w:hAnsi="Times New Roman;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26">
              <w:r>
                <w:rPr>
                  <w:rStyle w:val="InternetLink"/>
                  <w:rFonts w:ascii="Times New Roman;serif" w:hAnsi="Times New Roman;serif"/>
                  <w:b w:val="false"/>
                  <w:color w:val="0000FF"/>
                  <w:sz w:val="20"/>
                  <w:u w:val="single"/>
                </w:rPr>
                <w:t>Quantitative and Qualitative Disclosures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26">
              <w:r>
                <w:rPr>
                  <w:rStyle w:val="InternetLink"/>
                  <w:rFonts w:ascii="Times New Roman;serif" w:hAnsi="Times New Roman;serif"/>
                  <w:b w:val="false"/>
                  <w:strike w:val="false"/>
                  <w:dstrike w:val="false"/>
                  <w:color w:val="0000FF"/>
                  <w:sz w:val="20"/>
                  <w:u w:val="none"/>
                  <w:effect w:val="none"/>
                </w:rPr>
                <w:t>84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41">
              <w:r>
                <w:rPr>
                  <w:rStyle w:val="InternetLink"/>
                  <w:rFonts w:ascii="Times New Roman;serif" w:hAnsi="Times New Roman;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41">
              <w:r>
                <w:rPr>
                  <w:rStyle w:val="InternetLink"/>
                  <w:rFonts w:ascii="Times New Roman;serif" w:hAnsi="Times New Roman;serif"/>
                  <w:b w:val="false"/>
                  <w:color w:val="0000FF"/>
                  <w:sz w:val="20"/>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41">
              <w:r>
                <w:rPr>
                  <w:rStyle w:val="InternetLink"/>
                  <w:rFonts w:ascii="Times New Roman;serif" w:hAnsi="Times New Roman;serif"/>
                  <w:b w:val="false"/>
                  <w:strike w:val="false"/>
                  <w:dstrike w:val="false"/>
                  <w:color w:val="0000FF"/>
                  <w:sz w:val="20"/>
                  <w:u w:val="none"/>
                  <w:effect w:val="none"/>
                </w:rPr>
                <w:t>86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16">
              <w:r>
                <w:rPr>
                  <w:rStyle w:val="InternetLink"/>
                  <w:rFonts w:ascii="Times New Roman;serif" w:hAnsi="Times New Roman;serif"/>
                  <w:b w:val="false"/>
                  <w:color w:val="0000FF"/>
                  <w:sz w:val="20"/>
                  <w:u w:val="single"/>
                </w:rPr>
                <w:t>PART II -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16">
              <w:r>
                <w:rPr>
                  <w:rStyle w:val="InternetLink"/>
                  <w:rFonts w:ascii="Times New Roman;serif" w:hAnsi="Times New Roman;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59">
              <w:r>
                <w:rPr>
                  <w:rStyle w:val="InternetLink"/>
                  <w:rFonts w:ascii="Times New Roman;serif" w:hAnsi="Times New Roman;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59">
              <w:r>
                <w:rPr>
                  <w:rStyle w:val="InternetLink"/>
                  <w:rFonts w:ascii="Times New Roman;serif" w:hAnsi="Times New Roman;serif"/>
                  <w:b w:val="false"/>
                  <w:color w:val="0000FF"/>
                  <w:sz w:val="20"/>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59">
              <w:r>
                <w:rPr>
                  <w:rStyle w:val="InternetLink"/>
                  <w:rFonts w:ascii="Times New Roman;serif" w:hAnsi="Times New Roman;serif"/>
                  <w:b w:val="false"/>
                  <w:strike w:val="false"/>
                  <w:dstrike w:val="false"/>
                  <w:color w:val="0000FF"/>
                  <w:sz w:val="20"/>
                  <w:u w:val="none"/>
                  <w:effect w:val="none"/>
                </w:rPr>
                <w:t>87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62">
              <w:r>
                <w:rPr>
                  <w:rStyle w:val="InternetLink"/>
                  <w:rFonts w:ascii="Times New Roman;serif" w:hAnsi="Times New Roman;serif"/>
                  <w:b w:val="false"/>
                  <w:color w:val="0000FF"/>
                  <w:sz w:val="20"/>
                  <w:u w:val="single"/>
                </w:rPr>
                <w:t>Item 1A.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62">
              <w:r>
                <w:rPr>
                  <w:rStyle w:val="InternetLink"/>
                  <w:rFonts w:ascii="Times New Roman;serif" w:hAnsi="Times New Roman;serif"/>
                  <w:b w:val="false"/>
                  <w:color w:val="0000FF"/>
                  <w:sz w:val="20"/>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62">
              <w:r>
                <w:rPr>
                  <w:rStyle w:val="InternetLink"/>
                  <w:rFonts w:ascii="Times New Roman;serif" w:hAnsi="Times New Roman;serif"/>
                  <w:b w:val="false"/>
                  <w:strike w:val="false"/>
                  <w:dstrike w:val="false"/>
                  <w:color w:val="0000FF"/>
                  <w:sz w:val="20"/>
                  <w:u w:val="none"/>
                  <w:effect w:val="none"/>
                </w:rPr>
                <w:t>87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65">
              <w:r>
                <w:rPr>
                  <w:rStyle w:val="InternetLink"/>
                  <w:rFonts w:ascii="Times New Roman;serif" w:hAnsi="Times New Roman;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65">
              <w:r>
                <w:rPr>
                  <w:rStyle w:val="InternetLink"/>
                  <w:rFonts w:ascii="Times New Roman;serif" w:hAnsi="Times New Roman;serif"/>
                  <w:b w:val="false"/>
                  <w:color w:val="0000FF"/>
                  <w:sz w:val="20"/>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65">
              <w:r>
                <w:rPr>
                  <w:rStyle w:val="InternetLink"/>
                  <w:rFonts w:ascii="Times New Roman;serif" w:hAnsi="Times New Roman;serif"/>
                  <w:b w:val="false"/>
                  <w:strike w:val="false"/>
                  <w:dstrike w:val="false"/>
                  <w:color w:val="0000FF"/>
                  <w:sz w:val="20"/>
                  <w:u w:val="none"/>
                  <w:effect w:val="none"/>
                </w:rPr>
                <w:t>87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68">
              <w:r>
                <w:rPr>
                  <w:rStyle w:val="InternetLink"/>
                  <w:rFonts w:ascii="Times New Roman;serif" w:hAnsi="Times New Roman;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68">
              <w:r>
                <w:rPr>
                  <w:rStyle w:val="InternetLink"/>
                  <w:rFonts w:ascii="Times New Roman;serif" w:hAnsi="Times New Roman;serif"/>
                  <w:b w:val="false"/>
                  <w:color w:val="0000FF"/>
                  <w:sz w:val="20"/>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68">
              <w:r>
                <w:rPr>
                  <w:rStyle w:val="InternetLink"/>
                  <w:rFonts w:ascii="Times New Roman;serif" w:hAnsi="Times New Roman;serif"/>
                  <w:b w:val="false"/>
                  <w:strike w:val="false"/>
                  <w:dstrike w:val="false"/>
                  <w:color w:val="0000FF"/>
                  <w:sz w:val="20"/>
                  <w:u w:val="none"/>
                  <w:effect w:val="none"/>
                </w:rPr>
                <w:t>88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71">
              <w:r>
                <w:rPr>
                  <w:rStyle w:val="InternetLink"/>
                  <w:rFonts w:ascii="Times New Roman;serif" w:hAnsi="Times New Roman;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71">
              <w:r>
                <w:rPr>
                  <w:rStyle w:val="InternetLink"/>
                  <w:rFonts w:ascii="Times New Roman;serif" w:hAnsi="Times New Roman;serif"/>
                  <w:b w:val="false"/>
                  <w:color w:val="0000FF"/>
                  <w:sz w:val="20"/>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71">
              <w:r>
                <w:rPr>
                  <w:rStyle w:val="InternetLink"/>
                  <w:rFonts w:ascii="Times New Roman;serif" w:hAnsi="Times New Roman;serif"/>
                  <w:b w:val="false"/>
                  <w:strike w:val="false"/>
                  <w:dstrike w:val="false"/>
                  <w:color w:val="0000FF"/>
                  <w:sz w:val="20"/>
                  <w:u w:val="none"/>
                  <w:effect w:val="none"/>
                </w:rPr>
                <w:t>88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74">
              <w:r>
                <w:rPr>
                  <w:rStyle w:val="InternetLink"/>
                  <w:rFonts w:ascii="Times New Roman;serif" w:hAnsi="Times New Roman;serif"/>
                  <w:b w:val="false"/>
                  <w:color w:val="0000FF"/>
                  <w:sz w:val="20"/>
                  <w:u w:val="single"/>
                </w:rPr>
                <w:t>Item 5.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274">
              <w:r>
                <w:rPr>
                  <w:rStyle w:val="InternetLink"/>
                  <w:rFonts w:ascii="Times New Roman;serif" w:hAnsi="Times New Roman;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274">
              <w:r>
                <w:rPr>
                  <w:rStyle w:val="InternetLink"/>
                  <w:rFonts w:ascii="Times New Roman;serif" w:hAnsi="Times New Roman;serif"/>
                  <w:b w:val="false"/>
                  <w:strike w:val="false"/>
                  <w:dstrike w:val="false"/>
                  <w:color w:val="0000FF"/>
                  <w:sz w:val="20"/>
                  <w:u w:val="none"/>
                  <w:effect w:val="none"/>
                </w:rPr>
                <w:t>88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316">
              <w:r>
                <w:rPr>
                  <w:rStyle w:val="InternetLink"/>
                  <w:rFonts w:ascii="Times New Roman;serif" w:hAnsi="Times New Roman;serif"/>
                  <w:b w:val="false"/>
                  <w:color w:val="0000FF"/>
                  <w:sz w:val="20"/>
                  <w:u w:val="single"/>
                </w:rPr>
                <w:t>Item 6.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316">
              <w:r>
                <w:rPr>
                  <w:rStyle w:val="InternetLink"/>
                  <w:rFonts w:ascii="Times New Roman;serif" w:hAnsi="Times New Roman;serif"/>
                  <w:b w:val="false"/>
                  <w:color w:val="0000FF"/>
                  <w:sz w:val="20"/>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316">
              <w:r>
                <w:rPr>
                  <w:rStyle w:val="InternetLink"/>
                  <w:rFonts w:ascii="Times New Roman;serif" w:hAnsi="Times New Roman;serif"/>
                  <w:b w:val="false"/>
                  <w:strike w:val="false"/>
                  <w:dstrike w:val="false"/>
                  <w:color w:val="0000FF"/>
                  <w:sz w:val="20"/>
                  <w:u w:val="none"/>
                  <w:effect w:val="none"/>
                </w:rPr>
                <w:t>89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322">
              <w:r>
                <w:rPr>
                  <w:rStyle w:val="InternetLink"/>
                  <w:rFonts w:ascii="Times New Roman;serif" w:hAnsi="Times New Roman;serif"/>
                  <w:b w:val="false"/>
                  <w:color w:val="0000FF"/>
                  <w:sz w:val="20"/>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322">
              <w:r>
                <w:rPr>
                  <w:rStyle w:val="InternetLink"/>
                  <w:rFonts w:ascii="Times New Roman;serif" w:hAnsi="Times New Roman;serif"/>
                  <w:b w:val="false"/>
                  <w:strike w:val="false"/>
                  <w:dstrike w:val="false"/>
                  <w:color w:val="0000FF"/>
                  <w:sz w:val="20"/>
                  <w:u w:val="none"/>
                  <w:effect w:val="none"/>
                </w:rPr>
                <w:t>90</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b3ab33fb5ee424f9f7db536ce7ce87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Condensed Consolidated Financial Statements</w:t>
      </w:r>
    </w:p>
    <w:p>
      <w:pPr>
        <w:pStyle w:val="TextBody"/>
        <w:bidi w:val="0"/>
        <w:spacing w:lineRule="auto" w:line="288" w:before="0" w:after="0"/>
        <w:ind w:left="0" w:right="0" w:firstLine="360"/>
        <w:jc w:val="left"/>
        <w:rPr>
          <w:color w:val="000000"/>
        </w:rPr>
      </w:pPr>
      <w:r>
        <w:rPr>
          <w:color w:val="000000"/>
        </w:rPr>
        <w:t> </w:t>
      </w:r>
    </w:p>
    <w:tbl>
      <w:tblPr>
        <w:tblW w:w="7171" w:type="dxa"/>
        <w:jc w:val="center"/>
        <w:tblInd w:w="0" w:type="dxa"/>
        <w:tblLayout w:type="fixed"/>
        <w:tblCellMar>
          <w:top w:w="28" w:type="dxa"/>
          <w:left w:w="28" w:type="dxa"/>
          <w:bottom w:w="28" w:type="dxa"/>
          <w:right w:w="28" w:type="dxa"/>
        </w:tblCellMar>
      </w:tblPr>
      <w:tblGrid>
        <w:gridCol w:w="2280"/>
        <w:gridCol w:w="2005"/>
        <w:gridCol w:w="2015"/>
        <w:gridCol w:w="255"/>
        <w:gridCol w:w="255"/>
        <w:gridCol w:w="361"/>
      </w:tblGrid>
      <w:tr>
        <w:trPr/>
        <w:tc>
          <w:tcPr>
            <w:tcW w:w="228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46">
              <w:r>
                <w:rPr>
                  <w:rStyle w:val="InternetLink"/>
                  <w:rFonts w:ascii="Times New Roman;serif" w:hAnsi="Times New Roman;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46">
              <w:r>
                <w:rPr>
                  <w:rStyle w:val="InternetLink"/>
                  <w:rFonts w:ascii="Times New Roman;serif" w:hAnsi="Times New Roman;serif"/>
                  <w:b w:val="false"/>
                  <w:color w:val="0000FF"/>
                  <w:sz w:val="20"/>
                  <w:u w:val="single"/>
                </w:rPr>
                <w:t>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49">
              <w:r>
                <w:rPr>
                  <w:rStyle w:val="InternetLink"/>
                  <w:rFonts w:ascii="Times New Roman;serif" w:hAnsi="Times New Roman;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49">
              <w:r>
                <w:rPr>
                  <w:rStyle w:val="InternetLink"/>
                  <w:rFonts w:ascii="Times New Roman;serif" w:hAnsi="Times New Roman;serif"/>
                  <w:b w:val="false"/>
                  <w:color w:val="0000FF"/>
                  <w:sz w:val="20"/>
                  <w:u w:val="single"/>
                </w:rPr>
                <w:t>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52">
              <w:r>
                <w:rPr>
                  <w:rStyle w:val="InternetLink"/>
                  <w:rFonts w:ascii="Times New Roman;serif" w:hAnsi="Times New Roman;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52">
              <w:r>
                <w:rPr>
                  <w:rStyle w:val="InternetLink"/>
                  <w:rFonts w:ascii="Times New Roman;serif" w:hAnsi="Times New Roman;serif"/>
                  <w:b w:val="false"/>
                  <w:color w:val="0000FF"/>
                  <w:sz w:val="20"/>
                  <w:u w:val="single"/>
                </w:rPr>
                <w:t>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55">
              <w:r>
                <w:rPr>
                  <w:rStyle w:val="InternetLink"/>
                  <w:rFonts w:ascii="Times New Roman;serif" w:hAnsi="Times New Roman;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55">
              <w:r>
                <w:rPr>
                  <w:rStyle w:val="InternetLink"/>
                  <w:rFonts w:ascii="Times New Roman;serif" w:hAnsi="Times New Roman;serif"/>
                  <w:b w:val="false"/>
                  <w:color w:val="0000FF"/>
                  <w:sz w:val="20"/>
                  <w:u w:val="single"/>
                </w:rPr>
                <w:t>9</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b33fb5ee424f9f7db536ce7ce87b_58">
              <w:r>
                <w:rPr>
                  <w:rStyle w:val="InternetLink"/>
                  <w:rFonts w:ascii="Times New Roman;serif" w:hAnsi="Times New Roman;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b33fb5ee424f9f7db536ce7ce87b_58">
              <w:r>
                <w:rPr>
                  <w:rStyle w:val="InternetLink"/>
                  <w:rFonts w:ascii="Times New Roman;serif" w:hAnsi="Times New Roman;serif"/>
                  <w:b w:val="false"/>
                  <w:color w:val="0000FF"/>
                  <w:sz w:val="20"/>
                  <w:u w:val="single"/>
                </w:rPr>
                <w:t>11</w:t>
              </w:r>
            </w:hyperlink>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b3ab33fb5ee424f9f7db536ce7ce87b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 (Unaudited)</w:t>
      </w:r>
    </w:p>
    <w:tbl>
      <w:tblPr>
        <w:tblW w:w="10205" w:type="dxa"/>
        <w:jc w:val="center"/>
        <w:tblInd w:w="0" w:type="dxa"/>
        <w:tblLayout w:type="fixed"/>
        <w:tblCellMar>
          <w:top w:w="28" w:type="dxa"/>
          <w:left w:w="28" w:type="dxa"/>
          <w:bottom w:w="28" w:type="dxa"/>
          <w:right w:w="28" w:type="dxa"/>
        </w:tblCellMar>
      </w:tblPr>
      <w:tblGrid>
        <w:gridCol w:w="2525"/>
        <w:gridCol w:w="2222"/>
        <w:gridCol w:w="2225"/>
        <w:gridCol w:w="109"/>
        <w:gridCol w:w="109"/>
        <w:gridCol w:w="109"/>
        <w:gridCol w:w="196"/>
        <w:gridCol w:w="961"/>
        <w:gridCol w:w="109"/>
        <w:gridCol w:w="109"/>
        <w:gridCol w:w="109"/>
        <w:gridCol w:w="109"/>
        <w:gridCol w:w="196"/>
        <w:gridCol w:w="961"/>
        <w:gridCol w:w="156"/>
      </w:tblGrid>
      <w:tr>
        <w:trPr/>
        <w:tc>
          <w:tcPr>
            <w:tcW w:w="252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6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from broker-dealers and clearing organizations ($87,614 and $51,595 at fair value,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owned and pledged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equipment and capitalized software (net of accumulated depreciation of $419,463 and $380,202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Intangibles (net of accumulated amortization of $463,809 and $428,460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of business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($435,921 and $158,326, at fair value,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15,361,743 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Payables to broker-dealers and clearing organizations ($446,171 and $136,736, at fair value,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6,440,971 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of business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13,874,366 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Virtu Financial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Authorized — 1,000,000,000 and 1,000,000,000 shares, Issued — 140,864,441 and 137,479,751 shares, Outstanding — 84,906,703 and 84,976,325 shares at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$0.00001), Authorized — 175,000,000 and 175,000,000 shares, Issued and Outstanding — 0 and 0 shares at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C common stock (par value $0.00001), Authorized — 90,000,000 and 90,000,000 shares, Issued and Outstanding — 7,970,185 and 8,561,970 shares at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D common stock (par value $0.00001), Authorized — 175,000,000 and 175,000,000 shares, Issued and Outstanding — 60,091,740 and 60,091,740 shares at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55,957,738 and 52,503,426 shares at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b3ab33fb5ee424f9f7db536ce7ce87b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 (Unaudited)</w:t>
      </w:r>
    </w:p>
    <w:tbl>
      <w:tblPr>
        <w:tblW w:w="6801" w:type="dxa"/>
        <w:jc w:val="center"/>
        <w:tblInd w:w="0" w:type="dxa"/>
        <w:tblLayout w:type="fixed"/>
        <w:tblCellMar>
          <w:top w:w="28" w:type="dxa"/>
          <w:left w:w="28" w:type="dxa"/>
          <w:bottom w:w="28" w:type="dxa"/>
          <w:right w:w="28" w:type="dxa"/>
        </w:tblCellMar>
      </w:tblPr>
      <w:tblGrid>
        <w:gridCol w:w="1293"/>
        <w:gridCol w:w="1138"/>
        <w:gridCol w:w="1139"/>
        <w:gridCol w:w="109"/>
        <w:gridCol w:w="109"/>
        <w:gridCol w:w="109"/>
        <w:gridCol w:w="196"/>
        <w:gridCol w:w="961"/>
        <w:gridCol w:w="109"/>
        <w:gridCol w:w="109"/>
        <w:gridCol w:w="109"/>
        <w:gridCol w:w="109"/>
        <w:gridCol w:w="196"/>
        <w:gridCol w:w="96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Virtu Financial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21,272,076 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15,361,743 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b3ab33fb5ee424f9f7db536ce7ce87b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1453"/>
        <w:gridCol w:w="1273"/>
        <w:gridCol w:w="1276"/>
        <w:gridCol w:w="109"/>
        <w:gridCol w:w="109"/>
        <w:gridCol w:w="109"/>
        <w:gridCol w:w="218"/>
        <w:gridCol w:w="792"/>
        <w:gridCol w:w="116"/>
        <w:gridCol w:w="116"/>
        <w:gridCol w:w="116"/>
        <w:gridCol w:w="116"/>
        <w:gridCol w:w="218"/>
        <w:gridCol w:w="792"/>
        <w:gridCol w:w="116"/>
        <w:gridCol w:w="109"/>
        <w:gridCol w:w="109"/>
        <w:gridCol w:w="109"/>
        <w:gridCol w:w="196"/>
        <w:gridCol w:w="871"/>
        <w:gridCol w:w="109"/>
        <w:gridCol w:w="109"/>
        <w:gridCol w:w="109"/>
        <w:gridCol w:w="109"/>
        <w:gridCol w:w="196"/>
        <w:gridCol w:w="871"/>
        <w:gridCol w:w="109"/>
        <w:gridCol w:w="109"/>
        <w:gridCol w:w="161"/>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706,840 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559,680 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84,797,006 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87,152,658 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88,093,082 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84,797,006 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87,536,847 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cash flow hedges gain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firstLine="405"/>
        <w:jc w:val="left"/>
        <w:rPr/>
      </w:pPr>
      <w:hyperlink w:anchor="i6b3ab33fb5ee424f9f7db536ce7ce87b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Three and Nine Months Ended September 30, 2025 and 2024</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18"/>
        <w:gridCol w:w="554"/>
        <w:gridCol w:w="144"/>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137,479,751 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8,561,970 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(52,503,426)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(1,339,913)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1,432,240 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(7,063)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1,254,174 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233,203 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1,487,377 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Cumulative-effect adjustment due to the adoption of ASU 2023-08,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2,650,096 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(1,018,757)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(1,321,211)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89,954 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(72,524)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350,858 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(350,858)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139,581,948 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8,194,847 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(53,824,637)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(1,387,895)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1,475,903 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1,227,446 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(5,554)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251,754 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1,561,656 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Deconsolidation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62,556 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(1,658,514)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693,750 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141,789 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(137,809)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140,313,790 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8,194,847 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(55,483,151)</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(1,454,716)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1,504,158 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1,355,688 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1,407,365 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225,976 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1,633,341 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566,695 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(232,110)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(474,587)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(30,818)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71,423 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149,051 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(1,552)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 and Restricted Stock Award)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(50,458)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216,066 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b3ab33fb5ee424f9f7db536ce7ce87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Three and Nine Months Ended September 30, 2025 and 2024</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7"/>
        <w:gridCol w:w="309"/>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57"/>
        <w:gridCol w:w="489"/>
        <w:gridCol w:w="170"/>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Virtu Financial Units and corresponding number of Class C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(216,066)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140,864,441 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7,970,185 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(55,957,738)</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(1,475,671)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1,528,094 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1,401,669 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832 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1,454,926 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245,891 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1,700,817 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b3ab33fb5ee424f9f7db536ce7ce87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Three and Nine Months Ended September 30, 2025 and 2024</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05"/>
        <w:gridCol w:w="576"/>
        <w:gridCol w:w="135"/>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134,901,037 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8,607,998 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(45,808,351)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(1,166,299)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17,047 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202,629 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1,405,356 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2,596,226 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(946,267)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(1,959,076)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111,308 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(44,929)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136,550,996 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8,607,998 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(47,767,427)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(1,202,188)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1,380,457 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1,017,547 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212,355 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1,424,077 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(1,384,593)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29,375 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61,531 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(70,727)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136,591,706 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8,607,998 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(49,152,020)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(1,233,432)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1,394,091 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1,061,574 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8,709 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1,230,944 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197,880 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1,428,824 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204,193 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(57,204)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(1,679,274)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453,670 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59,071 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(8,368)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 and Restricted Stock Award)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(65,013)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(87,205)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31,097 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(31,097)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137,223,462 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8,575,052 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(50,831,294)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(1,282,210)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1,415,956 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1,232,405 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186,950 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1,419,355 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b3ab33fb5ee424f9f7db536ce7ce87b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573" w:type="dxa"/>
        <w:jc w:val="center"/>
        <w:tblInd w:w="0" w:type="dxa"/>
        <w:tblLayout w:type="fixed"/>
        <w:tblCellMar>
          <w:top w:w="28" w:type="dxa"/>
          <w:left w:w="28" w:type="dxa"/>
          <w:bottom w:w="28" w:type="dxa"/>
          <w:right w:w="28" w:type="dxa"/>
        </w:tblCellMar>
      </w:tblPr>
      <w:tblGrid>
        <w:gridCol w:w="2309"/>
        <w:gridCol w:w="2035"/>
        <w:gridCol w:w="2046"/>
        <w:gridCol w:w="109"/>
        <w:gridCol w:w="109"/>
        <w:gridCol w:w="109"/>
        <w:gridCol w:w="211"/>
        <w:gridCol w:w="793"/>
        <w:gridCol w:w="117"/>
        <w:gridCol w:w="117"/>
        <w:gridCol w:w="117"/>
        <w:gridCol w:w="117"/>
        <w:gridCol w:w="211"/>
        <w:gridCol w:w="793"/>
        <w:gridCol w:w="117"/>
        <w:gridCol w:w="109"/>
        <w:gridCol w:w="154"/>
      </w:tblGrid>
      <w:tr>
        <w:trPr/>
        <w:tc>
          <w:tcPr>
            <w:tcW w:w="23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3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and prepayment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(804,137)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(1,532,797)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(456,607)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(3,139,619)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779,718 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(750,183)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760,535 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3,965,479 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stockholders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1,741,888 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(144,362)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(272,827)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or segregated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855,460 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or segregated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755,412 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b3ab33fb5ee424f9f7db536ce7ce87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842" w:type="dxa"/>
        <w:jc w:val="center"/>
        <w:tblInd w:w="0" w:type="dxa"/>
        <w:tblLayout w:type="fixed"/>
        <w:tblCellMar>
          <w:top w:w="28" w:type="dxa"/>
          <w:left w:w="28" w:type="dxa"/>
          <w:bottom w:w="28" w:type="dxa"/>
          <w:right w:w="28" w:type="dxa"/>
        </w:tblCellMar>
      </w:tblPr>
      <w:tblGrid>
        <w:gridCol w:w="2405"/>
        <w:gridCol w:w="2113"/>
        <w:gridCol w:w="2141"/>
        <w:gridCol w:w="109"/>
        <w:gridCol w:w="109"/>
        <w:gridCol w:w="109"/>
        <w:gridCol w:w="211"/>
        <w:gridCol w:w="793"/>
        <w:gridCol w:w="117"/>
        <w:gridCol w:w="117"/>
        <w:gridCol w:w="117"/>
        <w:gridCol w:w="117"/>
        <w:gridCol w:w="211"/>
        <w:gridCol w:w="793"/>
        <w:gridCol w:w="117"/>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Supplementary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and accrued incentive compensation to developers relating to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shares and per share amounts,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September 30, 2025, VFI owned approximately 57.2% of the membership interests of Virtu Financial. VFI is the sole managing member of Virtu Financial and operates and controls all of the businesses and affairs of Virtu Financial and its subsidiaries (the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leading financial firm that leverages cutting edge technology to deliver liquidity to the global markets and innovative, transparent trading solutions to its clients. The Company provides deep liquidity in over 25,000 financial instruments, on over 250 venues, in 40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 See Note 22 “Geographic Information and Business Segments” for a further discussion of the Company’s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 Unit Purchase Agreement with MarketAxess Holdings Inc. (“MarketAxess”) to sell a 49% interest in the multi-asset request-for-quote communication platform joint venture (“JV”), RFQ-hub Holdings LLC (“RFQ-hub Holdings,” or collectively with its wholly owned or controlled subsidiaries, “RFQ-hub”). The sale was completed on May 9, 2025. Upon the closing of the sale, the Company retains a minority interest of approximately 2% in RFQ-hub. The Company ceased to control, and deconsolidated, RFQ-hub at such time. See Note 3 “Sale of RFQ-hub” for further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Form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detailed discussion of the Company's significant accounting policies, see Note 2 “Summary of Significant Accounting Policies” in our consolidated financial statements included in Part II, Item 8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Digital Assets Held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Effective January 1, 2025, the Company adopted Accounting Standards Update (“ASU”) 2023-08, </w:t>
      </w:r>
      <w:r>
        <w:rPr>
          <w:rFonts w:ascii="Times New Roman;serif" w:hAnsi="Times New Roman;serif"/>
          <w:b w:val="false"/>
          <w:i/>
          <w:color w:val="000000"/>
          <w:sz w:val="20"/>
        </w:rPr>
        <w:t>Intangibles—Goodwill and Other—Crypto Assets (Subtopic 350-60)</w:t>
      </w:r>
      <w:r>
        <w:rPr>
          <w:color w:val="000000"/>
        </w:rPr>
        <w:t xml:space="preserve"> </w:t>
      </w:r>
      <w:r>
        <w:rPr>
          <w:rFonts w:ascii="Times New Roman;serif" w:hAnsi="Times New Roman;serif"/>
          <w:b w:val="false"/>
          <w:color w:val="000000"/>
          <w:sz w:val="20"/>
        </w:rPr>
        <w:t>using a modified retrospective approach. This ASU requires measurement of in-scope crypto assets at fair value with gains or losses from remeasurement recognized in net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through a foreign subsidiary, had previously entered into certain token purchase, grant and/or similar agreements to purchase, be granted and/or otherwise acquire a certain amount of crypto tokens. At December 31, 2024, based on the nature of the assets, these tokens were recorded at cost within Intangibles on the Consolidated Statements of Financial Condition, in accordance with ASC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Upon adoption, the Company records these tokens at fair value within Other assets on the Condensed Consolidated Statements of Financial Condition. As of January 1, 2025, the Company recorded a fair value adjustment of $25.4 million and established a deferred tax liability of $3.6 million, for a net cumulative-effect adjustment of $21.8 million in the beginning balance of Retained earnings. Subsequently, the Company remeasures these tokens at fair value at the end of each reporting period with changes recognized through Other, net on the Condensed Consolidated Statements of Comprehensive Income. The Company has other digital assets which were measured at fair value at December 31, 2024 based on the nature of the assets and the specialized accounting applied.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the “first-in, first-out” method to determine the cost basis for its Digital assets held.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Pronouncements Recently Adopted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Business Combinations—Joint Venture Formations</w:t>
      </w:r>
      <w:r>
        <w:rPr>
          <w:color w:val="000000"/>
        </w:rPr>
        <w:t xml:space="preserve"> </w:t>
      </w:r>
      <w:r>
        <w:rPr>
          <w:rFonts w:ascii="Times New Roman;serif" w:hAnsi="Times New Roman;serif"/>
          <w:b w:val="false"/>
          <w:color w:val="000000"/>
          <w:sz w:val="20"/>
        </w:rPr>
        <w:t xml:space="preserve">- In August 2023, the FASB issued ASU 2023-05, </w:t>
      </w:r>
      <w:r>
        <w:rPr>
          <w:rFonts w:ascii="Times New Roman;serif" w:hAnsi="Times New Roman;serif"/>
          <w:b w:val="false"/>
          <w:i/>
          <w:color w:val="000000"/>
          <w:sz w:val="20"/>
        </w:rPr>
        <w:t>Business Combinations—Joint Venture Formations (Subtopic 805-60)</w:t>
      </w:r>
      <w:r>
        <w:rPr>
          <w:rFonts w:ascii="Times New Roman;serif" w:hAnsi="Times New Roman;serif"/>
          <w:b w:val="false"/>
          <w:color w:val="000000"/>
          <w:sz w:val="20"/>
        </w:rPr>
        <w:t>. This ASU provides updated guidance on accounting for the formation of joint ventures.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Intangibles—Goodwill and Other—Crypto Assets</w:t>
      </w:r>
      <w:r>
        <w:rPr>
          <w:color w:val="000000"/>
        </w:rPr>
        <w:t xml:space="preserve"> </w:t>
      </w:r>
      <w:r>
        <w:rPr>
          <w:rFonts w:ascii="Times New Roman;serif" w:hAnsi="Times New Roman;serif"/>
          <w:b w:val="false"/>
          <w:color w:val="000000"/>
          <w:sz w:val="20"/>
        </w:rPr>
        <w:t xml:space="preserve">- In December 2023, the FASB issued ASU 2023-08, </w:t>
      </w:r>
      <w:r>
        <w:rPr>
          <w:rFonts w:ascii="Times New Roman;serif" w:hAnsi="Times New Roman;serif"/>
          <w:b w:val="false"/>
          <w:i/>
          <w:color w:val="000000"/>
          <w:sz w:val="20"/>
        </w:rPr>
        <w:t>Intangibles—Goodwill and Other—Crypto Assets (Subtopic 350-60)</w:t>
      </w:r>
      <w:r>
        <w:rPr>
          <w:rFonts w:ascii="Times New Roman;serif" w:hAnsi="Times New Roman;serif"/>
          <w:b w:val="false"/>
          <w:color w:val="000000"/>
          <w:sz w:val="20"/>
        </w:rPr>
        <w:t>. This ASU requires measurement of in-scope crypto assets at fair value and provides updated guidance on presentation and disclosure requirements for crypto assets. The Company adopted this ASU on January 1, 2025. See above and Note 11 “Digital Assets Held” for details on the impact of the adoption.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Compensation—Stock Compensation </w:t>
      </w:r>
      <w:r>
        <w:rPr>
          <w:rFonts w:ascii="Times New Roman;serif" w:hAnsi="Times New Roman;serif"/>
          <w:b w:val="false"/>
          <w:color w:val="000000"/>
          <w:sz w:val="20"/>
        </w:rPr>
        <w:t xml:space="preserve">- In March 2024, the FASB issued ASU 2024-01, </w:t>
      </w:r>
      <w:r>
        <w:rPr>
          <w:rFonts w:ascii="Times New Roman;serif" w:hAnsi="Times New Roman;serif"/>
          <w:b w:val="false"/>
          <w:i/>
          <w:color w:val="000000"/>
          <w:sz w:val="20"/>
        </w:rPr>
        <w:t>Compensation—Stock Compensation (Topic 718)</w:t>
      </w:r>
      <w:r>
        <w:rPr>
          <w:rFonts w:ascii="Times New Roman;serif" w:hAnsi="Times New Roman;serif"/>
          <w:b w:val="false"/>
          <w:color w:val="000000"/>
          <w:sz w:val="20"/>
        </w:rPr>
        <w:t>. This ASU clarifies ASC 718 scope application for profits interest or similar awards through illustrative examples.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Codification Improvements </w:t>
      </w:r>
      <w:r>
        <w:rPr>
          <w:rFonts w:ascii="Times New Roman;serif" w:hAnsi="Times New Roman;serif"/>
          <w:b w:val="false"/>
          <w:color w:val="000000"/>
          <w:sz w:val="20"/>
        </w:rPr>
        <w:t xml:space="preserve">- In March 2024, the FASB issued ASU 2024-02,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This ASU aims to improve and simplify the language and structure of the Codification by removing references to Concepts Statements.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Accounting Pronouncements Not Yet Adopted as of September 30, 2025</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 xml:space="preserve">- In December 2023, the FASB issued ASU 2023-09, </w:t>
      </w:r>
      <w:r>
        <w:rPr>
          <w:rFonts w:ascii="Times New Roman;serif" w:hAnsi="Times New Roman;serif"/>
          <w:b w:val="false"/>
          <w:i/>
          <w:color w:val="000000"/>
          <w:sz w:val="20"/>
        </w:rPr>
        <w:t>Income Taxes (Topic 740)</w:t>
      </w:r>
      <w:r>
        <w:rPr>
          <w:rFonts w:ascii="Times New Roman;serif" w:hAnsi="Times New Roman;serif"/>
          <w:b w:val="false"/>
          <w:color w:val="000000"/>
          <w:sz w:val="20"/>
        </w:rPr>
        <w:t>. This ASU requires disclosure of additional information on effective tax rate reconciliation and income taxes paid. This ASU is effective for annual periods beginning after December 15, 2024.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 xml:space="preserve">- In November 2024 and January 2025, the FASB issued ASU 2024-03 and ASU 2025-01,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These ASUs require disclosure of disaggregated information of Income Statement expense captions that include certain costs, such as employee compensation, depreciation, and intangible asset amortization. They also require disclosure of the total amounts of selling expenses, along with an entity's definition of selling expenses. The amendments are effective for annual reporting periods beginning after December 15, 2026 and interim periods within annual reporting periods beginning after December 15, 2027. The Company is currently evaluating the impact of these ASUs, but does not expect them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Business Combinations and Consolidation</w:t>
      </w:r>
      <w:r>
        <w:rPr>
          <w:color w:val="000000"/>
        </w:rPr>
        <w:t xml:space="preserve"> </w:t>
      </w:r>
      <w:r>
        <w:rPr>
          <w:rFonts w:ascii="Times New Roman;serif" w:hAnsi="Times New Roman;serif"/>
          <w:b w:val="false"/>
          <w:color w:val="000000"/>
          <w:sz w:val="20"/>
        </w:rPr>
        <w:t xml:space="preserve">- In May 2025, the FASB issued ASU 2025-03, </w:t>
      </w:r>
      <w:r>
        <w:rPr>
          <w:rFonts w:ascii="Times New Roman;serif" w:hAnsi="Times New Roman;serif"/>
          <w:b w:val="false"/>
          <w:i/>
          <w:color w:val="000000"/>
          <w:sz w:val="20"/>
        </w:rPr>
        <w:t>Business Combinations (Topic 805) and Consolidation (Topic 810)</w:t>
      </w:r>
      <w:r>
        <w:rPr>
          <w:rFonts w:ascii="Times New Roman;serif" w:hAnsi="Times New Roman;serif"/>
          <w:b w:val="false"/>
          <w:color w:val="000000"/>
          <w:sz w:val="20"/>
        </w:rPr>
        <w:t>. This ASU clarifies the requirement for identifying the accounting acquirer in a business combination involving a Variable Interest Entity (“VIE”). This ASU is effective for annual reporting periods beginning after December 15, 2026, and interim periods within those annual reporting periods.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Intangibles—Goodwill and Other—Internal-Use Software </w:t>
      </w:r>
      <w:r>
        <w:rPr>
          <w:rFonts w:ascii="Times New Roman;serif" w:hAnsi="Times New Roman;serif"/>
          <w:b w:val="false"/>
          <w:color w:val="000000"/>
          <w:sz w:val="20"/>
        </w:rPr>
        <w:t xml:space="preserve">- In September 2025, the FASB issued ASU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This ASU updates the capitalization criteria for internal-use software cost by removing references to software development project stages. This ASU is effective for annual reporting periods beginning after December 15, 2027, and interim periods within those annual reporting periods.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3. Sale of RFQ-hub</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19, 2024, the Company entered into a Unit Purchase Agreement with MarketAxess Holdings Inc. (“MarketAxess”) pursuant to which the Company has agreed to sell a 49% interest in the multi-asset request-for-quote communication platform JV, RFQ-hub Holdings LLC (“RFQ-hub Holdings,” or collectively with its wholly owned or controlled subsidiaries, “RFQ-hub”, which includes RFQ-hub Americas LLC, or “RAL”).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9, 2025, the Company completed the sale of a 49% interest in RFQ-hub to MarketAxess for total gross proceeds of $37.9 million in cash. Upon the closing of the sale, the Company retains a minority interest of approximately 2% in RFQ-hub. The Company deconsolidated RFQ-hub and recognized a gain on sale of $67.0 million, which was recorded in Other, net on the Condensed Consolidated Statements of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gain on sale and deconsolidation of RFQ-hub is as follows:</w:t>
      </w:r>
    </w:p>
    <w:tbl>
      <w:tblPr>
        <w:tblW w:w="5854" w:type="dxa"/>
        <w:jc w:val="center"/>
        <w:tblInd w:w="0" w:type="dxa"/>
        <w:tblLayout w:type="fixed"/>
        <w:tblCellMar>
          <w:top w:w="28" w:type="dxa"/>
          <w:left w:w="28" w:type="dxa"/>
          <w:bottom w:w="28" w:type="dxa"/>
          <w:right w:w="28" w:type="dxa"/>
        </w:tblCellMar>
      </w:tblPr>
      <w:tblGrid>
        <w:gridCol w:w="1537"/>
        <w:gridCol w:w="1352"/>
        <w:gridCol w:w="1355"/>
        <w:gridCol w:w="109"/>
        <w:gridCol w:w="109"/>
        <w:gridCol w:w="109"/>
        <w:gridCol w:w="210"/>
        <w:gridCol w:w="693"/>
        <w:gridCol w:w="117"/>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 proceeds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noncontrolling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 of noncontrolling interest deconsolidated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Carrying value of RFQ-hub’s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Total carrying value of RFQ-hub’s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2024, the assets and liabilities of RFQ-hub classified as Assets and Liabilities of business held for sale on the Consolidated Statements of Financial Condition are summarized as follows:</w:t>
      </w:r>
    </w:p>
    <w:tbl>
      <w:tblPr>
        <w:tblW w:w="6333" w:type="dxa"/>
        <w:jc w:val="center"/>
        <w:tblInd w:w="0" w:type="dxa"/>
        <w:tblLayout w:type="fixed"/>
        <w:tblCellMar>
          <w:top w:w="28" w:type="dxa"/>
          <w:left w:w="28" w:type="dxa"/>
          <w:bottom w:w="28" w:type="dxa"/>
          <w:right w:w="28" w:type="dxa"/>
        </w:tblCellMar>
      </w:tblPr>
      <w:tblGrid>
        <w:gridCol w:w="1536"/>
        <w:gridCol w:w="1352"/>
        <w:gridCol w:w="1356"/>
        <w:gridCol w:w="109"/>
        <w:gridCol w:w="109"/>
        <w:gridCol w:w="109"/>
        <w:gridCol w:w="109"/>
        <w:gridCol w:w="109"/>
        <w:gridCol w:w="308"/>
        <w:gridCol w:w="994"/>
        <w:gridCol w:w="242"/>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assets and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carrying value of RFQ-hub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below table contains a reconciliation of Net income before income taxes and noncontrolling interest to Net income available for common stockholders:</w:t>
      </w:r>
    </w:p>
    <w:tbl>
      <w:tblPr>
        <w:tblW w:w="10195" w:type="dxa"/>
        <w:jc w:val="center"/>
        <w:tblInd w:w="0" w:type="dxa"/>
        <w:tblLayout w:type="fixed"/>
        <w:tblCellMar>
          <w:top w:w="28" w:type="dxa"/>
          <w:left w:w="28" w:type="dxa"/>
          <w:bottom w:w="28" w:type="dxa"/>
          <w:right w:w="28" w:type="dxa"/>
        </w:tblCellMar>
      </w:tblPr>
      <w:tblGrid>
        <w:gridCol w:w="1448"/>
        <w:gridCol w:w="1271"/>
        <w:gridCol w:w="1285"/>
        <w:gridCol w:w="109"/>
        <w:gridCol w:w="109"/>
        <w:gridCol w:w="109"/>
        <w:gridCol w:w="218"/>
        <w:gridCol w:w="820"/>
        <w:gridCol w:w="121"/>
        <w:gridCol w:w="121"/>
        <w:gridCol w:w="121"/>
        <w:gridCol w:w="121"/>
        <w:gridCol w:w="218"/>
        <w:gridCol w:w="820"/>
        <w:gridCol w:w="121"/>
        <w:gridCol w:w="109"/>
        <w:gridCol w:w="109"/>
        <w:gridCol w:w="109"/>
        <w:gridCol w:w="211"/>
        <w:gridCol w:w="793"/>
        <w:gridCol w:w="117"/>
        <w:gridCol w:w="117"/>
        <w:gridCol w:w="117"/>
        <w:gridCol w:w="117"/>
        <w:gridCol w:w="211"/>
        <w:gridCol w:w="793"/>
        <w:gridCol w:w="117"/>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750,746 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(59,071)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(176,093)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328,496 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earnings per share is presented below:</w:t>
      </w:r>
    </w:p>
    <w:tbl>
      <w:tblPr>
        <w:tblW w:w="10205" w:type="dxa"/>
        <w:jc w:val="center"/>
        <w:tblInd w:w="0" w:type="dxa"/>
        <w:tblLayout w:type="fixed"/>
        <w:tblCellMar>
          <w:top w:w="28" w:type="dxa"/>
          <w:left w:w="28" w:type="dxa"/>
          <w:bottom w:w="28" w:type="dxa"/>
          <w:right w:w="28" w:type="dxa"/>
        </w:tblCellMar>
      </w:tblPr>
      <w:tblGrid>
        <w:gridCol w:w="1561"/>
        <w:gridCol w:w="1373"/>
        <w:gridCol w:w="1375"/>
        <w:gridCol w:w="109"/>
        <w:gridCol w:w="109"/>
        <w:gridCol w:w="109"/>
        <w:gridCol w:w="236"/>
        <w:gridCol w:w="731"/>
        <w:gridCol w:w="111"/>
        <w:gridCol w:w="111"/>
        <w:gridCol w:w="111"/>
        <w:gridCol w:w="111"/>
        <w:gridCol w:w="236"/>
        <w:gridCol w:w="731"/>
        <w:gridCol w:w="111"/>
        <w:gridCol w:w="109"/>
        <w:gridCol w:w="109"/>
        <w:gridCol w:w="109"/>
        <w:gridCol w:w="211"/>
        <w:gridCol w:w="755"/>
        <w:gridCol w:w="110"/>
        <w:gridCol w:w="110"/>
        <w:gridCol w:w="110"/>
        <w:gridCol w:w="110"/>
        <w:gridCol w:w="211"/>
        <w:gridCol w:w="755"/>
        <w:gridCol w:w="110"/>
        <w:gridCol w:w="109"/>
        <w:gridCol w:w="162"/>
      </w:tblGrid>
      <w:tr>
        <w:trPr/>
        <w:tc>
          <w:tcPr>
            <w:tcW w:w="15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Dividends and undistributed 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72,596 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306,973 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84,797,006 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87,152,658 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85,319,476 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88,093,082 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1"/>
        <w:gridCol w:w="1374"/>
        <w:gridCol w:w="1375"/>
        <w:gridCol w:w="109"/>
        <w:gridCol w:w="109"/>
        <w:gridCol w:w="109"/>
        <w:gridCol w:w="236"/>
        <w:gridCol w:w="731"/>
        <w:gridCol w:w="111"/>
        <w:gridCol w:w="111"/>
        <w:gridCol w:w="111"/>
        <w:gridCol w:w="111"/>
        <w:gridCol w:w="236"/>
        <w:gridCol w:w="731"/>
        <w:gridCol w:w="111"/>
        <w:gridCol w:w="109"/>
        <w:gridCol w:w="109"/>
        <w:gridCol w:w="109"/>
        <w:gridCol w:w="211"/>
        <w:gridCol w:w="755"/>
        <w:gridCol w:w="110"/>
        <w:gridCol w:w="110"/>
        <w:gridCol w:w="110"/>
        <w:gridCol w:w="110"/>
        <w:gridCol w:w="211"/>
        <w:gridCol w:w="755"/>
        <w:gridCol w:w="110"/>
        <w:gridCol w:w="109"/>
        <w:gridCol w:w="161"/>
      </w:tblGrid>
      <w:tr>
        <w:trPr/>
        <w:tc>
          <w:tcPr>
            <w:tcW w:w="15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84,797,006 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87,152,658 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85,319,476 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88,093,082 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Issuable pursuant to Second Amended and Restated 2015 Management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84,797,006 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87,536,847 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85,461,108 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88,340,593 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490" w:type="dxa"/>
            <w:gridSpan w:val="20"/>
            <w:tcBorders/>
          </w:tcPr>
          <w:p>
            <w:pPr>
              <w:pStyle w:val="TableContents"/>
              <w:bidi w:val="0"/>
              <w:spacing w:before="0" w:after="283"/>
              <w:jc w:val="left"/>
              <w:rPr>
                <w:sz w:val="4"/>
                <w:szCs w:val="4"/>
              </w:rPr>
            </w:pPr>
            <w:r>
              <w:rPr>
                <w:sz w:val="4"/>
                <w:szCs w:val="4"/>
              </w:rPr>
            </w:r>
          </w:p>
        </w:tc>
      </w:tr>
      <w:tr>
        <w:trPr/>
        <w:tc>
          <w:tcPr>
            <w:tcW w:w="4310" w:type="dxa"/>
            <w:gridSpan w:val="3"/>
            <w:tcBorders/>
            <w:vAlign w:val="center"/>
          </w:tcPr>
          <w:p>
            <w:pPr>
              <w:pStyle w:val="TableContents"/>
              <w:bidi w:val="0"/>
              <w:spacing w:before="0" w:after="283"/>
              <w:jc w:val="left"/>
              <w:rPr>
                <w:sz w:val="4"/>
                <w:szCs w:val="4"/>
              </w:rPr>
            </w:pPr>
            <w:r>
              <w:rPr>
                <w:sz w:val="4"/>
                <w:szCs w:val="4"/>
              </w:rPr>
            </w:r>
          </w:p>
        </w:tc>
        <w:tc>
          <w:tcPr>
            <w:tcW w:w="5895" w:type="dxa"/>
            <w:gridSpan w:val="26"/>
            <w:tcBorders/>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Tax Receivable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detailed discussion of the Company’s tax receivable agreements, see Note 5 “Tax Receivable Agreements” in our consolidated financial statements included in Part II, Item 8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made payments totaling $134.8 million from February 2017 through September 2025 with respect to its TRA obligation. Tax receivable payments are expected to range from approximately $0.1 million to $22.1 million per year over the next 15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Company’s remaining deferred tax assets that relate to the matters described above were approximately $94.2 million and $114.4 million, respectively, and the Company’s liabilities over the next 15 years pursuant to the tax receivable agreements were approximately $175.8 million and $196.6 million for September 30, 2025 and December 31, 2024, respectively. The amounts recorded as of September 30, 2025 and December 31, 2024 are based on best estimates available at the respective dates and may be subject to change after the filing of the Company’s U.S. federal and state income tax returns for the years in which tax savings were realized.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 As of September 30, 2025 and December 31, 2024, the Company’s total amount of goodwill recorded was $1,148.9 million. No goodwill impairment was recognized during the three and nine months ended September 30, 2025 and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goodwill by segment as of September 30, 2025 and December 31, 2024:</w:t>
      </w:r>
    </w:p>
    <w:tbl>
      <w:tblPr>
        <w:tblW w:w="7944"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34"/>
        <w:gridCol w:w="880"/>
        <w:gridCol w:w="130"/>
        <w:gridCol w:w="109"/>
        <w:gridCol w:w="109"/>
        <w:gridCol w:w="109"/>
        <w:gridCol w:w="274"/>
        <w:gridCol w:w="1029"/>
        <w:gridCol w:w="152"/>
        <w:gridCol w:w="109"/>
        <w:gridCol w:w="109"/>
        <w:gridCol w:w="109"/>
        <w:gridCol w:w="240"/>
        <w:gridCol w:w="497"/>
        <w:gridCol w:w="134"/>
        <w:gridCol w:w="109"/>
        <w:gridCol w:w="109"/>
        <w:gridCol w:w="109"/>
        <w:gridCol w:w="196"/>
        <w:gridCol w:w="87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755,292 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393,634 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Company’s total amount of intangible assets recorded was $166.7 million and $203.2 million, respectively. Acquired intangible assets consisted of the following as of September 30, 2025 and December 31, 2024:</w:t>
      </w:r>
    </w:p>
    <w:tbl>
      <w:tblPr>
        <w:tblW w:w="10162"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61"/>
        <w:gridCol w:w="1358"/>
        <w:gridCol w:w="201"/>
        <w:gridCol w:w="109"/>
        <w:gridCol w:w="109"/>
        <w:gridCol w:w="109"/>
        <w:gridCol w:w="387"/>
        <w:gridCol w:w="1509"/>
        <w:gridCol w:w="219"/>
        <w:gridCol w:w="109"/>
        <w:gridCol w:w="109"/>
        <w:gridCol w:w="109"/>
        <w:gridCol w:w="330"/>
        <w:gridCol w:w="1241"/>
        <w:gridCol w:w="183"/>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br/>
              <w:t>(Years) </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(316,637)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162,493 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630,523 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(463,809)</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28"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53"/>
        <w:gridCol w:w="1326"/>
        <w:gridCol w:w="196"/>
        <w:gridCol w:w="109"/>
        <w:gridCol w:w="109"/>
        <w:gridCol w:w="109"/>
        <w:gridCol w:w="363"/>
        <w:gridCol w:w="1505"/>
        <w:gridCol w:w="202"/>
        <w:gridCol w:w="109"/>
        <w:gridCol w:w="109"/>
        <w:gridCol w:w="109"/>
        <w:gridCol w:w="322"/>
        <w:gridCol w:w="1209"/>
        <w:gridCol w:w="179"/>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br/>
              <w:t>(Years)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(281,315)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(428,460)</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203,188 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7989" w:type="dxa"/>
            <w:gridSpan w:val="3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2024, as described in Note 3 “Sale of RFQ-hub”, the Company reclassified an aggregated net carrying amount of $3.5 million ($7.5 million of gross carrying amount net of $4.0 million accumulated amortization) from Intangible assets to Assets of business held for sale. The sale of RFQ-hub was completed on May 9, 2025, and the Company disposed of these Assets of business held for sale at such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relating to finite-lived intangible assets was approximately $11.8 million and $11.8 million for the three months ended September 30, 2025 and 2024, respectively, and $35.3 million and $38.7 million for the nine months ended September 30, 2025 and 2024, respectively. This is included in Amortization of purchased intangibles and acquired capitalized software in the accompanying Condensed Consolidated Statements of Comprehensive Income.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amortization expense as follows over the next five subsequent years:</w:t>
      </w:r>
    </w:p>
    <w:tbl>
      <w:tblPr>
        <w:tblW w:w="2792" w:type="dxa"/>
        <w:jc w:val="center"/>
        <w:tblInd w:w="0" w:type="dxa"/>
        <w:tblLayout w:type="fixed"/>
        <w:tblCellMar>
          <w:top w:w="28" w:type="dxa"/>
          <w:left w:w="28" w:type="dxa"/>
          <w:bottom w:w="28" w:type="dxa"/>
          <w:right w:w="28" w:type="dxa"/>
        </w:tblCellMar>
      </w:tblPr>
      <w:tblGrid>
        <w:gridCol w:w="531"/>
        <w:gridCol w:w="468"/>
        <w:gridCol w:w="470"/>
        <w:gridCol w:w="109"/>
        <w:gridCol w:w="109"/>
        <w:gridCol w:w="109"/>
        <w:gridCol w:w="196"/>
        <w:gridCol w:w="64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Receivables from/Payables to Broker-Dealers and Clearing Organizations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receivables from and payables to brokers-dealers and clearing organizations at September 30, 2025 and December 31, 2024:</w:t>
      </w:r>
    </w:p>
    <w:tbl>
      <w:tblPr>
        <w:tblW w:w="8347" w:type="dxa"/>
        <w:jc w:val="center"/>
        <w:tblInd w:w="0" w:type="dxa"/>
        <w:tblLayout w:type="fixed"/>
        <w:tblCellMar>
          <w:top w:w="28" w:type="dxa"/>
          <w:left w:w="28" w:type="dxa"/>
          <w:bottom w:w="28" w:type="dxa"/>
          <w:right w:w="28" w:type="dxa"/>
        </w:tblCellMar>
      </w:tblPr>
      <w:tblGrid>
        <w:gridCol w:w="1665"/>
        <w:gridCol w:w="1466"/>
        <w:gridCol w:w="1473"/>
        <w:gridCol w:w="109"/>
        <w:gridCol w:w="109"/>
        <w:gridCol w:w="109"/>
        <w:gridCol w:w="257"/>
        <w:gridCol w:w="1145"/>
        <w:gridCol w:w="143"/>
        <w:gridCol w:w="109"/>
        <w:gridCol w:w="109"/>
        <w:gridCol w:w="109"/>
        <w:gridCol w:w="248"/>
        <w:gridCol w:w="1102"/>
        <w:gridCol w:w="19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from prime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409,342 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equity with futures commission merchants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963,488 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failed to deliver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2,633,329 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1,100,850 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prime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1,484,447 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583,914 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equity with futures commission merchants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failed to receive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1,677,016 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918,566 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(1)   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serif" w:hAnsi="Times New Roman;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as a deduction from “Due from prime brokers” and “Net equity with futures commission merchants” is the outstanding principal balance on all of the Company’s prime brokerage credit facilities (described in Note 9 “Borrowings”) of approximately $123.2 million and $123.0 million as of September 30, 2025 and December 31, 2024,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Collateralized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2025 and December 31, 2024, substantially all of the securities received as collateral have been repledged.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collateralized transactions at September 30, 2025 and December 31, 2024 are summarized as follows:</w:t>
      </w:r>
    </w:p>
    <w:tbl>
      <w:tblPr>
        <w:tblW w:w="7133" w:type="dxa"/>
        <w:jc w:val="center"/>
        <w:tblInd w:w="0" w:type="dxa"/>
        <w:tblLayout w:type="fixed"/>
        <w:tblCellMar>
          <w:top w:w="28" w:type="dxa"/>
          <w:left w:w="28" w:type="dxa"/>
          <w:bottom w:w="28" w:type="dxa"/>
          <w:right w:w="28" w:type="dxa"/>
        </w:tblCellMar>
      </w:tblPr>
      <w:tblGrid>
        <w:gridCol w:w="1225"/>
        <w:gridCol w:w="1079"/>
        <w:gridCol w:w="1086"/>
        <w:gridCol w:w="109"/>
        <w:gridCol w:w="109"/>
        <w:gridCol w:w="109"/>
        <w:gridCol w:w="257"/>
        <w:gridCol w:w="1145"/>
        <w:gridCol w:w="143"/>
        <w:gridCol w:w="109"/>
        <w:gridCol w:w="109"/>
        <w:gridCol w:w="109"/>
        <w:gridCol w:w="248"/>
        <w:gridCol w:w="1102"/>
        <w:gridCol w:w="194"/>
      </w:tblGrid>
      <w:tr>
        <w:trPr/>
        <w:tc>
          <w:tcPr>
            <w:tcW w:w="122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received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3,005,737 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2,222,054 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1,265,955 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983,753 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4,271,692 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3,205,807 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pledges qualified securities with clearing organizations to satisfy daily margin and clearing fund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owned and pledged, where the counterparty has the right to repledge, at September 30, 2025 and December 31, 2024 consisted of the following:</w:t>
      </w:r>
    </w:p>
    <w:p>
      <w:pPr>
        <w:pStyle w:val="TextBody"/>
        <w:bidi w:val="0"/>
        <w:spacing w:before="0" w:after="0"/>
        <w:ind w:left="0" w:right="0" w:firstLine="720"/>
        <w:jc w:val="left"/>
        <w:rPr/>
      </w:pPr>
      <w:r>
        <w:rPr/>
      </w:r>
    </w:p>
    <w:tbl>
      <w:tblPr>
        <w:tblW w:w="5438" w:type="dxa"/>
        <w:jc w:val="center"/>
        <w:tblInd w:w="0" w:type="dxa"/>
        <w:tblLayout w:type="fixed"/>
        <w:tblCellMar>
          <w:top w:w="28" w:type="dxa"/>
          <w:left w:w="28" w:type="dxa"/>
          <w:bottom w:w="28" w:type="dxa"/>
          <w:right w:w="28" w:type="dxa"/>
        </w:tblCellMar>
      </w:tblPr>
      <w:tblGrid>
        <w:gridCol w:w="612"/>
        <w:gridCol w:w="540"/>
        <w:gridCol w:w="543"/>
        <w:gridCol w:w="109"/>
        <w:gridCol w:w="109"/>
        <w:gridCol w:w="109"/>
        <w:gridCol w:w="257"/>
        <w:gridCol w:w="1145"/>
        <w:gridCol w:w="143"/>
        <w:gridCol w:w="109"/>
        <w:gridCol w:w="109"/>
        <w:gridCol w:w="109"/>
        <w:gridCol w:w="248"/>
        <w:gridCol w:w="1102"/>
        <w:gridCol w:w="194"/>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2,500,017 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2,269,299 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2,507,284 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2,282,637 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Borrowings,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short-term borrowing balances outstanding, net of related debt issuance costs, with each described in further detail below.</w:t>
      </w:r>
    </w:p>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44"/>
        <w:gridCol w:w="1294"/>
        <w:gridCol w:w="191"/>
        <w:gridCol w:w="109"/>
        <w:gridCol w:w="109"/>
        <w:gridCol w:w="109"/>
        <w:gridCol w:w="452"/>
        <w:gridCol w:w="1456"/>
        <w:gridCol w:w="251"/>
        <w:gridCol w:w="109"/>
        <w:gridCol w:w="109"/>
        <w:gridCol w:w="109"/>
        <w:gridCol w:w="390"/>
        <w:gridCol w:w="1464"/>
        <w:gridCol w:w="306"/>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121,991 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76"/>
        <w:gridCol w:w="1243"/>
        <w:gridCol w:w="211"/>
        <w:gridCol w:w="109"/>
        <w:gridCol w:w="109"/>
        <w:gridCol w:w="109"/>
        <w:gridCol w:w="595"/>
        <w:gridCol w:w="1231"/>
        <w:gridCol w:w="333"/>
        <w:gridCol w:w="109"/>
        <w:gridCol w:w="109"/>
        <w:gridCol w:w="109"/>
        <w:gridCol w:w="423"/>
        <w:gridCol w:w="1399"/>
        <w:gridCol w:w="337"/>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bank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Broker-Dealer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which was amended to $350 million in February 2025, and bear interest at the adjusted SOFR or base rate plus 2.50% per annum. A commitment fee of 0.50% per annum on the average daily unused portion of this facility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Virtu Financial Singapore Pte. Ltd. is a party to a revolving credit facility with a financial institution (the “Overdraft Facility”) to provide a source of short-term financing. The facility has an aggregate borrowing limit of $10 million, and bears interest at the adjusted SOFR or base rate plus 3.5% per annum.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broker-dealer credit facilities’ carrying values, net of unamortized debt issuance costs, where applicable. These balances are included within Short-term borrowings on the Condensed Consolidated Statements of Financial Condition.</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85"/>
        <w:gridCol w:w="515"/>
        <w:gridCol w:w="519"/>
        <w:gridCol w:w="110"/>
        <w:gridCol w:w="110"/>
        <w:gridCol w:w="110"/>
        <w:gridCol w:w="274"/>
        <w:gridCol w:w="274"/>
        <w:gridCol w:w="275"/>
        <w:gridCol w:w="110"/>
        <w:gridCol w:w="110"/>
        <w:gridCol w:w="110"/>
        <w:gridCol w:w="223"/>
        <w:gridCol w:w="995"/>
        <w:gridCol w:w="124"/>
        <w:gridCol w:w="110"/>
        <w:gridCol w:w="110"/>
        <w:gridCol w:w="110"/>
        <w:gridCol w:w="257"/>
        <w:gridCol w:w="967"/>
        <w:gridCol w:w="142"/>
        <w:gridCol w:w="110"/>
        <w:gridCol w:w="110"/>
        <w:gridCol w:w="110"/>
        <w:gridCol w:w="300"/>
        <w:gridCol w:w="930"/>
        <w:gridCol w:w="166"/>
        <w:gridCol w:w="110"/>
        <w:gridCol w:w="110"/>
        <w:gridCol w:w="110"/>
        <w:gridCol w:w="285"/>
        <w:gridCol w:w="1073"/>
        <w:gridCol w:w="158"/>
        <w:gridCol w:w="109"/>
        <w:gridCol w:w="109"/>
        <w:gridCol w:w="109"/>
        <w:gridCol w:w="166"/>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Available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 (1)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761" w:type="dxa"/>
            <w:gridSpan w:val="22"/>
            <w:tcBorders/>
          </w:tcPr>
          <w:p>
            <w:pPr>
              <w:pStyle w:val="TableContents"/>
              <w:bidi w:val="0"/>
              <w:spacing w:before="0" w:after="283"/>
              <w:jc w:val="left"/>
              <w:rPr>
                <w:sz w:val="4"/>
                <w:szCs w:val="4"/>
              </w:rPr>
            </w:pPr>
            <w:r>
              <w:rPr>
                <w:sz w:val="4"/>
                <w:szCs w:val="4"/>
              </w:rPr>
            </w:r>
          </w:p>
        </w:tc>
      </w:tr>
      <w:tr>
        <w:trPr/>
        <w:tc>
          <w:tcPr>
            <w:tcW w:w="9712"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Interest rate for Borrowing Base A Loan and Borrowing Base B Loan under the Committed Facility was 5.53% and 7.00%, respectively. There was no balance outstanding under Borrowing Base B Loan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28"/>
        <w:gridCol w:w="553"/>
        <w:gridCol w:w="558"/>
        <w:gridCol w:w="110"/>
        <w:gridCol w:w="110"/>
        <w:gridCol w:w="110"/>
        <w:gridCol w:w="287"/>
        <w:gridCol w:w="287"/>
        <w:gridCol w:w="288"/>
        <w:gridCol w:w="110"/>
        <w:gridCol w:w="110"/>
        <w:gridCol w:w="110"/>
        <w:gridCol w:w="230"/>
        <w:gridCol w:w="1025"/>
        <w:gridCol w:w="127"/>
        <w:gridCol w:w="110"/>
        <w:gridCol w:w="110"/>
        <w:gridCol w:w="110"/>
        <w:gridCol w:w="294"/>
        <w:gridCol w:w="972"/>
        <w:gridCol w:w="164"/>
        <w:gridCol w:w="110"/>
        <w:gridCol w:w="110"/>
        <w:gridCol w:w="110"/>
        <w:gridCol w:w="403"/>
        <w:gridCol w:w="835"/>
        <w:gridCol w:w="225"/>
        <w:gridCol w:w="110"/>
        <w:gridCol w:w="110"/>
        <w:gridCol w:w="110"/>
        <w:gridCol w:w="326"/>
        <w:gridCol w:w="1078"/>
        <w:gridCol w:w="275"/>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2024</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Available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 (1)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 (2)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$0.3 million of deferred debt issuance costs are included within Other assets on the Consolidated Statement of Financial Condition. </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(2) Interest rate for Borrowing Base A Loan and Borrowing Base B Loan under the Committed Facility was 5.75% and 7.00%, respectively. There was no balance outstanding under Borrowing Base B Loan as of December 31, 2024.</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interest expense for the broker-dealer facilities. Interest expense is included within Interest and dividends expense in the accompanying Condensed Consolidated Statements of Comprehensive Income.</w:t>
      </w:r>
    </w:p>
    <w:p>
      <w:pPr>
        <w:pStyle w:val="TextBody"/>
        <w:bidi w:val="0"/>
        <w:spacing w:before="0" w:after="0"/>
        <w:ind w:left="0" w:right="0" w:firstLine="720"/>
        <w:jc w:val="left"/>
        <w:rPr/>
      </w:pPr>
      <w:r>
        <w:rPr/>
      </w:r>
    </w:p>
    <w:tbl>
      <w:tblPr>
        <w:tblW w:w="8499" w:type="dxa"/>
        <w:jc w:val="center"/>
        <w:tblInd w:w="0" w:type="dxa"/>
        <w:tblLayout w:type="fixed"/>
        <w:tblCellMar>
          <w:top w:w="28" w:type="dxa"/>
          <w:left w:w="28" w:type="dxa"/>
          <w:bottom w:w="28" w:type="dxa"/>
          <w:right w:w="28" w:type="dxa"/>
        </w:tblCellMar>
      </w:tblPr>
      <w:tblGrid>
        <w:gridCol w:w="834"/>
        <w:gridCol w:w="735"/>
        <w:gridCol w:w="741"/>
        <w:gridCol w:w="109"/>
        <w:gridCol w:w="109"/>
        <w:gridCol w:w="109"/>
        <w:gridCol w:w="256"/>
        <w:gridCol w:w="728"/>
        <w:gridCol w:w="142"/>
        <w:gridCol w:w="142"/>
        <w:gridCol w:w="142"/>
        <w:gridCol w:w="142"/>
        <w:gridCol w:w="256"/>
        <w:gridCol w:w="728"/>
        <w:gridCol w:w="142"/>
        <w:gridCol w:w="109"/>
        <w:gridCol w:w="109"/>
        <w:gridCol w:w="109"/>
        <w:gridCol w:w="248"/>
        <w:gridCol w:w="704"/>
        <w:gridCol w:w="138"/>
        <w:gridCol w:w="138"/>
        <w:gridCol w:w="138"/>
        <w:gridCol w:w="138"/>
        <w:gridCol w:w="248"/>
        <w:gridCol w:w="704"/>
        <w:gridCol w:w="138"/>
        <w:gridCol w:w="109"/>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Short-Term Bank Loans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Company’s international securities clearance and settlement activities are funded with operating cash or with short-term bank loans in the form of overdraft facilities. At September 30, 2025, there were no balances associated with international settlement activities outstanding under these facilities. At December 31, 2024, there was </w:t>
      </w:r>
      <w:r>
        <w:rPr>
          <w:rFonts w:ascii="Times New Roman;serif" w:hAnsi="Times New Roman;serif"/>
          <w:b w:val="false"/>
          <w:color w:val="000000"/>
          <w:sz w:val="20"/>
          <w:shd w:fill="FFFFFF" w:val="clear"/>
        </w:rPr>
        <w:t xml:space="preserve">$28.5 million of short-term bank loans </w:t>
      </w:r>
      <w:r>
        <w:rPr>
          <w:rFonts w:ascii="Times New Roman;serif" w:hAnsi="Times New Roman;serif"/>
          <w:b w:val="false"/>
          <w:color w:val="000000"/>
          <w:sz w:val="20"/>
        </w:rPr>
        <w:t>associated with international settlement activities outstanding under these facilities at a weighted average interest rate of approximately 5.0%. Outstanding short-term bank loan balances are included within Short-term borrowings on the Condensed Consolidated Statements of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Virtu Financial Singapore Pte. Ltd. entered into an agreement with a financial institution for a short-term bank loan with a total capacity of </w:t>
      </w:r>
      <w:r>
        <w:rPr>
          <w:rFonts w:ascii="Times New Roman;serif" w:hAnsi="Times New Roman;serif"/>
          <w:b w:val="false"/>
          <w:color w:val="000000"/>
          <w:sz w:val="20"/>
          <w:shd w:fill="FFFFFF" w:val="clear"/>
        </w:rPr>
        <w:t xml:space="preserve">$50.0 million. </w:t>
      </w:r>
      <w:r>
        <w:rPr>
          <w:rFonts w:ascii="Times New Roman;serif" w:hAnsi="Times New Roman;serif"/>
          <w:b w:val="false"/>
          <w:color w:val="000000"/>
          <w:sz w:val="20"/>
        </w:rPr>
        <w:t>At September 30, 2025 and December 31, 2024, there was no balance outstanding under this short-term bank loan.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pStyle w:val="TextBody"/>
        <w:bidi w:val="0"/>
        <w:spacing w:before="0" w:after="0"/>
        <w:ind w:left="0" w:right="0" w:firstLine="720"/>
        <w:jc w:val="left"/>
        <w:rPr/>
      </w:pPr>
      <w:r>
        <w:rPr/>
      </w:r>
    </w:p>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September 30, 2025</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2024</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Outstanding borrowings are included with Receivables from/Payables to broker-dealers and clearing organizations within the Condensed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Interest expense in relation to the facilities was $3.0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$2.4 million</w:t>
      </w:r>
      <w:r>
        <w:rPr>
          <w:color w:val="000000"/>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September 30, 2025 and 2024, respectively, and $8.0 million and $7.4 million for the nine months ended September 30, 2025 and 2024</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Borrowings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long-term borrowings, net of unamortized discount and debt issuance costs, where applicable:</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67"/>
        <w:gridCol w:w="499"/>
        <w:gridCol w:w="502"/>
        <w:gridCol w:w="109"/>
        <w:gridCol w:w="109"/>
        <w:gridCol w:w="109"/>
        <w:gridCol w:w="285"/>
        <w:gridCol w:w="285"/>
        <w:gridCol w:w="287"/>
        <w:gridCol w:w="109"/>
        <w:gridCol w:w="109"/>
        <w:gridCol w:w="109"/>
        <w:gridCol w:w="220"/>
        <w:gridCol w:w="220"/>
        <w:gridCol w:w="221"/>
        <w:gridCol w:w="109"/>
        <w:gridCol w:w="109"/>
        <w:gridCol w:w="109"/>
        <w:gridCol w:w="224"/>
        <w:gridCol w:w="999"/>
        <w:gridCol w:w="124"/>
        <w:gridCol w:w="109"/>
        <w:gridCol w:w="109"/>
        <w:gridCol w:w="109"/>
        <w:gridCol w:w="196"/>
        <w:gridCol w:w="590"/>
        <w:gridCol w:w="109"/>
        <w:gridCol w:w="109"/>
        <w:gridCol w:w="109"/>
        <w:gridCol w:w="109"/>
        <w:gridCol w:w="266"/>
        <w:gridCol w:w="939"/>
        <w:gridCol w:w="148"/>
        <w:gridCol w:w="109"/>
        <w:gridCol w:w="109"/>
        <w:gridCol w:w="109"/>
        <w:gridCol w:w="249"/>
        <w:gridCol w:w="1109"/>
        <w:gridCol w:w="20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September 30, 2025</w:t>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First Lien Term B-2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1,523,506 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492,319 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2,068,665 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(26,631)</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2,039,490 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57"/>
        <w:gridCol w:w="490"/>
        <w:gridCol w:w="493"/>
        <w:gridCol w:w="109"/>
        <w:gridCol w:w="109"/>
        <w:gridCol w:w="109"/>
        <w:gridCol w:w="286"/>
        <w:gridCol w:w="286"/>
        <w:gridCol w:w="288"/>
        <w:gridCol w:w="109"/>
        <w:gridCol w:w="109"/>
        <w:gridCol w:w="109"/>
        <w:gridCol w:w="220"/>
        <w:gridCol w:w="220"/>
        <w:gridCol w:w="221"/>
        <w:gridCol w:w="109"/>
        <w:gridCol w:w="109"/>
        <w:gridCol w:w="109"/>
        <w:gridCol w:w="225"/>
        <w:gridCol w:w="1003"/>
        <w:gridCol w:w="125"/>
        <w:gridCol w:w="109"/>
        <w:gridCol w:w="109"/>
        <w:gridCol w:w="109"/>
        <w:gridCol w:w="196"/>
        <w:gridCol w:w="591"/>
        <w:gridCol w:w="109"/>
        <w:gridCol w:w="109"/>
        <w:gridCol w:w="109"/>
        <w:gridCol w:w="109"/>
        <w:gridCol w:w="268"/>
        <w:gridCol w:w="947"/>
        <w:gridCol w:w="149"/>
        <w:gridCol w:w="109"/>
        <w:gridCol w:w="109"/>
        <w:gridCol w:w="109"/>
        <w:gridCol w:w="251"/>
        <w:gridCol w:w="1116"/>
        <w:gridCol w:w="202"/>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2024</w:t>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Term B-1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1,226,882 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491,320 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1,767,265 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(23,922)</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1,740,467 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2019, the Company entered into a five-year $525.0 million floating-to-fixed interest rate swap agreement. In January 2020, the Company also entered into a five-year $1,000.0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previous first lien term loan facility in relation to the ITG Acquisition at rates of 4.3% and 4.4% through September 2024 and January 2025, respectively.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Original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amends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$300.0 million, the proceeds of which were used for general corporate purposes, for a total Term B-2 Loan balance of $1,545.0 million (collectively, the “Term B-2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interest rate swap effectively fixes interest payment obligations on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$1,545.0 million was outstanding under the current term loans, and there were no amounts outstanding under the first lien revolving facility.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Secured First Lien Notes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SBI Bonds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($23.7 million) as of September 30, 2025 and ¥3.5 billion ($22.3 million) as of December 31, 2024. The Company had a gain of $0.6 million and a loss of $2.6 million during the three months ended September 30, 2025 and 2024, respectively, and a loss of $1.4 million and a gain of $0.4 million during the nine months ended September 30, 2025 and 2024, respectively, due to changes in foreign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aggregate future required minimum principal payments based on the terms of the long-term borrowings were as follows: </w:t>
      </w:r>
    </w:p>
    <w:p>
      <w:pPr>
        <w:pStyle w:val="TextBody"/>
        <w:bidi w:val="0"/>
        <w:spacing w:before="0" w:after="0"/>
        <w:ind w:left="0" w:right="0" w:firstLine="720"/>
        <w:jc w:val="left"/>
        <w:rPr/>
      </w:pPr>
      <w:r>
        <w:rPr/>
      </w:r>
    </w:p>
    <w:tbl>
      <w:tblPr>
        <w:tblW w:w="4458" w:type="dxa"/>
        <w:jc w:val="center"/>
        <w:tblInd w:w="0" w:type="dxa"/>
        <w:tblLayout w:type="fixed"/>
        <w:tblCellMar>
          <w:top w:w="28" w:type="dxa"/>
          <w:left w:w="28" w:type="dxa"/>
          <w:bottom w:w="28" w:type="dxa"/>
          <w:right w:w="28" w:type="dxa"/>
        </w:tblCellMar>
      </w:tblPr>
      <w:tblGrid>
        <w:gridCol w:w="1052"/>
        <w:gridCol w:w="927"/>
        <w:gridCol w:w="931"/>
        <w:gridCol w:w="109"/>
        <w:gridCol w:w="109"/>
        <w:gridCol w:w="109"/>
        <w:gridCol w:w="196"/>
        <w:gridCol w:w="87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principal of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2,068,665 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10.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Measured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equities, options, on-the-run U.S. government obligations, certain exchange traded notes and digital assets is estimated using recently executed transactions and market price quotations in active markets and are categorized as Level 1 with the exception of inactively traded equities, all other exchange traded notes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measurements for those items measured on a recurring basis are summarized below as of September 30, 2025:</w:t>
      </w:r>
    </w:p>
    <w:tbl>
      <w:tblPr>
        <w:tblW w:w="10205" w:type="dxa"/>
        <w:jc w:val="center"/>
        <w:tblInd w:w="0" w:type="dxa"/>
        <w:tblLayout w:type="fixed"/>
        <w:tblCellMar>
          <w:top w:w="28" w:type="dxa"/>
          <w:left w:w="28" w:type="dxa"/>
          <w:bottom w:w="28" w:type="dxa"/>
          <w:right w:w="28" w:type="dxa"/>
        </w:tblCellMar>
      </w:tblPr>
      <w:tblGrid>
        <w:gridCol w:w="532"/>
        <w:gridCol w:w="468"/>
        <w:gridCol w:w="471"/>
        <w:gridCol w:w="109"/>
        <w:gridCol w:w="109"/>
        <w:gridCol w:w="109"/>
        <w:gridCol w:w="266"/>
        <w:gridCol w:w="1183"/>
        <w:gridCol w:w="148"/>
        <w:gridCol w:w="109"/>
        <w:gridCol w:w="109"/>
        <w:gridCol w:w="109"/>
        <w:gridCol w:w="242"/>
        <w:gridCol w:w="1078"/>
        <w:gridCol w:w="134"/>
        <w:gridCol w:w="109"/>
        <w:gridCol w:w="109"/>
        <w:gridCol w:w="109"/>
        <w:gridCol w:w="276"/>
        <w:gridCol w:w="914"/>
        <w:gridCol w:w="156"/>
        <w:gridCol w:w="109"/>
        <w:gridCol w:w="109"/>
        <w:gridCol w:w="109"/>
        <w:gridCol w:w="241"/>
        <w:gridCol w:w="995"/>
        <w:gridCol w:w="134"/>
        <w:gridCol w:w="109"/>
        <w:gridCol w:w="109"/>
        <w:gridCol w:w="109"/>
        <w:gridCol w:w="197"/>
        <w:gridCol w:w="969"/>
        <w:gridCol w:w="16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 </w:t>
            </w:r>
          </w:p>
        </w:tc>
      </w:tr>
      <w:tr>
        <w:trPr/>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1,649,333 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3,620,582 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5,269,915 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445,649 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1,232,756 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1,678,405 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1,438,659 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(176,877)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2,105,210 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6,506,654 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(176,877)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8,434,987 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1,514,066 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985,951 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1,514,066 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993,218 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2,507,284 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347,669 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87,614 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87,614 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3,490,802 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3,414,367 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6,905,169 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1,312,324 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1,750,380 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1,617,658 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1,617,658 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3,940,448 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6,645,075 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10,406,450 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445,684 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445,684 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446,171 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446,171 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measurements for those items measured on a recurring basis are summarized below as of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686,827 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2,471,450 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3,158,277 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908,625 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1,257,386 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967,377 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967,377 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1,091,896 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5,105,024 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5,520,015 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1,639,404 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2,269,299 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1,639,404 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643,233 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2,282,637 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158,326 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1,837,195 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1,854,883 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3,692,078 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1,313,955 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1,249,413 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1,249,413 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1,949,495 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5,173,354 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6,440,971 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136,736 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136,736 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JNX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September 30, 2025 and December 31, 2024,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on the valuation techniques, significant unobservable inputs and their ranges for the JNX Investment: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 - 5.0%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16.1% - 16.1%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9.5x - 20.1x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15.0x</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5.0% - 5.0%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16.4% - 16.4%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7.5x - 18.0x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13.2x</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the JNX Investment are included within Other, net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changes in the Company’s Level 3 financial instruments measured at fair value on a recurring basis:</w:t>
      </w:r>
    </w:p>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4"/>
        <w:gridCol w:w="674"/>
        <w:gridCol w:w="113"/>
        <w:gridCol w:w="109"/>
        <w:gridCol w:w="109"/>
        <w:gridCol w:w="109"/>
        <w:gridCol w:w="227"/>
        <w:gridCol w:w="471"/>
        <w:gridCol w:w="128"/>
        <w:gridCol w:w="109"/>
        <w:gridCol w:w="109"/>
        <w:gridCol w:w="109"/>
        <w:gridCol w:w="228"/>
        <w:gridCol w:w="649"/>
        <w:gridCol w:w="128"/>
        <w:gridCol w:w="109"/>
        <w:gridCol w:w="109"/>
        <w:gridCol w:w="109"/>
        <w:gridCol w:w="239"/>
        <w:gridCol w:w="497"/>
        <w:gridCol w:w="134"/>
        <w:gridCol w:w="109"/>
        <w:gridCol w:w="109"/>
        <w:gridCol w:w="109"/>
        <w:gridCol w:w="240"/>
        <w:gridCol w:w="497"/>
        <w:gridCol w:w="134"/>
        <w:gridCol w:w="109"/>
        <w:gridCol w:w="109"/>
        <w:gridCol w:w="109"/>
        <w:gridCol w:w="208"/>
        <w:gridCol w:w="686"/>
        <w:gridCol w:w="115"/>
        <w:gridCol w:w="109"/>
        <w:gridCol w:w="109"/>
        <w:gridCol w:w="109"/>
        <w:gridCol w:w="268"/>
        <w:gridCol w:w="763"/>
        <w:gridCol w:w="220"/>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September 30, 2025</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4"/>
        <w:gridCol w:w="674"/>
        <w:gridCol w:w="113"/>
        <w:gridCol w:w="109"/>
        <w:gridCol w:w="109"/>
        <w:gridCol w:w="109"/>
        <w:gridCol w:w="227"/>
        <w:gridCol w:w="471"/>
        <w:gridCol w:w="128"/>
        <w:gridCol w:w="109"/>
        <w:gridCol w:w="109"/>
        <w:gridCol w:w="109"/>
        <w:gridCol w:w="228"/>
        <w:gridCol w:w="649"/>
        <w:gridCol w:w="128"/>
        <w:gridCol w:w="109"/>
        <w:gridCol w:w="109"/>
        <w:gridCol w:w="109"/>
        <w:gridCol w:w="239"/>
        <w:gridCol w:w="497"/>
        <w:gridCol w:w="134"/>
        <w:gridCol w:w="109"/>
        <w:gridCol w:w="109"/>
        <w:gridCol w:w="109"/>
        <w:gridCol w:w="240"/>
        <w:gridCol w:w="497"/>
        <w:gridCol w:w="134"/>
        <w:gridCol w:w="109"/>
        <w:gridCol w:w="109"/>
        <w:gridCol w:w="109"/>
        <w:gridCol w:w="208"/>
        <w:gridCol w:w="686"/>
        <w:gridCol w:w="115"/>
        <w:gridCol w:w="109"/>
        <w:gridCol w:w="109"/>
        <w:gridCol w:w="109"/>
        <w:gridCol w:w="268"/>
        <w:gridCol w:w="763"/>
        <w:gridCol w:w="220"/>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at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September 30, 2024</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79,031 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87,598 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94"/>
        <w:gridCol w:w="347"/>
        <w:gridCol w:w="349"/>
        <w:gridCol w:w="109"/>
        <w:gridCol w:w="109"/>
        <w:gridCol w:w="109"/>
        <w:gridCol w:w="206"/>
        <w:gridCol w:w="679"/>
        <w:gridCol w:w="114"/>
        <w:gridCol w:w="109"/>
        <w:gridCol w:w="109"/>
        <w:gridCol w:w="109"/>
        <w:gridCol w:w="227"/>
        <w:gridCol w:w="471"/>
        <w:gridCol w:w="128"/>
        <w:gridCol w:w="109"/>
        <w:gridCol w:w="109"/>
        <w:gridCol w:w="109"/>
        <w:gridCol w:w="216"/>
        <w:gridCol w:w="714"/>
        <w:gridCol w:w="120"/>
        <w:gridCol w:w="109"/>
        <w:gridCol w:w="109"/>
        <w:gridCol w:w="109"/>
        <w:gridCol w:w="237"/>
        <w:gridCol w:w="491"/>
        <w:gridCol w:w="133"/>
        <w:gridCol w:w="109"/>
        <w:gridCol w:w="109"/>
        <w:gridCol w:w="109"/>
        <w:gridCol w:w="240"/>
        <w:gridCol w:w="497"/>
        <w:gridCol w:w="134"/>
        <w:gridCol w:w="109"/>
        <w:gridCol w:w="109"/>
        <w:gridCol w:w="109"/>
        <w:gridCol w:w="206"/>
        <w:gridCol w:w="680"/>
        <w:gridCol w:w="114"/>
        <w:gridCol w:w="109"/>
        <w:gridCol w:w="109"/>
        <w:gridCol w:w="109"/>
        <w:gridCol w:w="237"/>
        <w:gridCol w:w="784"/>
        <w:gridCol w:w="19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September 30, 2025</w:t>
            </w:r>
          </w:p>
        </w:tc>
      </w:tr>
      <w:tr>
        <w:trPr/>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88,252 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bl>
    <w:tbl>
      <w:tblPr>
        <w:tblW w:w="10205" w:type="dxa"/>
        <w:jc w:val="center"/>
        <w:tblInd w:w="0" w:type="dxa"/>
        <w:tblLayout w:type="fixed"/>
        <w:tblCellMar>
          <w:top w:w="28" w:type="dxa"/>
          <w:left w:w="28" w:type="dxa"/>
          <w:bottom w:w="28" w:type="dxa"/>
          <w:right w:w="28" w:type="dxa"/>
        </w:tblCellMar>
      </w:tblPr>
      <w:tblGrid>
        <w:gridCol w:w="395"/>
        <w:gridCol w:w="347"/>
        <w:gridCol w:w="349"/>
        <w:gridCol w:w="109"/>
        <w:gridCol w:w="109"/>
        <w:gridCol w:w="109"/>
        <w:gridCol w:w="207"/>
        <w:gridCol w:w="683"/>
        <w:gridCol w:w="115"/>
        <w:gridCol w:w="109"/>
        <w:gridCol w:w="109"/>
        <w:gridCol w:w="109"/>
        <w:gridCol w:w="227"/>
        <w:gridCol w:w="471"/>
        <w:gridCol w:w="128"/>
        <w:gridCol w:w="109"/>
        <w:gridCol w:w="109"/>
        <w:gridCol w:w="109"/>
        <w:gridCol w:w="227"/>
        <w:gridCol w:w="647"/>
        <w:gridCol w:w="127"/>
        <w:gridCol w:w="109"/>
        <w:gridCol w:w="109"/>
        <w:gridCol w:w="109"/>
        <w:gridCol w:w="239"/>
        <w:gridCol w:w="496"/>
        <w:gridCol w:w="134"/>
        <w:gridCol w:w="109"/>
        <w:gridCol w:w="109"/>
        <w:gridCol w:w="109"/>
        <w:gridCol w:w="240"/>
        <w:gridCol w:w="497"/>
        <w:gridCol w:w="134"/>
        <w:gridCol w:w="109"/>
        <w:gridCol w:w="109"/>
        <w:gridCol w:w="109"/>
        <w:gridCol w:w="207"/>
        <w:gridCol w:w="685"/>
        <w:gridCol w:w="115"/>
        <w:gridCol w:w="109"/>
        <w:gridCol w:w="109"/>
        <w:gridCol w:w="109"/>
        <w:gridCol w:w="266"/>
        <w:gridCol w:w="758"/>
        <w:gridCol w:w="22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September 30, 2024</w:t>
            </w:r>
          </w:p>
        </w:tc>
      </w:tr>
      <w:tr>
        <w:trPr/>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87,598 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Financial Instruments Not Measured at Fair Value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financial assets and liabilities not carried at fair value on a recurring basis as of September 30, 2025:</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w:t>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3,098,666 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3,098,666 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1,266,106 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1,266,106 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2,545,715 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2,545,715 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7,896,158 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7,896,158 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770,641 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7,125,517 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2,039,490 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2,086,763 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1,230,845 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1,230,845 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7,759,304 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7,809,586 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7,809,586 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cash collateral and deposits, and interest and dividends receivables.</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deposits, interest and dividends payable.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financial assets and liabilities not carried at fair value on a recurring basis as of December 31, 2024:</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5,423,246 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925,112 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4,498,134 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1,788,719 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6,336,730 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6,384,982 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6,384,982 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cash collateral and deposits, and interest and dividends receivables.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deposits, interest and dividends payable.</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Offsetting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gross and net presentation of certain financial assets and financial liabilities as of September 30, 2025 and December 31, 2024:</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3"/>
        <w:gridCol w:w="822"/>
        <w:gridCol w:w="118"/>
        <w:gridCol w:w="109"/>
        <w:gridCol w:w="109"/>
        <w:gridCol w:w="109"/>
        <w:gridCol w:w="216"/>
        <w:gridCol w:w="959"/>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3,098,666 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3,098,666 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(3,005,737)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1,266,106 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(1,265,955)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4,556,179 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(176,877)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4,379,302 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(4,271,692)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56,907 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49"/>
        <w:gridCol w:w="356"/>
        <w:gridCol w:w="358"/>
        <w:gridCol w:w="109"/>
        <w:gridCol w:w="109"/>
        <w:gridCol w:w="109"/>
        <w:gridCol w:w="206"/>
        <w:gridCol w:w="919"/>
        <w:gridCol w:w="116"/>
        <w:gridCol w:w="109"/>
        <w:gridCol w:w="109"/>
        <w:gridCol w:w="109"/>
        <w:gridCol w:w="208"/>
        <w:gridCol w:w="803"/>
        <w:gridCol w:w="115"/>
        <w:gridCol w:w="109"/>
        <w:gridCol w:w="109"/>
        <w:gridCol w:w="109"/>
        <w:gridCol w:w="211"/>
        <w:gridCol w:w="938"/>
        <w:gridCol w:w="117"/>
        <w:gridCol w:w="109"/>
        <w:gridCol w:w="109"/>
        <w:gridCol w:w="109"/>
        <w:gridCol w:w="200"/>
        <w:gridCol w:w="906"/>
        <w:gridCol w:w="111"/>
        <w:gridCol w:w="111"/>
        <w:gridCol w:w="111"/>
        <w:gridCol w:w="111"/>
        <w:gridCol w:w="344"/>
        <w:gridCol w:w="680"/>
        <w:gridCol w:w="111"/>
        <w:gridCol w:w="109"/>
        <w:gridCol w:w="109"/>
        <w:gridCol w:w="109"/>
        <w:gridCol w:w="233"/>
        <w:gridCol w:w="663"/>
        <w:gridCol w:w="193"/>
      </w:tblGrid>
      <w:tr>
        <w:trPr/>
        <w:tc>
          <w:tcPr>
            <w:tcW w:w="4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 </w:t>
            </w:r>
          </w:p>
        </w:tc>
      </w:tr>
      <w:tr>
        <w:trPr/>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(2,920,745)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(1,276,514)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4,441,350 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(179,073)</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4,262,277 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(4,197,259)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(55,025)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3"/>
        <w:gridCol w:w="822"/>
        <w:gridCol w:w="118"/>
        <w:gridCol w:w="109"/>
        <w:gridCol w:w="109"/>
        <w:gridCol w:w="109"/>
        <w:gridCol w:w="216"/>
        <w:gridCol w:w="959"/>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(2,222,054)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(983,753)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4,050,863 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3,373,958 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(3,205,807)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(94,732)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73,419 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1"/>
        <w:gridCol w:w="358"/>
        <w:gridCol w:w="360"/>
        <w:gridCol w:w="109"/>
        <w:gridCol w:w="109"/>
        <w:gridCol w:w="109"/>
        <w:gridCol w:w="206"/>
        <w:gridCol w:w="922"/>
        <w:gridCol w:w="116"/>
        <w:gridCol w:w="109"/>
        <w:gridCol w:w="109"/>
        <w:gridCol w:w="109"/>
        <w:gridCol w:w="210"/>
        <w:gridCol w:w="811"/>
        <w:gridCol w:w="116"/>
        <w:gridCol w:w="109"/>
        <w:gridCol w:w="109"/>
        <w:gridCol w:w="109"/>
        <w:gridCol w:w="213"/>
        <w:gridCol w:w="948"/>
        <w:gridCol w:w="118"/>
        <w:gridCol w:w="109"/>
        <w:gridCol w:w="109"/>
        <w:gridCol w:w="109"/>
        <w:gridCol w:w="200"/>
        <w:gridCol w:w="909"/>
        <w:gridCol w:w="111"/>
        <w:gridCol w:w="111"/>
        <w:gridCol w:w="111"/>
        <w:gridCol w:w="111"/>
        <w:gridCol w:w="344"/>
        <w:gridCol w:w="684"/>
        <w:gridCol w:w="112"/>
        <w:gridCol w:w="109"/>
        <w:gridCol w:w="109"/>
        <w:gridCol w:w="109"/>
        <w:gridCol w:w="203"/>
        <w:gridCol w:w="671"/>
        <w:gridCol w:w="174"/>
      </w:tblGrid>
      <w:tr>
        <w:trPr/>
        <w:tc>
          <w:tcPr>
            <w:tcW w:w="4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(2,375,372)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(1,271,573)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4,393,356 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3,711,478 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(3,646,945)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obligations for securities sold under agreements to repurchase and for securities lending transactions by remaining contractual maturity and the class of collateral pledged as of September 30, 2025 and December 31,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2,973,523 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Digital Assets Held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Digital assets held at September 30, 2025 and December 31, 2024:</w:t>
      </w:r>
    </w:p>
    <w:tbl>
      <w:tblPr>
        <w:tblW w:w="8141"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480"/>
        <w:gridCol w:w="481"/>
        <w:gridCol w:w="161"/>
        <w:gridCol w:w="109"/>
        <w:gridCol w:w="109"/>
        <w:gridCol w:w="109"/>
        <w:gridCol w:w="196"/>
        <w:gridCol w:w="736"/>
        <w:gridCol w:w="109"/>
        <w:gridCol w:w="109"/>
        <w:gridCol w:w="109"/>
        <w:gridCol w:w="109"/>
        <w:gridCol w:w="196"/>
        <w:gridCol w:w="736"/>
        <w:gridCol w:w="109"/>
        <w:gridCol w:w="109"/>
        <w:gridCol w:w="109"/>
        <w:gridCol w:w="109"/>
        <w:gridCol w:w="304"/>
        <w:gridCol w:w="1002"/>
        <w:gridCol w:w="23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Bitcoin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Ethereum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22,016,849 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Digital assets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82,796 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50.0 million PYTH tokens with a fair value of $7.5 million are subject to selling restrictions. The time-based selling restrictions will unlock annually between 2026 and 2027.</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12. Derivative Instruments</w:t>
      </w:r>
    </w:p>
    <w:p>
      <w:pPr>
        <w:pStyle w:val="TextBody"/>
        <w:bidi w:val="0"/>
        <w:spacing w:before="120" w:after="283"/>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derivative instruments on a gross basis consisted of the following at September 30, 2025 and December 31,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7"/>
        <w:gridCol w:w="720"/>
        <w:gridCol w:w="728"/>
        <w:gridCol w:w="109"/>
        <w:gridCol w:w="109"/>
        <w:gridCol w:w="109"/>
        <w:gridCol w:w="776"/>
        <w:gridCol w:w="577"/>
        <w:gridCol w:w="579"/>
        <w:gridCol w:w="109"/>
        <w:gridCol w:w="109"/>
        <w:gridCol w:w="109"/>
        <w:gridCol w:w="201"/>
        <w:gridCol w:w="572"/>
        <w:gridCol w:w="113"/>
        <w:gridCol w:w="109"/>
        <w:gridCol w:w="109"/>
        <w:gridCol w:w="109"/>
        <w:gridCol w:w="196"/>
        <w:gridCol w:w="871"/>
        <w:gridCol w:w="109"/>
        <w:gridCol w:w="109"/>
        <w:gridCol w:w="109"/>
        <w:gridCol w:w="109"/>
        <w:gridCol w:w="234"/>
        <w:gridCol w:w="521"/>
        <w:gridCol w:w="131"/>
        <w:gridCol w:w="109"/>
        <w:gridCol w:w="109"/>
        <w:gridCol w:w="109"/>
        <w:gridCol w:w="196"/>
        <w:gridCol w:w="871"/>
        <w:gridCol w:w="158"/>
      </w:tblGrid>
      <w:tr>
        <w:trPr/>
        <w:tc>
          <w:tcPr>
            <w:tcW w:w="10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2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5,610,161 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5,211,677 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33,226,454 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42,202,047 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2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income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33,225,399 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42,184,501 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included in receivables from and payables to broker-dealers and clearing organizations represent net variation margin on long and short futures contracts as well as amounts receivable or payable on interest rate swaps.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772"/>
        <w:gridCol w:w="679"/>
        <w:gridCol w:w="683"/>
        <w:gridCol w:w="109"/>
        <w:gridCol w:w="109"/>
        <w:gridCol w:w="109"/>
        <w:gridCol w:w="760"/>
        <w:gridCol w:w="580"/>
        <w:gridCol w:w="583"/>
        <w:gridCol w:w="109"/>
        <w:gridCol w:w="109"/>
        <w:gridCol w:w="109"/>
        <w:gridCol w:w="202"/>
        <w:gridCol w:w="704"/>
        <w:gridCol w:w="112"/>
        <w:gridCol w:w="112"/>
        <w:gridCol w:w="112"/>
        <w:gridCol w:w="112"/>
        <w:gridCol w:w="202"/>
        <w:gridCol w:w="762"/>
        <w:gridCol w:w="112"/>
        <w:gridCol w:w="109"/>
        <w:gridCol w:w="109"/>
        <w:gridCol w:w="109"/>
        <w:gridCol w:w="200"/>
        <w:gridCol w:w="752"/>
        <w:gridCol w:w="111"/>
        <w:gridCol w:w="111"/>
        <w:gridCol w:w="111"/>
        <w:gridCol w:w="111"/>
        <w:gridCol w:w="200"/>
        <w:gridCol w:w="752"/>
        <w:gridCol w:w="111"/>
        <w:gridCol w:w="109"/>
        <w:gridCol w:w="169"/>
      </w:tblGrid>
      <w:tr>
        <w:trPr/>
        <w:tc>
          <w:tcPr>
            <w:tcW w:w="7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78" w:type="dxa"/>
            <w:gridSpan w:val="2"/>
            <w:tcBorders/>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on term loans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Terminated interest rate swaps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Company entered into a two-year $1,525 million floating-to-fixed interest rate agreement in December 2023 (the “December 2023 Swap”). The two-year interest rate swap met the criteria to be considered as a qualifying cash flow hedge under ASC 815 as of December 2023, and the mark-to-market gains (losses) on the instrument was deferred within Other comprehensive income on the Condensed Consolidated Statements of Comprehensive Income. In June 2024, the Company partially terminated and dedesignated a portion of our ongoing December 2023 Swap to an updated notional of $1,075 million, and recorded a gain of $5.7 million in Other, net. See Note 9 “Borrowings” for further details.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Company records the amortization of AOCI balances related to its previously terminated interest rate swaps in Financing interest expense on long-term borrowings on the Condensed Consolidated Statements of Comprehensive Income. See Note 9 “Borrowings” for further details on the terminated swaps.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Variable Interest Entities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interest in a joint venture (“JV”) that builds and maintains communication networks and related assets globally. The Company and its JV partners each pay monthly fees for the use of the communication networks in connection with their respective trading activities, and the JV may sell excess bandwidth that is not utilized by the JV members to third parties. As of September 30, 2025, the Company held a noncontrolling interest of 50.0% in the JV.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held a noncontrolling interest of 12.5% in another JV that also builds and maintains communication networks and related assets and followed a similar fee arrangement. As of September 1, 2024, the Company had disposed of its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offers derivatives trading technology and execution services to broker-dealers, professional traders and select hedge funds. As of September 30, 2025, the Company held approximately a 9.8%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operates a member-owned equities exchange with the goal of increasing competition and transparency, while reducing fixed costs and simplifying execution of equity trading in the U.S. As of September 30, 2025, the Company held approximately a 12.9% noncontrolling interest in this JV.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was formed for the purpose of developing and operating a cryptocurrency trading platform with the goal of increasing competition and transparency, while improving trading performance and reducing operational risk. As of September 30, 2025, the Company held approximately a 8.0% noncontrolling interest in this JV.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JVs noted above meet the criteria to be considered VIEs, which it does not consolidate. The Company records its interest in the JVs under the equity method of accounting and records its investment in the JVs within Other assets and its amounts payable for communication services provided by the telecommunication JVs within Accounts payable, accrued expenses and other liabilities on the Statements of Financial Condition as applicable.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exposure to the obligations of these VIEs is generally limited to its interests in each respective JV, which is the carrying value of the equity investment in each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nonconsolidated VIEs at September 30, 2025:</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92,019 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nonconsolidated VIEs at December 31, 2024: </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66,970 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formed a JV to support the growth and expansion of a multi-asset request-for-quote communication platform in 2022. Upon the formation of the JV, the Company held a 51% controlling interest. The JV met the criteria to be considered a VIE, and based on the standard for control set forth above, the Company consolidated this entity and recorded the interest that the Company did not own as noncontrolling interest in the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an agreement to sell a 49% interest in the multi-asset request-for-quote communication platform JV. The sale was completed on May 9, 2025. Upon the closing of the sale, the Company retains a minority interest of approximately 2% in RFQ-hub. The Company ceased to control, and deconsolidated, RFQ-hub at such time. See Note 3 “Sale of RFQ-hub” for further details.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14. Revenues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on revenue recognition and the nature of services provided, see Note 2 "Summary of Significant Accounting Policies" and Note 13 "Revenues from Contracts with Customers" to the Consolidated Financial Statements of the Company's 2024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contracts with customers disaggregated by service, and timing of revenue recognition, reconciled to the Company’s segments, for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tbl>
      <w:tblPr>
        <w:tblW w:w="9174"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8"/>
        <w:gridCol w:w="562"/>
        <w:gridCol w:w="111"/>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144,662 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74"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8"/>
        <w:gridCol w:w="562"/>
        <w:gridCol w:w="111"/>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118,900 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563,939 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576,660 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125,727 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576,660 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125,727 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8"/>
        <w:gridCol w:w="562"/>
        <w:gridCol w:w="11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418,102 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2,104,235 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455,488 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2,607,717 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2,145,782 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8"/>
        <w:gridCol w:w="562"/>
        <w:gridCol w:w="11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245,972 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347,130 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1,638,247 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1,667,450 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370,575 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2,042,664 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316,790 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1,667,450 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370,575 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2,042,664 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 and Revenue Recognized from Past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2024, the aggregate amount of the transaction price allocated to the performance obligations relating to workflow technology and analytics revenues that are unsatisfied (or partially unsatisfied) was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related to revenues from contracts with customers amounted to $62.4 million and $62.1 million as of September 30, 2025 and December 31, 2024, respectively. The Company did not identify any contract assets. There were no impairment losses on receivables as of September 30,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Deferred revenue primarily relates to deferred commissions allocated to analytics products and subscription fees billed in advance of satisfying the performance obligations. Deferred revenue related to contracts with customers was $9.4 million and $8.1 million as of September 30, 2025 and December 31, 2024, respectively. The Company recognized the full amount of revenue </w:t>
      </w:r>
      <w:r>
        <w:rPr>
          <w:rFonts w:ascii="Times New Roman;serif" w:hAnsi="Times New Roman;serif"/>
          <w:b w:val="false"/>
          <w:color w:val="000000"/>
          <w:sz w:val="20"/>
          <w:shd w:fill="FFFFFF" w:val="clear"/>
        </w:rPr>
        <w:t xml:space="preserve">during the nine months ended September 30, 2025 and 2024, </w:t>
      </w:r>
      <w:r>
        <w:rPr>
          <w:rFonts w:ascii="Times New Roman;serif" w:hAnsi="Times New Roman;serif"/>
          <w:b w:val="false"/>
          <w:color w:val="000000"/>
          <w:sz w:val="20"/>
        </w:rPr>
        <w:t>that had been recorded as deferred revenue in the respective prior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not identified any costs to obtain or fulfill its contracts under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Company is subject to U.S. federal, state and local income tax at the rate applicable to corporations for the share of income that is not attributable to the noncontrolling interest in Virtu Financial. These noncontrolling interests are subject to U.S. taxation at the partner level. Accordingly, for the three and nine months ended September 30, 2025 and 2024,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$30.9 million, and 17.2%, and $28.1 million, and 19.1%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September 30, 2025 and 2024, respectively, and $119.1 million, and 15.9%, and $83.9 million, and 19.0% for the nine months ended September 30, 2025 and 2024, respectively. Income tax expense is also affected by the differing effective tax rates in foreign, state and local jurisdictions where certain of the Company’s subsidiaries are subject to corporate taxation.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in Other assets on the Condensed Consolidated Statements of Financial Condition at September 30, 2025 and December 31, 2024 are current income tax receivables of $31.5 million and $13.2 million, respectively. The balances at September 30, 2025 and December 31, 2024 primarily comprised prepayments of income tax and income tax benefits due to the Company from federal, state, local, and foreign tax jurisdictions based on income before taxes. Included in Accounts payable, accrued expenses and other liabilities on the Condensed Consolidated Statements of Financial Condition at September 30, 2025 and December 31, 2024 are current tax liabilities of $40.4 million and $22.5 million, respectively. The balances at September 30, 2025 and December 31, 2024 primarily comprise income taxes owed to federal, state and local, and foreign tax jurisdictions based on income before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arise primarily due to the amortization of the deferred tax assets recognized in connection with the IPO (see Note 5 “Tax Receivable Agreements”), differences in the valuation of financial assets and liabilities, and other temporary differences arising from the deductibility of compensation, depreciation, and other expenses in different time periods for book and income tax return purposes.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September 30, 2025 and December 31, 2024, the Company did not have any U.S. federal, state or local net operating loss carryforwards and therefore the Company did not record a deferred tax asset related to any federal net operating loss carryforwards.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non-U.S. net operating losses at September 30, 2025 and December 31, 2024, of $48.2 million and $58.2 million, respectively, and has recorded related deferred tax assets of $8.4 million and $10.3 million, respectively. A full valuation allowance was recorded against these deferred tax assets at September 30, 2025 and December 31, 2024 as it is more likely than not that these deferred tax assets will not be realized. No valuation allowance against the remaining deferred taxes was recorded as of September 30, 2025 and December 31, 2024 because it is more likely than not that these deferred tax assets will be fully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taxation in U.S. federal, state, local and foreign jurisdictions. As of September 30, 2025, the Company’s tax years for 2015 through 2024 and 2017 through 2023 are subject to examination by U.S. and non-U.S. tax authorities, respectively. In addition, the Company is subject to state and local income tax examinations in various jurisdictions for the tax years 2013 through 2024. The final outcome of these examinations is not yet determinable. However, the Company anticipates that adjustments related to these examinations, if any, will not result in a material change to its financial condition, results of operations and cash flows.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$23.7 million of unrecognized tax benefits as of September 30, 2025, all of which would affect the Company’s effective tax rate if recognized. The Company has determined that there are no uncertain tax positions that would have a material impact on the Company’s financial position as of September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Public Law No. 119-21, commonly referred to as the One Big Beautiful Bill Act (“OBBB”), was signed into law on July 4, 2025. The OBBB, amongst other things, extends permanently, with modifications, certain tax provisions enacted as part of Public Law No. 115-97, commonly referred to as The Tax Cuts and Jobs Act (“TCJA”). Based on the Company’s current analysis of the provisions, the Company does not expect these tax law changes to have a material impact on the Company’s Condensed Consolidated Financial Statements and related disclosures; however, the Company will continue to evaluate their impact as further information becomes available.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16. Commitments,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and Regulatory Proceedings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in prior regulatory filings, the U.S. Securities and Exchange Commission (“SEC”) undertook an investigation of aspects of the Company’s internal information access barriers. The Company cooperated with this civil investigation and engaged in settlement discussions but was unable to reach a settlement. In September 2023, the SEC filed an action against the Company in federal court in the Southern District of New York, alleging violations of federal securities laws with respect to the Company’s information barriers policies and procedures for a specified time period in and around January 2018 to April 2019 and related statements made by the Company during such period. The Company believes it has meritorious defenses and has been defending itself vigorously. Specifically, the Company has asserted,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 In June 2025, the Company reached an agreement in principle to settle the matter with the SEC’s Enforcement Staff. The terms of the anticipated settlement, which is subject to SEC Commission approval and certain other conditions, are not expected to have a material impact on the Company or its business. The Company anticipates that the agreement will be finalized following the reopening of the federal government. The parties previously jointly sought and obtained a stay of proceedings in connection with the finalization of the settlement which remains in effect.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matters related to the SEC investigation noted above, the Company and certain of its current and former executive officers were named as defendants on May 19, 2023 in </w:t>
      </w:r>
      <w:r>
        <w:rPr>
          <w:rFonts w:ascii="Times New Roman;serif" w:hAnsi="Times New Roman;serif"/>
          <w:b w:val="false"/>
          <w:i/>
          <w:color w:val="000000"/>
          <w:sz w:val="20"/>
        </w:rPr>
        <w:t xml:space="preserve">Hiebert v. Virtu Financial, Inc., </w:t>
      </w:r>
      <w:r>
        <w:rPr>
          <w:rFonts w:ascii="Times New Roman;serif" w:hAnsi="Times New Roman;serif"/>
          <w:b w:val="false"/>
          <w:color w:val="000000"/>
          <w:sz w:val="20"/>
        </w:rPr>
        <w:t>No. 23-cv-03770 and on October 31, 2023 in</w:t>
      </w:r>
      <w:r>
        <w:rPr>
          <w:color w:val="000000"/>
        </w:rPr>
        <w:t xml:space="preserve"> </w:t>
      </w:r>
      <w:r>
        <w:rPr>
          <w:rFonts w:ascii="Times New Roman;serif" w:hAnsi="Times New Roman;serif"/>
          <w:b w:val="false"/>
          <w:i/>
          <w:color w:val="000000"/>
          <w:sz w:val="20"/>
        </w:rPr>
        <w:t xml:space="preserve">City of Birmingham Retirement and Relief System v. Virtu Financial, Inc., </w:t>
      </w:r>
      <w:r>
        <w:rPr>
          <w:rFonts w:ascii="Times New Roman;serif" w:hAnsi="Times New Roman;serif"/>
          <w:b w:val="false"/>
          <w:color w:val="000000"/>
          <w:sz w:val="20"/>
        </w:rPr>
        <w:t xml:space="preserve">No. 23-cv-08123. The complaints were each filed by purported stockholders in the Eastern District of New York on behalf of a putative class and assert that the Company made materially false and misleading statements and omissions in its public filings in violation of federal securities laws. The complaints were subsequently consolidated and recaptioned in </w:t>
      </w:r>
      <w:r>
        <w:rPr>
          <w:rFonts w:ascii="Times New Roman;serif" w:hAnsi="Times New Roman;serif"/>
          <w:b w:val="false"/>
          <w:i/>
          <w:color w:val="000000"/>
          <w:sz w:val="20"/>
        </w:rPr>
        <w:t>re Virtu Financial, Inc. Securities Litigation</w:t>
      </w:r>
      <w:r>
        <w:rPr>
          <w:rFonts w:ascii="Times New Roman;serif" w:hAnsi="Times New Roman;serif"/>
          <w:b w:val="false"/>
          <w:color w:val="000000"/>
          <w:sz w:val="20"/>
        </w:rPr>
        <w:t xml:space="preserve">, No. 23-cv-03770. The Company believes it has meritorious defenses against claims that its public disclosures were inadequate or misleading. The Company maintains that such disclosures were true and accurate and compliant with applicable law and is defending itself vigorously. The Company also has received requests for information related to the SEC investigation pursuant to Section 220 of the Delaware General Corporation Law from counsel for purported stockholders. On March 26, 2025, members of the Company’s Board of Directors and certain current and former executives were named in a derivative complaint in </w:t>
      </w:r>
      <w:r>
        <w:rPr>
          <w:rFonts w:ascii="Times New Roman;serif" w:hAnsi="Times New Roman;serif"/>
          <w:b w:val="false"/>
          <w:i/>
          <w:color w:val="000000"/>
          <w:sz w:val="20"/>
        </w:rPr>
        <w:t>Adams v. Viola et al.</w:t>
      </w:r>
      <w:r>
        <w:rPr>
          <w:rFonts w:ascii="Times New Roman;serif" w:hAnsi="Times New Roman;serif"/>
          <w:b w:val="false"/>
          <w:color w:val="000000"/>
          <w:sz w:val="20"/>
        </w:rPr>
        <w:t xml:space="preserve">, No. 1:25-cv-1688 filed on behalf of the Company in the Eastern District of New York in which it is asserted that the defendants breached fiduciary duties to the Company related to the FS matter. A similar derivative complaint was filed on April 9, 2025 in </w:t>
      </w:r>
      <w:r>
        <w:rPr>
          <w:rFonts w:ascii="Times New Roman;serif" w:hAnsi="Times New Roman;serif"/>
          <w:b w:val="false"/>
          <w:i/>
          <w:color w:val="000000"/>
          <w:sz w:val="20"/>
        </w:rPr>
        <w:t>Deisz v. Viola et al.</w:t>
      </w:r>
      <w:r>
        <w:rPr>
          <w:rFonts w:ascii="Times New Roman;serif" w:hAnsi="Times New Roman;serif"/>
          <w:b w:val="false"/>
          <w:color w:val="000000"/>
          <w:sz w:val="20"/>
        </w:rPr>
        <w:t xml:space="preserve">, 25-CV-1958 in the Eastern District of New York against current and former members of the Board of Directors and executives. The derivative complaints were subsequently consolidated and recaptioned </w:t>
      </w:r>
      <w:r>
        <w:rPr>
          <w:rFonts w:ascii="Times New Roman;serif" w:hAnsi="Times New Roman;serif"/>
          <w:b w:val="false"/>
          <w:i/>
          <w:color w:val="000000"/>
          <w:sz w:val="20"/>
        </w:rPr>
        <w:t>In re Virtu Financial Inc. Derivative Litigation</w:t>
      </w:r>
      <w:r>
        <w:rPr>
          <w:rFonts w:ascii="Times New Roman;serif" w:hAnsi="Times New Roman;serif"/>
          <w:b w:val="false"/>
          <w:color w:val="000000"/>
          <w:sz w:val="20"/>
        </w:rPr>
        <w:t>. The defendants deny that they breached any fiduciary duties related to the FS matter and are defending themselves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November 30, 2020, the Company was named as a defendant in </w:t>
      </w:r>
      <w:r>
        <w:rPr>
          <w:rFonts w:ascii="Times New Roman;serif" w:hAnsi="Times New Roman;serif"/>
          <w:b w:val="false"/>
          <w:i/>
          <w:color w:val="000000"/>
          <w:sz w:val="20"/>
        </w:rPr>
        <w:t>In re United States Oil Fund, LP Securities Litigation</w:t>
      </w:r>
      <w:r>
        <w:rPr>
          <w:rFonts w:ascii="Times New Roman;serif" w:hAnsi="Times New Roman;serif"/>
          <w:b w:val="false"/>
          <w:color w:val="000000"/>
          <w:sz w:val="20"/>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was granted on September 29, 2025. On October 21, 2025, the plaintiffs were granted an extension to November 26, 2025 of the deadline to file a proposed second amended complaint and a motion to amend. The Company believes that the claims are without merit and plans to continue defending itself vigorously if necessary.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March 7, 2022, the Company was named as a defendant in </w:t>
      </w:r>
      <w:r>
        <w:rPr>
          <w:rFonts w:ascii="Times New Roman;serif" w:hAnsi="Times New Roman;serif"/>
          <w:b w:val="false"/>
          <w:i/>
          <w:color w:val="000000"/>
          <w:sz w:val="20"/>
        </w:rPr>
        <w:t>Iron Workers Local No. 55 Pension Fund v. Virtu Financial, Inc.</w:t>
      </w:r>
      <w:r>
        <w:rPr>
          <w:rFonts w:ascii="Times New Roman;serif" w:hAnsi="Times New Roman;serif"/>
          <w:b w:val="false"/>
          <w:color w:val="000000"/>
          <w:sz w:val="20"/>
        </w:rPr>
        <w:t>, No. 2022-0211-PAF pending in the Court of Chancery of the State of Delaware. The complaint, filed by a purported stockholder, seeks to compel the inspection of certain Company books and records pursuant to Section 220 of the Delaware General Corporation Law. The complaint (the “220 Complaint”) alleged that the stockholder sought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made substantial productions of documents and other information in response to plaintiff's requests. In January 2025, the plaintiff voluntarily dismissed the 220 Complaint and filed a complaint in the Court of Chancery of the State of Delaware naming the Company and its directors, officers, and controlling stockholder as defendants, alleging breaches of fiduciary duties which purportedly have caused harm to holders of the Company’s Class A common stock. The Company believes the allegations are without merit and intends to defend against them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October 17, 2022, the Company’s subsidiary, along with several other parties, was named as a defendant in </w:t>
      </w:r>
      <w:r>
        <w:rPr>
          <w:rFonts w:ascii="Times New Roman;serif" w:hAnsi="Times New Roman;serif"/>
          <w:b w:val="false"/>
          <w:i/>
          <w:color w:val="000000"/>
          <w:sz w:val="20"/>
        </w:rPr>
        <w:t>Mallinckrodt PLC, et al. (Reorganized Debtors); Opioid Master Disbursement Trust II v. Argos Capital Appreciation Master Fund LP et al</w:t>
      </w:r>
      <w:r>
        <w:rPr>
          <w:color w:val="000000"/>
        </w:rPr>
        <w:t xml:space="preserve"> </w:t>
      </w:r>
      <w:r>
        <w:rPr>
          <w:rFonts w:ascii="Times New Roman;serif" w:hAnsi="Times New Roman;serif"/>
          <w:b w:val="false"/>
          <w:color w:val="000000"/>
          <w:sz w:val="20"/>
        </w:rPr>
        <w:t>No. 20-12522. The complaint alleges that Mallinckrodt PLC engaged in a share repurchase program from 2015 through 2018 pursuant to which it repurchased its own shares in various open market transactions, a period during which it was allegedly insolvent. The debtor plaintiff is seeking to unwind the transactions consummated under the program, alleging such transactions constituted fraudulent transfers by the debtor. The Company believes it has meritorious defenses against any unwinding of transactions, and the court granted its motion to dismiss in March 2025. The debtor plaintiff is appealing the dismissal as of April 2025. The Company will continue to defend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December 1, 2022, the Company’s subsidiary, along with several other parties, was named as a defendant in N</w:t>
      </w:r>
      <w:r>
        <w:rPr>
          <w:rFonts w:ascii="Times New Roman;serif" w:hAnsi="Times New Roman;serif"/>
          <w:b w:val="false"/>
          <w:i/>
          <w:color w:val="000000"/>
          <w:sz w:val="20"/>
        </w:rPr>
        <w:t xml:space="preserve">orthwest Biotherapeutics, Inc. v. Canaccord Genuity LLC, et al </w:t>
      </w:r>
      <w:r>
        <w:rPr>
          <w:rFonts w:ascii="Times New Roman;serif" w:hAnsi="Times New Roman;serif"/>
          <w:b w:val="false"/>
          <w:color w:val="000000"/>
          <w:sz w:val="20"/>
        </w:rPr>
        <w:t>No. 1:22-cv-10185. The initial complaint alleged that defendants engaged in market manipulation in the plaintiff’s stock during a 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On March 27, 2025, the district court partially granted the defendants’ motion to dismiss. The Company believes that the claims are without merit and continues to defend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October 7, 2024, the Company and its 50% owned subsidiary, NLN Holdings, LLC, along with several other defendants, were named in a lawsuit brought by Skywave Networks, LLC in the United States District Court for the Northern District of Illinois, </w:t>
      </w:r>
      <w:r>
        <w:rPr>
          <w:rFonts w:ascii="Times New Roman;serif" w:hAnsi="Times New Roman;serif"/>
          <w:b w:val="false"/>
          <w:i/>
          <w:color w:val="000000"/>
          <w:sz w:val="20"/>
        </w:rPr>
        <w:t>Skywave Networks, LLC v. DiSomma, et al.,</w:t>
      </w:r>
      <w:r>
        <w:rPr>
          <w:color w:val="000000"/>
        </w:rPr>
        <w:t xml:space="preserve"> </w:t>
      </w:r>
      <w:r>
        <w:rPr>
          <w:rFonts w:ascii="Times New Roman;serif" w:hAnsi="Times New Roman;serif"/>
          <w:b w:val="false"/>
          <w:color w:val="000000"/>
          <w:sz w:val="20"/>
        </w:rPr>
        <w:t>1:24-cv-09650 (N.D.Ill.). The complaint alleges that defendants engaged in violations of federal law, 18 U.S.C. sec. 1962, in connection with the application for and utilization of various licenses issued by the Federal Communications Commission, purportedly harming plaintiffs’ attempts to offer certain network communications capacity on a commercial basis. The complaint does not specify any amount of alleged damages. On February 13, 2025, the plaintiffs filed a First Amended Complaint which does not specify any amount of alleged damages. The Company believes that the claims are without merit and intends to defend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Legal and Regulatory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In 2022 and 2023, the SEC under the prior administration proposed several rule changes focused on equity market structure reform, certain of which have been adopted, while others remain pending while others have been withdrawn. The SEC has recently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infostructure rule proposals”) which have a compliance date commencing in November 2025, though on October 14, 2025, the D.C. Circuit denied the exchanges legal challenge to the SEC’s access fee caps rulemaking and the SEC has stated that it may extend the November 2025 compliance date, (ii) adopted amendments to Rule 605 of Regulation NMS, which had an initial compliance date on or about December 15, 2025 which has been postponed until August 1, 2026, and (iii) approved a funding model submitted by several exchanges in relation to the Consolidated Audit Trail (CAT) which provided for fee collection commencing in November 2024 but in a decision by the 11th Circuit Court of Appeals, dated July 25, 2025, the Court vacated the funding model and remanded the matter to the SEC for further proceedings and stayed judgment for sixty days.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of 2025, under Chair Atkins, the SEC withdrew the following previously pending proposals: (i) Proposed Rule 615 of Regulation NMS (i.e., the Order Competition Rule), (ii) Regulation Best Execution, (iii) a series of amendments to the definition of Exchange and Alternative Trading Systems (ATS), (iv) proposed amendments to expand and update Regulation Systems Compliance and Integrity (SCI), and (v) a proposal to restrict volume based tiered pricing by equity exchanges in certain cases. Further, on April 23, 2024, the Federal Trade Commission (FTC) announced a final rule banning most non-compete clauses in employer-employee contracts. The final rule was scheduled to become effective on September 4, 2024, but it was enjoined by a federal district court in September 2024 on the grounds that the rule exceeds the FTC’s authority. On September 5, 2025, the FTC took steps to dismiss its appeal and accede to a vacatur of the non-compete ban rule. Other recent developments in law and regulation relating to digital assets and cryptocurrency include the adoption of the Guiding and Establishing National innovation for U.S. Stablecoins Act (the “GENIUS Act”) and the proposal of the Digital Asset Market Clarity Act (the “CLARITY Act”) and the “Responsible Financial Innovation Act of 2025” in the United States, and the adoption of the Markets in Crypto-Assets Regulation (MiCAR) in the EU. These remaining pending or potential rule changes in law, rule or regulation, to the extent adopted, along with those that have recently been adopted, could adversely affect the Company’s business or the Company’s industry, though may also have positive impacts.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2024.</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Representations and Warranties; Indemnification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such exposure could relate to claims not yet brought or events which have not yet occurred.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primarily enters into lessee arrangements for corporate office space, data centers, and technology equipment. For more information on lease accounting, see Note 2 “Summary of Significant Accounting Policies” and Note 16 “Leases” to the Consolidated Financial Statements of the Company’s 2024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assets and liabilities are summarized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67"/>
        <w:gridCol w:w="753"/>
        <w:gridCol w:w="755"/>
        <w:gridCol w:w="109"/>
        <w:gridCol w:w="109"/>
        <w:gridCol w:w="109"/>
        <w:gridCol w:w="1276"/>
        <w:gridCol w:w="1270"/>
        <w:gridCol w:w="1276"/>
        <w:gridCol w:w="109"/>
        <w:gridCol w:w="109"/>
        <w:gridCol w:w="109"/>
        <w:gridCol w:w="284"/>
        <w:gridCol w:w="1068"/>
        <w:gridCol w:w="157"/>
        <w:gridCol w:w="109"/>
        <w:gridCol w:w="109"/>
        <w:gridCol w:w="109"/>
        <w:gridCol w:w="273"/>
        <w:gridCol w:w="1025"/>
        <w:gridCol w:w="220"/>
      </w:tblGrid>
      <w:tr>
        <w:trPr/>
        <w:tc>
          <w:tcPr>
            <w:tcW w:w="86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and discount rate are as follows:</w:t>
      </w:r>
    </w:p>
    <w:p>
      <w:pPr>
        <w:pStyle w:val="TextBody"/>
        <w:bidi w:val="0"/>
        <w:spacing w:before="0" w:after="0"/>
        <w:ind w:left="0" w:right="0" w:firstLine="720"/>
        <w:jc w:val="center"/>
        <w:rPr/>
      </w:pPr>
      <w:r>
        <w:rPr/>
      </w:r>
    </w:p>
    <w:tbl>
      <w:tblPr>
        <w:tblW w:w="6592" w:type="dxa"/>
        <w:jc w:val="center"/>
        <w:tblInd w:w="0" w:type="dxa"/>
        <w:tblLayout w:type="fixed"/>
        <w:tblCellMar>
          <w:top w:w="28" w:type="dxa"/>
          <w:left w:w="28" w:type="dxa"/>
          <w:bottom w:w="28" w:type="dxa"/>
          <w:right w:w="28" w:type="dxa"/>
        </w:tblCellMar>
      </w:tblPr>
      <w:tblGrid>
        <w:gridCol w:w="1032"/>
        <w:gridCol w:w="907"/>
        <w:gridCol w:w="911"/>
        <w:gridCol w:w="109"/>
        <w:gridCol w:w="109"/>
        <w:gridCol w:w="109"/>
        <w:gridCol w:w="365"/>
        <w:gridCol w:w="365"/>
        <w:gridCol w:w="814"/>
        <w:gridCol w:w="109"/>
        <w:gridCol w:w="109"/>
        <w:gridCol w:w="109"/>
        <w:gridCol w:w="333"/>
        <w:gridCol w:w="333"/>
        <w:gridCol w:w="87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years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years</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p>
      <w:pPr>
        <w:pStyle w:val="TextBody"/>
        <w:bidi w:val="0"/>
        <w:spacing w:before="0" w:after="0"/>
        <w:ind w:left="0" w:right="0" w:firstLine="720"/>
        <w:jc w:val="left"/>
        <w:rPr/>
      </w:pPr>
      <w:r>
        <w:rPr/>
      </w:r>
    </w:p>
    <w:tbl>
      <w:tblPr>
        <w:tblW w:w="8215" w:type="dxa"/>
        <w:jc w:val="center"/>
        <w:tblInd w:w="0" w:type="dxa"/>
        <w:tblLayout w:type="fixed"/>
        <w:tblCellMar>
          <w:top w:w="28" w:type="dxa"/>
          <w:left w:w="28" w:type="dxa"/>
          <w:bottom w:w="28" w:type="dxa"/>
          <w:right w:w="28" w:type="dxa"/>
        </w:tblCellMar>
      </w:tblPr>
      <w:tblGrid>
        <w:gridCol w:w="733"/>
        <w:gridCol w:w="644"/>
        <w:gridCol w:w="648"/>
        <w:gridCol w:w="109"/>
        <w:gridCol w:w="109"/>
        <w:gridCol w:w="109"/>
        <w:gridCol w:w="236"/>
        <w:gridCol w:w="778"/>
        <w:gridCol w:w="131"/>
        <w:gridCol w:w="131"/>
        <w:gridCol w:w="131"/>
        <w:gridCol w:w="131"/>
        <w:gridCol w:w="236"/>
        <w:gridCol w:w="778"/>
        <w:gridCol w:w="131"/>
        <w:gridCol w:w="109"/>
        <w:gridCol w:w="109"/>
        <w:gridCol w:w="109"/>
        <w:gridCol w:w="228"/>
        <w:gridCol w:w="752"/>
        <w:gridCol w:w="126"/>
        <w:gridCol w:w="126"/>
        <w:gridCol w:w="126"/>
        <w:gridCol w:w="126"/>
        <w:gridCol w:w="228"/>
        <w:gridCol w:w="752"/>
        <w:gridCol w:w="126"/>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57,497 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in connection with the finalization of an agreement related to the restoration requirements for certain leased office spaces, the Company recorded a reduction of $6.5 million in its asset retirement obligations and the related cost within Termination of office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and finance leases with non-cancelable lease terms, as of September 30, 2025, are as follows:</w:t>
      </w:r>
    </w:p>
    <w:p>
      <w:pPr>
        <w:pStyle w:val="TextBody"/>
        <w:bidi w:val="0"/>
        <w:spacing w:before="0" w:after="0"/>
        <w:jc w:val="left"/>
        <w:rPr/>
      </w:pPr>
      <w:r>
        <w:rPr/>
      </w:r>
    </w:p>
    <w:tbl>
      <w:tblPr>
        <w:tblW w:w="4824" w:type="dxa"/>
        <w:jc w:val="center"/>
        <w:tblInd w:w="0" w:type="dxa"/>
        <w:tblLayout w:type="fixed"/>
        <w:tblCellMar>
          <w:top w:w="28" w:type="dxa"/>
          <w:left w:w="28" w:type="dxa"/>
          <w:bottom w:w="28" w:type="dxa"/>
          <w:right w:w="28" w:type="dxa"/>
        </w:tblCellMar>
      </w:tblPr>
      <w:tblGrid>
        <w:gridCol w:w="570"/>
        <w:gridCol w:w="502"/>
        <w:gridCol w:w="503"/>
        <w:gridCol w:w="109"/>
        <w:gridCol w:w="109"/>
        <w:gridCol w:w="109"/>
        <w:gridCol w:w="257"/>
        <w:gridCol w:w="965"/>
        <w:gridCol w:w="143"/>
        <w:gridCol w:w="109"/>
        <w:gridCol w:w="109"/>
        <w:gridCol w:w="109"/>
        <w:gridCol w:w="242"/>
        <w:gridCol w:w="798"/>
        <w:gridCol w:w="19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220,485 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194,093 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together with restricted or segregated cash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reported within the Condensed Consolidated Statements of Financial Condition to the sum of the same such amounts shown in the Condensed Consolidated Statements of Cash Flows.</w:t>
      </w:r>
    </w:p>
    <w:p>
      <w:pPr>
        <w:pStyle w:val="TextBody"/>
        <w:bidi w:val="0"/>
        <w:spacing w:before="0" w:after="0"/>
        <w:jc w:val="left"/>
        <w:rPr/>
      </w:pPr>
      <w:r>
        <w:rPr/>
      </w:r>
    </w:p>
    <w:tbl>
      <w:tblPr>
        <w:tblW w:w="9683" w:type="dxa"/>
        <w:jc w:val="center"/>
        <w:tblInd w:w="0" w:type="dxa"/>
        <w:tblLayout w:type="fixed"/>
        <w:tblCellMar>
          <w:top w:w="28" w:type="dxa"/>
          <w:left w:w="28" w:type="dxa"/>
          <w:bottom w:w="28" w:type="dxa"/>
          <w:right w:w="28" w:type="dxa"/>
        </w:tblCellMar>
      </w:tblPr>
      <w:tblGrid>
        <w:gridCol w:w="2146"/>
        <w:gridCol w:w="1892"/>
        <w:gridCol w:w="1901"/>
        <w:gridCol w:w="109"/>
        <w:gridCol w:w="109"/>
        <w:gridCol w:w="109"/>
        <w:gridCol w:w="291"/>
        <w:gridCol w:w="1093"/>
        <w:gridCol w:w="161"/>
        <w:gridCol w:w="109"/>
        <w:gridCol w:w="109"/>
        <w:gridCol w:w="109"/>
        <w:gridCol w:w="279"/>
        <w:gridCol w:w="1047"/>
        <w:gridCol w:w="219"/>
      </w:tblGrid>
      <w:tr>
        <w:trPr/>
        <w:tc>
          <w:tcPr>
            <w:tcW w:w="214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755,412 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913,991 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19. Capital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87.1% of the combined voting power of our common stock as a result of its ownership of our Class A, Class C and Class D Common Stock. The Company holds approximately a 57.2% interest in Virtu Financial at September 30,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September 30, 2025 and December 31, 2024, there were 3,402,959 and 3,994,744 Virtu Financial Units outstanding held by Employee Holdco, respectively, and 591,785 and 32,946 of such Virtu Financial Units and corresponding Class C Common Stock were exchanged into Class A Common Stock, forfeited or repurchased during the nine months ended September 30, 2025 and 2024,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Second Amended and Restated 2015 Management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and stockholders adopted the 2015 Management Incentive Plan, which became effective upon consummation of the IPO, and was subsequently amended and restated following receipt of approval from the Company’s stockholders on June 30, 2017, June 5, 2020, June 2, 2022, and June 2, 2025. The Second Amended and Restated 2015 Management Incentive Plan provides for the grant of stock options, restricted stock units, and other awards based on an aggregate of 33,500,000 shares of Class A Common Stock, subject to additional sublimits, including limits on the total option grant to any one participant in a single year and the total performance award to any one participant in a single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On April 24, 2024, the Company’s Board of Directors authorized the expansion of the program by an additional $500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2025, the Company repurchased approximately 53.8 million shares of Class A Common Stock and Virtu Financial Units for approximately $1,417.2 million. As of September 30, 2025, the Company has approximately $302.8 million remaining capacity for future purchases of shares of Class A Common Stock and Virtu Financial Units under the program.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Employee Exchanges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and 2024, pursuant to the exchange agreement by and among the Company, Virtu Financial and holders of Virtu Financial Units, certain current and former employees elected to exchange 566,924 and 31,097 units in Virtu Financial held directly or on their behalf by Virtu Employee Holdco LLC (“Employee Holdco”) on a one-for-one basis for shares of Class A Common Stock.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Other Comprehensive Income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893"/>
        <w:gridCol w:w="766"/>
        <w:gridCol w:w="768"/>
        <w:gridCol w:w="129"/>
        <w:gridCol w:w="129"/>
        <w:gridCol w:w="129"/>
        <w:gridCol w:w="313"/>
        <w:gridCol w:w="1034"/>
        <w:gridCol w:w="174"/>
        <w:gridCol w:w="129"/>
        <w:gridCol w:w="129"/>
        <w:gridCol w:w="129"/>
        <w:gridCol w:w="275"/>
        <w:gridCol w:w="840"/>
        <w:gridCol w:w="152"/>
        <w:gridCol w:w="129"/>
        <w:gridCol w:w="129"/>
        <w:gridCol w:w="129"/>
        <w:gridCol w:w="427"/>
        <w:gridCol w:w="1351"/>
        <w:gridCol w:w="237"/>
        <w:gridCol w:w="129"/>
        <w:gridCol w:w="129"/>
        <w:gridCol w:w="129"/>
        <w:gridCol w:w="307"/>
        <w:gridCol w:w="871"/>
        <w:gridCol w:w="249"/>
      </w:tblGrid>
      <w:tr>
        <w:trPr/>
        <w:tc>
          <w:tcPr>
            <w:tcW w:w="89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 As of September 30, 2025, the Company expects approximately $41 thousand to be reclassified from AOCI into earnings over the next 12 months. The timing of the reclassification is based on the interest payment schedule of the long-term borrowings.</w:t>
            </w:r>
          </w:p>
        </w:tc>
      </w:tr>
      <w:tr>
        <w:trPr/>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(6,983)</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(6,983)</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w:t>
            </w:r>
          </w:p>
        </w:tc>
      </w:tr>
    </w:tbl>
    <w:tbl>
      <w:tblPr>
        <w:tblW w:w="10205" w:type="dxa"/>
        <w:jc w:val="center"/>
        <w:tblInd w:w="0" w:type="dxa"/>
        <w:tblLayout w:type="fixed"/>
        <w:tblCellMar>
          <w:top w:w="28" w:type="dxa"/>
          <w:left w:w="28" w:type="dxa"/>
          <w:bottom w:w="28" w:type="dxa"/>
          <w:right w:w="28" w:type="dxa"/>
        </w:tblCellMar>
      </w:tblPr>
      <w:tblGrid>
        <w:gridCol w:w="883"/>
        <w:gridCol w:w="757"/>
        <w:gridCol w:w="760"/>
        <w:gridCol w:w="128"/>
        <w:gridCol w:w="128"/>
        <w:gridCol w:w="128"/>
        <w:gridCol w:w="310"/>
        <w:gridCol w:w="1023"/>
        <w:gridCol w:w="172"/>
        <w:gridCol w:w="128"/>
        <w:gridCol w:w="128"/>
        <w:gridCol w:w="128"/>
        <w:gridCol w:w="270"/>
        <w:gridCol w:w="893"/>
        <w:gridCol w:w="150"/>
        <w:gridCol w:w="128"/>
        <w:gridCol w:w="128"/>
        <w:gridCol w:w="128"/>
        <w:gridCol w:w="397"/>
        <w:gridCol w:w="1417"/>
        <w:gridCol w:w="221"/>
        <w:gridCol w:w="128"/>
        <w:gridCol w:w="128"/>
        <w:gridCol w:w="128"/>
        <w:gridCol w:w="303"/>
        <w:gridCol w:w="862"/>
        <w:gridCol w:w="251"/>
      </w:tblGrid>
      <w:tr>
        <w:trPr/>
        <w:tc>
          <w:tcPr>
            <w:tcW w:w="88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change in unrealized cash flow hedges gains (losses) (1)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(7,063)</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 As of September 30, 2025, the Company expects approximately $41 thousand to be reclassified from AOCI into earnings over the next 12 months. The timing of the reclassification is based on the interest payment schedule of the long-term borrowings.</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(27,503)</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5916" w:type="dxa"/>
            <w:gridSpan w:val="18"/>
            <w:tcBorders/>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7805"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 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2015 Management Incentive Plan as described in Note 19 “Capital Structure”, and in connection with the IPO, non-qualified stock options to purchase shares of Class A Common Stock were granted, each of which vests in equal annual installments over a period of 4 years from grant date and expires not later than 10 years from the date of grant.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stock options for the nine months ended September 30, 2025 and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0"/>
        <w:gridCol w:w="370"/>
        <w:gridCol w:w="372"/>
        <w:gridCol w:w="499"/>
        <w:gridCol w:w="419"/>
        <w:gridCol w:w="330"/>
        <w:gridCol w:w="109"/>
        <w:gridCol w:w="109"/>
        <w:gridCol w:w="109"/>
        <w:gridCol w:w="400"/>
        <w:gridCol w:w="1135"/>
        <w:gridCol w:w="222"/>
        <w:gridCol w:w="109"/>
        <w:gridCol w:w="109"/>
        <w:gridCol w:w="109"/>
        <w:gridCol w:w="644"/>
        <w:gridCol w:w="644"/>
        <w:gridCol w:w="646"/>
        <w:gridCol w:w="109"/>
        <w:gridCol w:w="109"/>
        <w:gridCol w:w="109"/>
        <w:gridCol w:w="499"/>
        <w:gridCol w:w="419"/>
        <w:gridCol w:w="330"/>
        <w:gridCol w:w="109"/>
        <w:gridCol w:w="109"/>
        <w:gridCol w:w="109"/>
        <w:gridCol w:w="328"/>
        <w:gridCol w:w="933"/>
        <w:gridCol w:w="267"/>
      </w:tblGrid>
      <w:tr>
        <w:trPr/>
        <w:tc>
          <w:tcPr>
            <w:tcW w:w="4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Exercisable</w:t>
            </w:r>
          </w:p>
        </w:tc>
      </w:tr>
      <w:tr>
        <w:trPr/>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br/>
              <w:t>Per Share</w:t>
            </w:r>
          </w:p>
        </w:tc>
      </w:tr>
      <w:tr>
        <w:trPr/>
        <w:tc>
          <w:tcPr>
            <w:tcW w:w="118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118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118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118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2023</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1,511,776 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1,511,776 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(483,045)</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(483,045)</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September 30, 2024</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1,025,981 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1,025,981 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2024</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September 30, 2025</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Class A Common Stock, Restricted Stock Units and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2015 Management Incentive Plan as described in Note 19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nine months ended September 30, 2025 and 2024, respectively, there were 528,221 and 878,091 shares of immediately vested Class A Common Stock granted as part of year-end compensation. In addition, the Company accrued compensation expense of $15.0 million and $6.9 million for the three months ended September 30, 2025 and 2024, respectively, $33.3 million and $19.6 million for the nine months ended September 30, 2025 and 2024,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RSUs and RSAs for the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1108"/>
        <w:gridCol w:w="967"/>
        <w:gridCol w:w="971"/>
        <w:gridCol w:w="1292"/>
        <w:gridCol w:w="1177"/>
        <w:gridCol w:w="1182"/>
        <w:gridCol w:w="205"/>
        <w:gridCol w:w="205"/>
        <w:gridCol w:w="205"/>
        <w:gridCol w:w="624"/>
        <w:gridCol w:w="1773"/>
        <w:gridCol w:w="496"/>
      </w:tblGrid>
      <w:tr>
        <w:trPr/>
        <w:tc>
          <w:tcPr>
            <w:tcW w:w="110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 and RSAs</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Fair Value </w:t>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3651"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3651"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3651"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3651"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2023</w:t>
            </w:r>
          </w:p>
        </w:tc>
        <w:tc>
          <w:tcPr>
            <w:tcW w:w="2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4,903,174 </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3,559,799 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(132,554)</w:t>
            </w:r>
          </w:p>
        </w:tc>
        <w:tc>
          <w:tcPr>
            <w:tcW w:w="1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(2,820,419)</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September 30, 2024</w:t>
            </w:r>
          </w:p>
        </w:tc>
        <w:tc>
          <w:tcPr>
            <w:tcW w:w="2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5,510,000 </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2024</w:t>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5,564,532 </w:t>
            </w:r>
          </w:p>
        </w:tc>
        <w:tc>
          <w:tcPr>
            <w:tcW w:w="1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 (1)</w:t>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3,657,658 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(155,915)</w:t>
            </w:r>
          </w:p>
        </w:tc>
        <w:tc>
          <w:tcPr>
            <w:tcW w:w="1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(3,279,347)</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September 30, 2025</w:t>
            </w:r>
          </w:p>
        </w:tc>
        <w:tc>
          <w:tcPr>
            <w:tcW w:w="24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5,786,928 </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Excluded in the number of RSUs and RSAs are 100,000 participating RSAs for nine months ended September 30, 2025, where the grant date has not been achieved because the performance conditions have not been met.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$12.2 million and $11.1 million for the three months ended September 30, 2025 and 2024, respectively, and $39.1 million and $31.3 million for the nine months ended September 30, 2025 and 2024, respectively, of compensation expense in relation to RSUs. As of September 30, 2025 and December 31, 2024, total unrecognized share-based compensation expense related to unvested RSUs was $113.2 million and $53.5 million, respectively, and this amount is to be recognized over a weighted average period of 1.2 years and 0.9 years, respectively. Awards in which the specific performance conditions have not been met are not included in unrecognized share-based compensation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21. Regulatory Requirement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U.S. broker-dealer subsidiary, Virtu Americas LLC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September 30, 2025. The required amount is determined under the exchange rules as the greater of (i) $1.0 million or (ii) $75,000 for every 0.1% of NYSE transaction dollar volume in each of the securities for which the Company is registered as the DMM.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2023, the Company’s U.S. broker-dealer subsidiary, RFQ-hub Americas LLC (“RAL”), became a U.S. broker-dealer and as such was subject to the SEC Uniform Net Capital Rule 15c3-1. As described in Note 3 “Sale of RFQ-hub”, the Company disposed of a 49% interest in RAL’s parent company RFQ-hub Holdings LLC (together with its subsidiaries, “RFQ-hub”) in May 2025 and we ceased to control, and deconsolidated, RFQ-hub at such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capital and regulatory capital requirements of the Company’s U.S. subsidiary as of September 30, 2025 was as follows:</w:t>
      </w:r>
    </w:p>
    <w:tbl>
      <w:tblPr>
        <w:tblW w:w="8584" w:type="dxa"/>
        <w:jc w:val="center"/>
        <w:tblInd w:w="0" w:type="dxa"/>
        <w:tblLayout w:type="fixed"/>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447,429 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As of September 30, 2025, VAL</w:t>
      </w:r>
      <w:r>
        <w:rPr>
          <w:color w:val="000000"/>
        </w:rPr>
        <w:t xml:space="preserve"> </w:t>
      </w:r>
      <w:r>
        <w:rPr>
          <w:rFonts w:ascii="Times New Roman;serif" w:hAnsi="Times New Roman;serif"/>
          <w:b w:val="false"/>
          <w:color w:val="000000"/>
          <w:sz w:val="20"/>
        </w:rPr>
        <w:t xml:space="preserve">had $40.8 million of cash in special reserve bank accounts for the benefit of customers pursuant to SEC Rule 15c3-3, </w:t>
      </w:r>
      <w:r>
        <w:rPr>
          <w:rFonts w:ascii="Times New Roman;serif" w:hAnsi="Times New Roman;serif"/>
          <w:b w:val="false"/>
          <w:i/>
          <w:color w:val="000000"/>
          <w:sz w:val="20"/>
        </w:rPr>
        <w:t xml:space="preserve">Computation for Determination of Reserve Requirements, </w:t>
      </w:r>
      <w:r>
        <w:rPr>
          <w:rFonts w:ascii="Times New Roman;serif" w:hAnsi="Times New Roman;serif"/>
          <w:b w:val="false"/>
          <w:color w:val="000000"/>
          <w:sz w:val="20"/>
        </w:rPr>
        <w:t>and $6.5 million of cash in reserve bank accounts for the benefit of proprietary accounts of brokers. The balances are included within Cash restricted or segregated under regulations and other on the Condensed Consolidated Statements of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capital and regulatory capital requirements of the Company’s U.S. subsidiaries as of December 31, 2024 was as follows:</w:t>
      </w:r>
    </w:p>
    <w:tbl>
      <w:tblPr>
        <w:tblW w:w="8869" w:type="dxa"/>
        <w:jc w:val="center"/>
        <w:tblInd w:w="0" w:type="dxa"/>
        <w:tblLayout w:type="fixed"/>
        <w:tblCellMar>
          <w:top w:w="28" w:type="dxa"/>
          <w:left w:w="28" w:type="dxa"/>
          <w:bottom w:w="28" w:type="dxa"/>
          <w:right w:w="28" w:type="dxa"/>
        </w:tblCellMar>
      </w:tblPr>
      <w:tblGrid>
        <w:gridCol w:w="656"/>
        <w:gridCol w:w="578"/>
        <w:gridCol w:w="581"/>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455,678 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454,146 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RFQ-hub Americas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December 31, 2024, VAL had $34.9 million of cash in special reserve bank accounts for the benefit of customers pursuant to SEC Rule 15c3-3, </w:t>
      </w:r>
      <w:r>
        <w:rPr>
          <w:rFonts w:ascii="Times New Roman;serif" w:hAnsi="Times New Roman;serif"/>
          <w:b w:val="false"/>
          <w:i/>
          <w:color w:val="000000"/>
          <w:sz w:val="20"/>
        </w:rPr>
        <w:t xml:space="preserve">Computation for Determination of Reserve Requirements, </w:t>
      </w:r>
      <w:r>
        <w:rPr>
          <w:rFonts w:ascii="Times New Roman;serif" w:hAnsi="Times New Roman;serif"/>
          <w:b w:val="false"/>
          <w:color w:val="000000"/>
          <w:sz w:val="20"/>
        </w:rPr>
        <w:t>and $6.4 million of cash in reserve bank accounts for the benefit of proprietary accounts of brokers.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rPr>
        <w:t>Foreign Subsidiaries</w:t>
      </w:r>
      <w:r>
        <w:rPr>
          <w:color w:val="000000"/>
        </w:rPr>
        <w: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net capital balances and regulatory capital requirements applicable to the Company’s foreign subsidiaries as of September 30, 2025 were as follows:</w:t>
      </w:r>
    </w:p>
    <w:tbl>
      <w:tblPr>
        <w:tblW w:w="9588" w:type="dxa"/>
        <w:jc w:val="center"/>
        <w:tblInd w:w="0" w:type="dxa"/>
        <w:tblLayout w:type="fixed"/>
        <w:tblCellMar>
          <w:top w:w="28" w:type="dxa"/>
          <w:left w:w="28" w:type="dxa"/>
          <w:bottom w:w="28" w:type="dxa"/>
          <w:right w:w="28" w:type="dxa"/>
        </w:tblCellMar>
      </w:tblPr>
      <w:tblGrid>
        <w:gridCol w:w="916"/>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Canada Corp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Europe Trading Limited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58,567 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Ireland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Australia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Singapore Pte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199,826 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67,712 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Preliminary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7054"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net capital balances and regulatory capital requirements applicable to the Company’s foreign subsidiaries as of December 31, 2024 were as follows:</w:t>
      </w:r>
    </w:p>
    <w:tbl>
      <w:tblPr>
        <w:tblW w:w="10205" w:type="dxa"/>
        <w:jc w:val="center"/>
        <w:tblInd w:w="0" w:type="dxa"/>
        <w:tblLayout w:type="fixed"/>
        <w:tblCellMar>
          <w:top w:w="28" w:type="dxa"/>
          <w:left w:w="28" w:type="dxa"/>
          <w:bottom w:w="28" w:type="dxa"/>
          <w:right w:w="28" w:type="dxa"/>
        </w:tblCellMar>
      </w:tblPr>
      <w:tblGrid>
        <w:gridCol w:w="938"/>
        <w:gridCol w:w="825"/>
        <w:gridCol w:w="829"/>
        <w:gridCol w:w="137"/>
        <w:gridCol w:w="137"/>
        <w:gridCol w:w="137"/>
        <w:gridCol w:w="345"/>
        <w:gridCol w:w="1139"/>
        <w:gridCol w:w="191"/>
        <w:gridCol w:w="137"/>
        <w:gridCol w:w="137"/>
        <w:gridCol w:w="137"/>
        <w:gridCol w:w="682"/>
        <w:gridCol w:w="1468"/>
        <w:gridCol w:w="383"/>
        <w:gridCol w:w="137"/>
        <w:gridCol w:w="137"/>
        <w:gridCol w:w="137"/>
        <w:gridCol w:w="425"/>
        <w:gridCol w:w="1404"/>
        <w:gridCol w:w="343"/>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2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Canada</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Canada Corp</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Canada ULC (1)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Ireland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Europe Trading Limited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Ireland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United Kingdom</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UK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Asia Pacific</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Australia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Hong Kong Limited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Singapore Pte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Singapore Pte. Ltd.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136,891 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82,926 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Virtu Financial Canada ULC has resigned from membership with the Canadian Investment Regulatory Organization (“CIRO”) effective January 22, 2025, and its regulatory capital requirement as of December 31, 2024 was waived by CIRO. </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2024, Virtu Europe Trading Limited had $37 thousand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22. Geographic Information and Business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Making segment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Execution Services segment comprises client-based trading and trading venues, offering execution services in global equities, options, futures and fixed income on behalf of institutions, banks and broker-dealers. The Company earns commissions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Corporate segment contains the Company’s investments, principally in strategic trading-related opportunities and maintains corporate overhead expenses and all other income and expenses that are not attributable to the Company’s other segments. The segment is not considered a reportable operating segment as its results are not regularly reviewed by the Company’s Chief Operating Decisions Makers (“CODMs”).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segments are the same as those described in Note 2 “Summary of Significant Accounting Policies”. The Company’s CODMs are the Chief Executive Officer and the Chief Operating Officers. The CODMs use a top-line approach in regards to evaluating segment performance and making business decisions on resource allocations, focusing on each segment's trading-related activities. Revenues, including breakdown of key trading-driven components of revenues, trading-related operating expenses, and pre-tax earnings by segment are regularly provided to the CODMs. The CODMs review trading-related results by monitoring period-over-period trends and considering variances between actuals and expectations. Corporate overhead and other shared expenses, as well as assets and liabilities by segment are not used for evaluating segment performance or in deciding how to allocate resources to segments.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revenues, operating expenses, and income (loss) before income taxes and noncontrolling interest (“Pre-tax earnings”) by segment for the three months ended September 30, 2025 and 2024 are summarized in the following table:</w:t>
      </w:r>
    </w:p>
    <w:p>
      <w:pPr>
        <w:pStyle w:val="TextBody"/>
        <w:bidi w:val="0"/>
        <w:spacing w:before="0" w:after="2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1470"/>
        <w:gridCol w:w="1218"/>
        <w:gridCol w:w="1220"/>
        <w:gridCol w:w="109"/>
        <w:gridCol w:w="109"/>
        <w:gridCol w:w="109"/>
        <w:gridCol w:w="223"/>
        <w:gridCol w:w="839"/>
        <w:gridCol w:w="124"/>
        <w:gridCol w:w="109"/>
        <w:gridCol w:w="109"/>
        <w:gridCol w:w="109"/>
        <w:gridCol w:w="252"/>
        <w:gridCol w:w="946"/>
        <w:gridCol w:w="139"/>
        <w:gridCol w:w="109"/>
        <w:gridCol w:w="109"/>
        <w:gridCol w:w="109"/>
        <w:gridCol w:w="239"/>
        <w:gridCol w:w="680"/>
        <w:gridCol w:w="134"/>
        <w:gridCol w:w="109"/>
        <w:gridCol w:w="109"/>
        <w:gridCol w:w="109"/>
        <w:gridCol w:w="253"/>
        <w:gridCol w:w="953"/>
        <w:gridCol w:w="207"/>
      </w:tblGrid>
      <w:tr>
        <w:trPr/>
        <w:tc>
          <w:tcPr>
            <w:tcW w:w="147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w:t>
            </w:r>
          </w:p>
        </w:tc>
      </w:tr>
      <w:tr>
        <w:trPr/>
        <w:tc>
          <w:tcPr>
            <w:tcW w:w="3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824,789 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178,256 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165,691 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126,096 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644,799 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179,990 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706,840 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246,865 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451,104 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559,680 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125,556 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147,160 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6297"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2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Corporate is a non-operating segment. The Company presents its information as a part of reconciliation to Consolidated Totals.</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pStyle w:val="TextBody"/>
        <w:bidi w:val="0"/>
        <w:spacing w:before="0" w:after="20"/>
        <w:ind w:left="0" w:right="0" w:firstLine="72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revenues, operating expenses, and income (loss) before income taxes and noncontrolling interest (“Pre-tax earnings”) by segment for the nine months ended September 30, 2025 and 2024 are summarized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2"/>
        <w:gridCol w:w="1198"/>
        <w:gridCol w:w="1201"/>
        <w:gridCol w:w="109"/>
        <w:gridCol w:w="109"/>
        <w:gridCol w:w="109"/>
        <w:gridCol w:w="203"/>
        <w:gridCol w:w="906"/>
        <w:gridCol w:w="113"/>
        <w:gridCol w:w="109"/>
        <w:gridCol w:w="109"/>
        <w:gridCol w:w="109"/>
        <w:gridCol w:w="250"/>
        <w:gridCol w:w="942"/>
        <w:gridCol w:w="139"/>
        <w:gridCol w:w="109"/>
        <w:gridCol w:w="109"/>
        <w:gridCol w:w="109"/>
        <w:gridCol w:w="238"/>
        <w:gridCol w:w="677"/>
        <w:gridCol w:w="133"/>
        <w:gridCol w:w="109"/>
        <w:gridCol w:w="109"/>
        <w:gridCol w:w="109"/>
        <w:gridCol w:w="230"/>
        <w:gridCol w:w="1026"/>
        <w:gridCol w:w="189"/>
      </w:tblGrid>
      <w:tr>
        <w:trPr/>
        <w:tc>
          <w:tcPr>
            <w:tcW w:w="145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w:t>
            </w:r>
          </w:p>
        </w:tc>
      </w:tr>
      <w:tr>
        <w:trPr/>
        <w:tc>
          <w:tcPr>
            <w:tcW w:w="3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602,256 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458,296 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462,232 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846,997 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1,550,693 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357,541 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1,911,485 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595,089 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152,461 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750,746 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2,042,664 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747,177 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1,270,400 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327,457 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1,600,299 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397,050 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43,118 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442,365 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6354"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20"/>
        <w:jc w:val="left"/>
        <w:rPr>
          <w:rFonts w:ascii="Times New Roman;serif" w:hAnsi="Times New Roman;serif"/>
          <w:b w:val="false"/>
          <w:color w:val="000000"/>
          <w:sz w:val="16"/>
        </w:rPr>
      </w:pPr>
      <w:r>
        <w:rPr>
          <w:rFonts w:ascii="Times New Roman;serif" w:hAnsi="Times New Roman;serif"/>
          <w:b w:val="false"/>
          <w:color w:val="000000"/>
          <w:sz w:val="16"/>
        </w:rPr>
        <w:t>(1) Corporate is a non-operating segment. The Company presents its information as a part of reconciliation to Consolidated Totals.</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pStyle w:val="TextBody"/>
        <w:bidi w:val="0"/>
        <w:spacing w:before="0" w:after="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2025 and 2024</w:t>
      </w:r>
      <w:r>
        <w:rPr>
          <w:rFonts w:ascii="Times New Roman;serif" w:hAnsi="Times New Roman;serif"/>
          <w:b w:val="false"/>
          <w:color w:val="000000"/>
          <w:sz w:val="18"/>
        </w:rPr>
        <w:t>:</w:t>
      </w:r>
    </w:p>
    <w:tbl>
      <w:tblPr>
        <w:tblW w:w="27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7417"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218"/>
        <w:gridCol w:w="820"/>
        <w:gridCol w:w="121"/>
        <w:gridCol w:w="121"/>
        <w:gridCol w:w="121"/>
        <w:gridCol w:w="121"/>
        <w:gridCol w:w="218"/>
        <w:gridCol w:w="820"/>
        <w:gridCol w:w="121"/>
        <w:gridCol w:w="109"/>
        <w:gridCol w:w="109"/>
        <w:gridCol w:w="109"/>
        <w:gridCol w:w="196"/>
        <w:gridCol w:w="871"/>
        <w:gridCol w:w="109"/>
        <w:gridCol w:w="109"/>
        <w:gridCol w:w="109"/>
        <w:gridCol w:w="109"/>
        <w:gridCol w:w="196"/>
        <w:gridCol w:w="87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824,789 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23. 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incurs expenses and maintains balances with its affiliates in the ordinary course of business. As of September 30, 2025 and December 31, 2024 the Company had net payables to its affiliates of $14.0 million and $0.1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held a minority interest in JNX since 2016 (see Note 10 “Financial Assets and Liabilities”). The Company pays exchange fees to JNX for the trading activities conducted on its proprietary trading system. The Company paid $2.6 million and $3.5 million for the three months ended September 30, 2025 and 2024, respectively, and $8.1 million and $8.5 million for the nine months ended September 30, 2025 and 2024, respectively, to JNX for these trading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pays monthly use fees and makes certain contributions to a JV in which it holds an interest (see Note 13 “Variable Interest Entities”). These monthly fees are for the use of communication networks operated by the JV and are recorded within Communications and data processing on the Condensed Consolidated Statements of Comprehensive Income. The Company previously held a similar arrangement with another telecommunication JV and paid a monthly use fee, and the Company disposed of its interests in this JV and ended the monthly fee arrangement as of September 1,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made payments to these JVs of $18.9 million and $13.5 million for the three months ended September 30, 2025 and 2024, respectively, and $33.3 million and $28.3 million for the nine months ended September 30,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Members Exchange, a member-owned equities exchange. The Company pays regulatory and transaction fees and receives rebates from trading activities. The Company made payments of $2.4 million and $1.1 million for the three months ended September 30, 2025 and 2024, respectively, and $7.8 million and $5.9 million for the nine months ended September 30, 2025 and 2024,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24.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29, 2025, the Company’s Board of Directors declared a dividend of $0.24 per share of Class A Common Stock and Class B Common Stock and per participating Restricted Stock Unit and Restricted Stock Award that will be paid on December 15, 2025 to holders of record as of December 1, 2025.</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covers the three and nine months ended September 30, 2025 and 2024 should be read in conjunction with the Condensed Consolidated Financial Statements and accompanying notes for the period ended September 30, 2025, which are included in Part I, Item 1 of this Quarterly Report on Form 10-Q, and the audited consolidated financial statements and accompanying notes and MD&amp;A for the year ended December 31, 2024, which are included in Item 8 and 7, respectively, of the Company’s Annual Report on Form 10-K for the year ended December 31, 2024. This management’s discussion and analysis contains forward-looking statements that involve risks and uncertainties. Our actual results could differ materially from those discussed below. Unless otherwise stated, all amounts are presented in thousands of dollars.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2024, as filed with the Securities and Exchange Commission (“SEC”) on February 21, 2025 (the “2024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2024 Form 10-K, could affect our actual financial results or results of operations and cash flows, and could cause actual results to differ materially from those in such forward-looking statements, including but not limited to:</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volatility in levels of overall trading activity;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upon trading counterparties, clients and clearing houses performing their obligations to us;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failures of our customized trading platform;</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inherent to the electronic market making business and trading generally;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increased competition in market making activities and execution services;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on continued access to sources of liquidity;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self-clearing and other operational elements of our business, including but limited to risks related to funding and liquidity;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obligations to comply with applicable regulatory capital requirements;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litigation or other legal and regulatory-based liabilities;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obligations to comply with laws and regulations applicable to our operations in the U.S. and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need to maintain and continue developing proprietary technologies;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capacity constraints, system failures, and delays;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on third-party infrastructure or systems;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use of open source software;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or enforce our intellectual property rights in our proprietary technology;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confidential and proprietary information;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international operations and expansion, including failed acquisitions or dispositions;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tariff, monetary, fiscal and tax policies in international markets), political conditions (such as military actions and terrorist activities), and other global events such as fires, geopolitical conflicts, natural disasters, pandemics or extreme weather;</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potential growth and associated corporate actions;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inability to access, or delay in accessing, the capital markets to sell shares or raise additional capital;</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loss of key executives and failure to recruit and retain qualified personnel;</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losing access to a significant exchange or other trading venue; and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changes in governmental administrations and agencies.</w:t>
      </w:r>
    </w:p>
    <w:p>
      <w:pPr>
        <w:pStyle w:val="TextBody"/>
        <w:bidi w:val="0"/>
        <w:spacing w:before="0" w:after="0"/>
        <w:ind w:left="0" w:right="0" w:firstLine="18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and operational efficiency are at the core of our business, and our focus on technology is a key element of our success. We have developed a proprietary, multi-asset, multi-currency technology platform that is highly reliable, scalable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Market Making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250 venues, in 40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Execution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Corporate segment contains investments principally in strategic financial services-oriented opportunities and maintains corporate overhead expenses and all other income and expenses that are not attributable to our other segments.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amends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$300.0 million, the proceeds of which were used for general corporate purposes, for a total Term B-2 Loan balance of $1,545.0 million (collectively, the “Term B-2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interest rate swap effectively fixes interest payment obligations on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Indenture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Amended and Restated 2015 Management Incentive Plan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and June 2, 2025 (as amended and restated, the “Second Amended and Restated 2015 Management Incentive Plan”). On April 23, 2025, the Company’s Board of Directors adopted the Second Amended and Restated 2015 Management Incentive Plan to increase the number of shares, to extend the expiration date to June 2, 2035 and to remove certain provisions related to Section 162(m) of the Code that are no longer applicable. The Second Amended and Restated 2015 Management Incentive Plan provides for the grant of stock options, restricted stock units, and other awards based on an aggregate of 33,500,000 shares of Class A Common Stock, par value $0.00001 per share (the “Class A Common Stock”), subject to additional sublimits, including limits on the total option grant to any one participant in a single year and the total performance award to any one participant in a single year. The Second Amended and Restated 2015 Management Incentive Plan was approved by the Company’s shareholders at the Company’s annual meeting of shareholders on June 2,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September 30, 2025, options to purchase 1,646,500 shares in the aggregate were forfeited and 7,581,500 options were exercised. The fair value of the stock option grants was determined through the application of the Black-Scholes-Merton model and was recognized on a straight-line basis over the vesting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Parent Company Financial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material differences between our condensed consolidated financial statements and the financial statements of Virtu Financial except as follows: (i) cash and cash equivalents reflected on our Condensed Consolidated Statements of Financial Condition as of September 30, 2025 in the amount of $154.0 million; (ii) deferred tax assets reflected on our Condensed Consolidated Statements of Financial Condition as of September 30, 2025 in the amount of $109.2 million and tax receivable agreement obligation in the amount of $175.8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Statements of Financial Condition as of September 30, 2025; and (iv) provision for corporate income tax in the amount of $17.6 million and $76.1 million reflected on our Condensed Consolidated Statements of Comprehensive Income for the three and nine months ended September 30,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i) Total revenue, ii) Total operating expenses, and iii) Income before income taxes and noncontrolling interest by segment for the three and nine months ended September 30, 2025 and 2024:</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465"/>
        <w:gridCol w:w="1248"/>
        <w:gridCol w:w="1252"/>
        <w:gridCol w:w="109"/>
        <w:gridCol w:w="109"/>
        <w:gridCol w:w="109"/>
        <w:gridCol w:w="214"/>
        <w:gridCol w:w="808"/>
        <w:gridCol w:w="119"/>
        <w:gridCol w:w="119"/>
        <w:gridCol w:w="119"/>
        <w:gridCol w:w="119"/>
        <w:gridCol w:w="214"/>
        <w:gridCol w:w="808"/>
        <w:gridCol w:w="119"/>
        <w:gridCol w:w="109"/>
        <w:gridCol w:w="109"/>
        <w:gridCol w:w="109"/>
        <w:gridCol w:w="196"/>
        <w:gridCol w:w="871"/>
        <w:gridCol w:w="109"/>
        <w:gridCol w:w="109"/>
        <w:gridCol w:w="109"/>
        <w:gridCol w:w="109"/>
        <w:gridCol w:w="196"/>
        <w:gridCol w:w="871"/>
        <w:gridCol w:w="109"/>
        <w:gridCol w:w="109"/>
        <w:gridCol w:w="159"/>
      </w:tblGrid>
      <w:tr>
        <w:trPr/>
        <w:tc>
          <w:tcPr>
            <w:tcW w:w="146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8" w:type="dxa"/>
            <w:gridSpan w:val="2"/>
            <w:tcBorders/>
          </w:tcPr>
          <w:p>
            <w:pPr>
              <w:pStyle w:val="TableContents"/>
              <w:bidi w:val="0"/>
              <w:spacing w:before="0" w:after="283"/>
              <w:jc w:val="left"/>
              <w:rPr>
                <w:sz w:val="4"/>
                <w:szCs w:val="4"/>
              </w:rPr>
            </w:pPr>
            <w:r>
              <w:rPr>
                <w:sz w:val="4"/>
                <w:szCs w:val="4"/>
              </w:rPr>
            </w:r>
          </w:p>
        </w:tc>
      </w:tr>
      <w:tr>
        <w:trPr/>
        <w:tc>
          <w:tcPr>
            <w:tcW w:w="3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125,556 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559,680 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179,990 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results of operations for the three and nine months ended September 30, 2025 and 2024: </w:t>
      </w:r>
    </w:p>
    <w:p>
      <w:pPr>
        <w:pStyle w:val="TextBody"/>
        <w:bidi w:val="0"/>
        <w:spacing w:before="0" w:after="0"/>
        <w:ind w:left="0" w:right="0" w:firstLine="72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31"/>
        <w:gridCol w:w="1115"/>
        <w:gridCol w:w="1120"/>
        <w:gridCol w:w="109"/>
        <w:gridCol w:w="109"/>
        <w:gridCol w:w="109"/>
        <w:gridCol w:w="196"/>
        <w:gridCol w:w="737"/>
        <w:gridCol w:w="241"/>
        <w:gridCol w:w="109"/>
        <w:gridCol w:w="109"/>
        <w:gridCol w:w="109"/>
        <w:gridCol w:w="196"/>
        <w:gridCol w:w="737"/>
        <w:gridCol w:w="241"/>
        <w:gridCol w:w="109"/>
        <w:gridCol w:w="109"/>
        <w:gridCol w:w="109"/>
        <w:gridCol w:w="196"/>
        <w:gridCol w:w="871"/>
        <w:gridCol w:w="241"/>
        <w:gridCol w:w="109"/>
        <w:gridCol w:w="109"/>
        <w:gridCol w:w="109"/>
        <w:gridCol w:w="196"/>
        <w:gridCol w:w="871"/>
        <w:gridCol w:w="241"/>
        <w:gridCol w:w="109"/>
        <w:gridCol w:w="158"/>
      </w:tblGrid>
      <w:tr>
        <w:trPr/>
        <w:tc>
          <w:tcPr>
            <w:tcW w:w="143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7" w:type="dxa"/>
            <w:gridSpan w:val="2"/>
            <w:tcBorders/>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1,771,839 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1,278,487 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2,042,664 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 and 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314,185 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559,680 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1,911,485 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1,600,299 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147,160 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750,746 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442,365 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631,662 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Margin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(1)Calculated by dividing Net income by Total revenue.</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available to stockholders and basic and diluted earnings per share are presented below:</w:t>
      </w:r>
    </w:p>
    <w:tbl>
      <w:tblPr>
        <w:tblW w:w="9896" w:type="dxa"/>
        <w:jc w:val="center"/>
        <w:tblInd w:w="0" w:type="dxa"/>
        <w:tblLayout w:type="fixed"/>
        <w:tblCellMar>
          <w:top w:w="28" w:type="dxa"/>
          <w:left w:w="28" w:type="dxa"/>
          <w:bottom w:w="28" w:type="dxa"/>
          <w:right w:w="28" w:type="dxa"/>
        </w:tblCellMar>
      </w:tblPr>
      <w:tblGrid>
        <w:gridCol w:w="1342"/>
        <w:gridCol w:w="1181"/>
        <w:gridCol w:w="1182"/>
        <w:gridCol w:w="109"/>
        <w:gridCol w:w="109"/>
        <w:gridCol w:w="109"/>
        <w:gridCol w:w="218"/>
        <w:gridCol w:w="820"/>
        <w:gridCol w:w="121"/>
        <w:gridCol w:w="121"/>
        <w:gridCol w:w="121"/>
        <w:gridCol w:w="121"/>
        <w:gridCol w:w="218"/>
        <w:gridCol w:w="820"/>
        <w:gridCol w:w="121"/>
        <w:gridCol w:w="109"/>
        <w:gridCol w:w="109"/>
        <w:gridCol w:w="109"/>
        <w:gridCol w:w="211"/>
        <w:gridCol w:w="793"/>
        <w:gridCol w:w="117"/>
        <w:gridCol w:w="117"/>
        <w:gridCol w:w="117"/>
        <w:gridCol w:w="117"/>
        <w:gridCol w:w="211"/>
        <w:gridCol w:w="793"/>
        <w:gridCol w:w="117"/>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84,797,006 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87,152,658 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85,319,476 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88,093,082 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84,797,006 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87,536,847 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85,461,108 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88,340,592 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Trading income, net.</w:t>
      </w:r>
      <w:r>
        <w:rPr>
          <w:color w:val="000000"/>
        </w:rPr>
        <w:t xml:space="preserve"> </w:t>
      </w:r>
      <w:r>
        <w:rPr>
          <w:rFonts w:ascii="Times New Roman;serif" w:hAnsi="Times New Roman;serif"/>
          <w:b w:val="false"/>
          <w:color w:val="000000"/>
          <w:sz w:val="20"/>
        </w:rPr>
        <w:t>Trading income, net represents revenue earned from bid/ask spreads. Trading income is generated in the normal course of our 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67% and 63% of our total revenues for the nine months ended September 30,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income.</w:t>
      </w:r>
      <w:r>
        <w:rPr>
          <w:color w:val="000000"/>
        </w:rPr>
        <w:t xml:space="preserve"> </w:t>
      </w:r>
      <w:r>
        <w:rPr>
          <w:rFonts w:ascii="Times New Roman;serif" w:hAnsi="Times New Roman;serif"/>
          <w:b w:val="false"/>
          <w:color w:val="000000"/>
          <w:sz w:val="20"/>
        </w:rPr>
        <w:t>Our market making activities require us to hold securities on a regular basis, and we generate revenues in the form 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 xml:space="preserve">We earn revenues on transactions for which we charge explicit commissions,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Other, net.</w:t>
      </w:r>
      <w:r>
        <w:rPr>
          <w:color w:val="000000"/>
        </w:rPr>
        <w:t xml:space="preserve"> </w:t>
      </w:r>
      <w:r>
        <w:rPr>
          <w:rFonts w:ascii="Times New Roman;serif" w:hAnsi="Times New Roman;serif"/>
          <w:b w:val="false"/>
          <w:color w:val="000000"/>
          <w:sz w:val="20"/>
        </w:rPr>
        <w:t>We have interests in multiple strategic investments and telecommunications joint ventures (“JVs”). We record our pro-rata share of our JVs’ earnings or losses within Other, net, while fees related to the use of communication services provided by the JVs are recorded within Communications and data processing.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net can also include gains on sales of strategic investments and businesses, settlement fund recoveries, remeasurement gains or losses on certain digital assets held, as well as revenues from service agreements related to the sale of businesses.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Brokerage, exchange, clearance fees and payments for order flow, net.</w:t>
      </w:r>
      <w:r>
        <w:rPr>
          <w:color w:val="000000"/>
        </w:rPr>
        <w:t xml:space="preserve"> </w:t>
      </w:r>
      <w:r>
        <w:rPr>
          <w:rFonts w:ascii="Times New Roman;serif" w:hAnsi="Times New Roman;serif"/>
          <w:b w:val="false"/>
          <w:color w:val="000000"/>
          <w:sz w:val="20"/>
        </w:rPr>
        <w:t xml:space="preserve">Brokerage, exchange, clearance fees and payments for order flow are our 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Communication and data processing.</w:t>
      </w:r>
      <w:r>
        <w:rPr>
          <w:color w:val="000000"/>
        </w:rPr>
        <w:t xml:space="preserve"> </w:t>
      </w:r>
      <w:r>
        <w:rPr>
          <w:rFonts w:ascii="Times New Roman;serif" w:hAnsi="Times New Roman;serif"/>
          <w:b w:val="false"/>
          <w:color w:val="000000"/>
          <w:sz w:val="20"/>
        </w:rPr>
        <w:t>Communication and data processing represent primarily fixed expenses for data center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Employee compensation and payroll taxes.</w:t>
      </w:r>
      <w:r>
        <w:rPr>
          <w:color w:val="000000"/>
        </w:rPr>
        <w:t xml:space="preserve"> </w:t>
      </w:r>
      <w:r>
        <w:rPr>
          <w:rFonts w:ascii="Times New Roman;serif" w:hAnsi="Times New Roman;serif"/>
          <w:b w:val="false"/>
          <w:color w:val="000000"/>
          <w:sz w:val="20"/>
        </w:rPr>
        <w:t xml:space="preserve">Employee compensation and payroll taxes include employee salaries, cash and non-cash incentive compensation, employee benefits, payroll taxes, severance and other employee related costs. Employee compensation and payroll taxes also includes non-cash compensation expenses with respect to restricted stock units and restricted stock awards pursuant to the Second Amended and Restated 2015 Management Incentive Plan.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expense.</w:t>
      </w:r>
      <w:r>
        <w:rPr>
          <w:color w:val="000000"/>
        </w:rPr>
        <w:t xml:space="preserve"> </w:t>
      </w:r>
      <w:r>
        <w:rPr>
          <w:rFonts w:ascii="Times New Roman;serif" w:hAnsi="Times New Roman;serif"/>
          <w:b w:val="false"/>
          <w:color w:val="000000"/>
          <w:sz w:val="20"/>
        </w:rPr>
        <w:t>We incur interest expense from loaning certain equity securities in the general course of our market making activities pursuant to collateralized lending transactions. Typically, dividends expense is incurred when a dividend is paid on securities sold short.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Operations and administrative.</w:t>
      </w:r>
      <w:r>
        <w:rPr>
          <w:color w:val="000000"/>
        </w:rPr>
        <w:t xml:space="preserve"> </w:t>
      </w:r>
      <w:r>
        <w:rPr>
          <w:rFonts w:ascii="Times New Roman;serif" w:hAnsi="Times New Roman;serif"/>
          <w:b w:val="false"/>
          <w:color w:val="000000"/>
          <w:sz w:val="20"/>
        </w:rPr>
        <w:t>Operations and administrative expense represents occupancy, recruiting, travel and related expense, professional fees and other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results from the depreciation of fixed assets and leased equipment, such as 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Amortization of purchased intangibles and acquired capitalized software.</w:t>
      </w:r>
      <w:r>
        <w:rPr>
          <w:color w:val="000000"/>
        </w:rPr>
        <w:t xml:space="preserve"> </w:t>
      </w:r>
      <w:r>
        <w:rPr>
          <w:rFonts w:ascii="Times New Roman;serif" w:hAnsi="Times New Roman;serif"/>
          <w:b w:val="false"/>
          <w:color w:val="000000"/>
          <w:sz w:val="20"/>
        </w:rPr>
        <w:t>Amortization of purchased intangibles and acquired capitalized software 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Termination of office leases represents the write-off expense and asset retirement obligations related to certain office space we ceased use of as part of the effort to integrate and consolidate office space. The aggregate write-off amount includes the impairment of operating lease right-of-use assets, leasehold improvements and fixed assets, and dilapidation charges.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Debt issue cost related to debt refinancing, prepayment and commitment fees.</w:t>
      </w:r>
      <w:r>
        <w:rPr>
          <w:color w:val="000000"/>
        </w:rPr>
        <w:t xml:space="preserve"> </w:t>
      </w:r>
      <w:r>
        <w:rPr>
          <w:rFonts w:ascii="Times New Roman;serif" w:hAnsi="Times New Roman;serif"/>
          <w:b w:val="false"/>
          <w:color w:val="000000"/>
          <w:sz w:val="20"/>
        </w:rPr>
        <w:t>As a result of the refinancing or early termination of our long-term 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primarily reflect professional fees incurred by us in connection with one or more acquisitions or dispositions.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Financing interest expense on long-term borrowings.</w:t>
      </w:r>
      <w:r>
        <w:rPr>
          <w:color w:val="000000"/>
        </w:rPr>
        <w:t xml:space="preserve"> </w:t>
      </w:r>
      <w:r>
        <w:rPr>
          <w:rFonts w:ascii="Times New Roman;serif" w:hAnsi="Times New Roman;serif"/>
          <w:b w:val="false"/>
          <w:color w:val="000000"/>
          <w:sz w:val="20"/>
        </w:rPr>
        <w:t>Financing interest expense reflects interest accrued on outstanding indebtedness under our long-term borrowing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 Item 1 “Financial Statements” of this Quarterly Report on Form 10-Q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presented in accordance with generally accepted accounting principles in the United States (“U.S. GAAP”), we use the following non-U.S. GAAP (“Non-GAAP”) financial measures of financial performance:</w: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and as daily averages by dividing Adjusted Net Trading Income by the number of trading days in a given period. Starting in the fourth quarter of 2024, we began counting days on which U.S. equities exchanges close early or otherwise operate for less than a full trading day as half-days, whereas previously such days were counted as whole days. Prior periods have not been restated as the impact of the change is immaterial in relation to our average daily Adjusted Net Trading Income.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Operating Margins, which are calculated by dividing net income, EBITDA, and Adjusted EBITDA by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do not reflect every cash expenditure, future requirements for capital expenditures or contractual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our EBITDA-based measures do not reflect the significant interest expense or the cash requirements necessary to service interest or principal payment on our debt;</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are not adjusted for all non-cash income or expense items that are reflected in our consolidated statements of cash flows;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Condensed Consolidated Statements of Comprehensive Income to arrive at Adjusted Net Trading Income, EBITDA, Adjusted EBITDA, and Operating Margins for the three and nine months ended September 30, 2025 and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23"/>
        <w:gridCol w:w="1167"/>
        <w:gridCol w:w="1177"/>
        <w:gridCol w:w="109"/>
        <w:gridCol w:w="109"/>
        <w:gridCol w:w="109"/>
        <w:gridCol w:w="196"/>
        <w:gridCol w:w="737"/>
        <w:gridCol w:w="241"/>
        <w:gridCol w:w="109"/>
        <w:gridCol w:w="109"/>
        <w:gridCol w:w="109"/>
        <w:gridCol w:w="196"/>
        <w:gridCol w:w="737"/>
        <w:gridCol w:w="241"/>
        <w:gridCol w:w="109"/>
        <w:gridCol w:w="109"/>
        <w:gridCol w:w="109"/>
        <w:gridCol w:w="196"/>
        <w:gridCol w:w="871"/>
        <w:gridCol w:w="241"/>
        <w:gridCol w:w="109"/>
        <w:gridCol w:w="109"/>
        <w:gridCol w:w="109"/>
        <w:gridCol w:w="196"/>
        <w:gridCol w:w="871"/>
        <w:gridCol w:w="241"/>
        <w:gridCol w:w="109"/>
        <w:gridCol w:w="157"/>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6" w:type="dxa"/>
            <w:gridSpan w:val="2"/>
            <w:tcBorders/>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1,771,839 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1,278,487 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388,032 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1,531,878 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1,139,985 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to EBITDA and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201,753 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933,665 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628,587 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957,201 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635,159 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Operating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Margin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 Margin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Margin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(1)Calculated by dividing Net Income by Total Revenue.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(2)Calculated by dividing Net Income by Adjusted Net Trading Income.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(3)Calculated by dividing EBITDA by Adjusted Net Trading Income.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(4)Calculated by dividing Adjusted EBITDA by Adjusted Net Trading Income.</w:t>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arrive at Normalized Adjusted Net Income before income taxes, Normalized provision for income taxes, Normalized Adjusted Net Income and Normalized Adjusted EPS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1485"/>
        <w:gridCol w:w="1219"/>
        <w:gridCol w:w="1224"/>
        <w:gridCol w:w="109"/>
        <w:gridCol w:w="109"/>
        <w:gridCol w:w="109"/>
        <w:gridCol w:w="221"/>
        <w:gridCol w:w="830"/>
        <w:gridCol w:w="116"/>
        <w:gridCol w:w="116"/>
        <w:gridCol w:w="116"/>
        <w:gridCol w:w="116"/>
        <w:gridCol w:w="221"/>
        <w:gridCol w:w="830"/>
        <w:gridCol w:w="116"/>
        <w:gridCol w:w="109"/>
        <w:gridCol w:w="109"/>
        <w:gridCol w:w="109"/>
        <w:gridCol w:w="221"/>
        <w:gridCol w:w="830"/>
        <w:gridCol w:w="114"/>
        <w:gridCol w:w="114"/>
        <w:gridCol w:w="114"/>
        <w:gridCol w:w="114"/>
        <w:gridCol w:w="221"/>
        <w:gridCol w:w="830"/>
        <w:gridCol w:w="114"/>
        <w:gridCol w:w="109"/>
        <w:gridCol w:w="160"/>
      </w:tblGrid>
      <w:tr>
        <w:trPr/>
        <w:tc>
          <w:tcPr>
            <w:tcW w:w="148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to 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750,746 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173,827 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814,511 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provision for income taxes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166,526 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132,108 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619,028 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Adjusted shares outstanding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158,817,572 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161,709,295 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159,692,628 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162,322,747 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(1)Reflects U.S. federal, state, and local income tax rate applicable to corporations of approximately 24% for all periods presented.</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Second Amended and Restated 2015 Management Incentive Plan and the Amended and Restated ITG 2007 Equity Plan during the three and nine months ended September 30, 2025 and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Trading income, net to Adjusted Net Trading Income by segment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521,128 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(147,522)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(164,374)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344,129 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122,886 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467,015 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440,442 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443,997 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100,032 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388,032 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0"/>
        <w:gridCol w:w="1323"/>
        <w:gridCol w:w="132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1,751,094 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1,771,839 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(458,296)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1,177,616 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354,262 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1,531,878 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0"/>
        <w:gridCol w:w="1323"/>
        <w:gridCol w:w="132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1,264,214 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1,278,487 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(73,177)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847,241 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292,744 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1,139,985 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Adjusted Net Trading Income and average daily Adjusted Net Trading Income by segment for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tbl>
      <w:tblPr>
        <w:tblW w:w="9348" w:type="dxa"/>
        <w:jc w:val="center"/>
        <w:tblInd w:w="0" w:type="dxa"/>
        <w:tblLayout w:type="fixed"/>
        <w:tblCellMar>
          <w:top w:w="28" w:type="dxa"/>
          <w:left w:w="28" w:type="dxa"/>
          <w:bottom w:w="28" w:type="dxa"/>
          <w:right w:w="28" w:type="dxa"/>
        </w:tblCellMar>
      </w:tblPr>
      <w:tblGrid>
        <w:gridCol w:w="1941"/>
        <w:gridCol w:w="1711"/>
        <w:gridCol w:w="1717"/>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94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w:t>
            </w:r>
          </w:p>
        </w:tc>
      </w:tr>
    </w:tbl>
    <w:tbl>
      <w:tblPr>
        <w:tblW w:w="10205" w:type="dxa"/>
        <w:jc w:val="center"/>
        <w:tblInd w:w="0" w:type="dxa"/>
        <w:tblLayout w:type="fixed"/>
        <w:tblCellMar>
          <w:top w:w="28" w:type="dxa"/>
          <w:left w:w="28" w:type="dxa"/>
          <w:bottom w:w="28" w:type="dxa"/>
          <w:right w:w="28" w:type="dxa"/>
        </w:tblCellMar>
      </w:tblPr>
      <w:tblGrid>
        <w:gridCol w:w="1500"/>
        <w:gridCol w:w="1322"/>
        <w:gridCol w:w="1327"/>
        <w:gridCol w:w="155"/>
        <w:gridCol w:w="155"/>
        <w:gridCol w:w="155"/>
        <w:gridCol w:w="279"/>
        <w:gridCol w:w="1241"/>
        <w:gridCol w:w="155"/>
        <w:gridCol w:w="155"/>
        <w:gridCol w:w="155"/>
        <w:gridCol w:w="155"/>
        <w:gridCol w:w="279"/>
        <w:gridCol w:w="1241"/>
        <w:gridCol w:w="155"/>
        <w:gridCol w:w="155"/>
        <w:gridCol w:w="155"/>
        <w:gridCol w:w="155"/>
        <w:gridCol w:w="381"/>
        <w:gridCol w:w="381"/>
        <w:gridCol w:w="549"/>
      </w:tblGrid>
      <w:tr>
        <w:trPr/>
        <w:tc>
          <w:tcPr>
            <w:tcW w:w="150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 by Segment (in thousands):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1,177,616 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w:t>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w:t>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1,531,878 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1,139,985 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34.4%</w:t>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 by Segment (in thousands):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(1)</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40.9%</w:t>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22.6%</w:t>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36.1%</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Effective fourth quarter 2024, we began counting days on which U.S. equities exchanges close early or otherwise operate for less than a full trading day as half-days. Prior periods have not been restated as the impact of the change is immaterial in relation to our average daily Adjusted Net Trading Income. There was one half-day during the three and nine months ended September 30, 2025.</w:t>
            </w:r>
          </w:p>
        </w:tc>
      </w:tr>
    </w:tbl>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Three Months Ended September 30, 2025 Compared to Three Months Ended September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revenues increased $118.0 million, or 16.7%, to $824.8 million for the three months ended September 30, 2025, compared to $706.8 million for the three months ended September 30, 2024. The increase was primarily driven by an increase of $85.1 million in Trading income, net due to higher trading volumes and increased opportunities across global markets, an increase of $22.9 million in Commissions, net and technology services due to strengthened institutional engagement during the three months ended September 30, 2025 compared to the same period in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total revenues by segment for the three months ended September 30, 2025 and 2024.</w:t>
      </w:r>
    </w:p>
    <w:tbl>
      <w:tblPr>
        <w:tblW w:w="702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737.4%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from Market Making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Execution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from Execution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w:t>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Trading income, net. </w:t>
      </w:r>
      <w:r>
        <w:rPr>
          <w:rFonts w:ascii="Times New Roman;serif" w:hAnsi="Times New Roman;serif"/>
          <w:b w:val="false"/>
          <w:color w:val="000000"/>
          <w:sz w:val="20"/>
        </w:rPr>
        <w:t>Trading income, net was primarily earned by our Market Making segment. Trading income, net increased $85.1 million, or 19.2% to $529.1 million for the three months ended September 30, 2025, compared to $444.0 million for the three months ended September 30, 2024. The increase was largely a result of higher trading volumes and increased opportunities across global markets during the three months ended September 30, 2025 compared to the same period in 2024.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income.</w:t>
      </w:r>
      <w:r>
        <w:rPr>
          <w:color w:val="000000"/>
        </w:rPr>
        <w:t xml:space="preserve"> </w:t>
      </w:r>
      <w:r>
        <w:rPr>
          <w:rFonts w:ascii="Times New Roman;serif" w:hAnsi="Times New Roman;serif"/>
          <w:b w:val="false"/>
          <w:color w:val="000000"/>
          <w:sz w:val="20"/>
        </w:rPr>
        <w:t>Interest and dividends income was primarily earned by our Market Making segment. Interest and dividends income increased $2.2 million, or 1.8%, to $127.4 million for the three months ended September 30, 2025, compared to $125.2 million for the three months ended September 30, 2024. This increase was primarily attributable to higher interest income earned on cash collateral posted driven by an increase in securities borrowing transactions for the period compared to the same period during the prior year.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Commissions, net and technology services revenues were primarily earned by our Execution Services segment. Commissions, net and technology services revenues increased $22.9 million, or 17.4%, to $154.5 million for the three months ended September 30, 2025, compared to $131.6 million for the three months ended September 30, 2024. This increase was driven by higher client volumes and increasing institutional engagement compared to the same period in 2024. As indicated above, rather than analyzing interest and dividends income in isolation, we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Other, net. </w:t>
      </w:r>
      <w:r>
        <w:rPr>
          <w:rFonts w:ascii="Times New Roman;serif" w:hAnsi="Times New Roman;serif"/>
          <w:b w:val="false"/>
          <w:color w:val="000000"/>
          <w:sz w:val="20"/>
        </w:rPr>
        <w:t xml:space="preserve">Other, net increased $7.8 million, to $13.8 million for the three months ended September 30, 2025, compared to $6.0 million for the three months ended September 30, 2024. The three months ended September 30, 2025 primarily included remeasurement gains on certain digital assets held during the period, as well as higher gains on settlement fund recoveries, in which we were eligible to participate based on our transactions in the applicable products, compared to the same period in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which is a non-GAAP measure, increased $79.0 million, or 20.4%, to $467.0 million for the three months ended September 30, 2025, compared to $388.0 million for the three months ended September 30, 2024. This increase was primarily attributable to higher Trading income, net due to higher trading volumes and increased opportunities during the three months ended September 30, 2025 compared to the same period in 2024, as noted above, partially offset by higher Brokerage, exchange, clearance fees and payments for order flow, net and higher Interest and dividends expense as described below. Average daily Adjusted Net Trading Income increased $1.3 million, or 21.3%, to $7.4 million for the three months ended September 30, 2025, compared to $6.1 million for the three months ended September 30, 2024.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increased $85.1 million, or 15.2%, to $644.8 million for the three months ended September 30, 2025, compared to $559.7 million for the three months ended September 30, 2024. The increase in operating expenses is primarily due to an increase in Employee compensation and payroll taxes and 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Brokerage, exchange, clearance fees and payments for order flow, net. </w:t>
      </w:r>
      <w:r>
        <w:rPr>
          <w:rFonts w:ascii="Times New Roman;serif" w:hAnsi="Times New Roman;serif"/>
          <w:b w:val="false"/>
          <w:color w:val="000000"/>
          <w:sz w:val="20"/>
        </w:rPr>
        <w:t xml:space="preserve">Brokerage exchange, clearance fees and payments for order flow, net, increased $1.6 million, or 0.9%, to $178.3 million for the three months ended September 30, 2025, compared to $176.7 million for the three months ended September 30, 2024. These costs vary period to period based upon the level and composition of our trading activities. We evaluate this category representing direct costs associated with transacting business, in the broader context of our Adjusted Net Trading Income.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Communication and data processing. </w:t>
      </w:r>
      <w:r>
        <w:rPr>
          <w:rFonts w:ascii="Times New Roman;serif" w:hAnsi="Times New Roman;serif"/>
          <w:b w:val="false"/>
          <w:color w:val="000000"/>
          <w:sz w:val="20"/>
        </w:rPr>
        <w:t>Communication and data processing expense increased $3.2 million, or 5.4%, to $62.8 million for the three months ended September 30, 2025, compared to $59.6 million for the three months ended September 30, 2024. This increase was primarily due to increased spending on market data and communication networks maintained by our joint ventures.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Employee compensation and payroll taxes. </w:t>
      </w:r>
      <w:r>
        <w:rPr>
          <w:rFonts w:ascii="Times New Roman;serif" w:hAnsi="Times New Roman;serif"/>
          <w:b w:val="false"/>
          <w:color w:val="000000"/>
          <w:sz w:val="20"/>
        </w:rPr>
        <w:t>Employee compensation and payroll taxes increased $50.1 million, or 46.6%, to $157.7 million for the three months ended September 30, 2025, compared to $107.6 million for the three months ended September 30, 2024.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capitalized and therefore excluded employee compensation and benefits related to software development of $9.3 million and $9.3 million for the three months ended September 30,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Interest and dividends expense. </w:t>
      </w:r>
      <w:r>
        <w:rPr>
          <w:rFonts w:ascii="Times New Roman;serif" w:hAnsi="Times New Roman;serif"/>
          <w:b w:val="false"/>
          <w:color w:val="000000"/>
          <w:sz w:val="20"/>
        </w:rPr>
        <w:t>Interest and dividends expense increased $29.6 million, or 21.7%, to $165.7 million for the three months ended September 30, 2025, compared to $136.1 million for the three months ended September 30, 2024. This increase was primarily attributable to higher interest expense incurred on cash collateral received driven by an increase in securities lending transactions for the period compared to the same period during the prior year. As indicated above, rather than analyzing interest and dividends expense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Operations and administrative. </w:t>
      </w:r>
      <w:r>
        <w:rPr>
          <w:rFonts w:ascii="Times New Roman;serif" w:hAnsi="Times New Roman;serif"/>
          <w:b w:val="false"/>
          <w:color w:val="000000"/>
          <w:sz w:val="20"/>
        </w:rPr>
        <w:t>Operations and administrative expense remained consistent at $24.9 million for the three months ended September 30, 2025 and the three months ended September 30, 2024. The current period primarily included an increase in professional expense, offset by more favorable foreign exchange rate movements.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decreased $1.1 million, or 6.7%, to $15.4 million for the three months ended September 30, 2025, compared to $16.5 million for the three months ended September 30, 2024. The decrease was driven primarily by a decrease in depreciation of computer equipment and leased equipment compared to the same period in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Amortization of purchased intangibles and acquired capitalized software. </w:t>
      </w:r>
      <w:r>
        <w:rPr>
          <w:rFonts w:ascii="Times New Roman;serif" w:hAnsi="Times New Roman;serif"/>
          <w:b w:val="false"/>
          <w:color w:val="000000"/>
          <w:sz w:val="20"/>
        </w:rPr>
        <w:t>Amortization of purchased intangibles and acquired capitalized software remained consistent at $11.8 million for the three months ended September 30, 2025 and the three months ended September 30, 2024. Included in Amortization of purchased intangibles and acquired capitalized software was the amortization of finite lived intangible assets acquired in connection with the acquisition of KCG and ITG.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Termination of office leases expenses, when incurred, are related to the impairment of lease right-of-use assets, leasehold improvements and fixed assets for certain abandoned or vacated office space. The expenses for the three months ended September 30, 2025 included a reduction of $6.5 million in cost related to asset retirement obligations that the Company previously recorded. See Note 17 “Leases” for further details. The expenses related to lease terminations were insignificant during the three months ended September 30,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Debt issue cost related to debt refinancing, prepayment and commitment fees. </w:t>
      </w:r>
      <w:r>
        <w:rPr>
          <w:rFonts w:ascii="Times New Roman;serif" w:hAnsi="Times New Roman;serif"/>
          <w:b w:val="false"/>
          <w:color w:val="000000"/>
          <w:sz w:val="20"/>
        </w:rPr>
        <w:t>Expense from debt issue cost related to debt refinancing, prepayment and commitment fees decreased $0.3 million, or 16.7%, to $1.5 million for the three months ended September 30, 2025, compared to $1.8 million for the three months ended September 30, 2024. This decrease was primarily driven by lower commitment fees charged for the revolving facility under the Credit Agreement as a result of increased usage of the revolving facility during the three months ended September 30, 2025 compared to the same period in 2024.</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were insignificant for both the three months ended September 30, 2025, and September 30, 2024. These expenses, when incurred, are primarily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Financing interest expense on long-term borrowings. </w:t>
      </w:r>
      <w:r>
        <w:rPr>
          <w:rFonts w:ascii="Times New Roman;serif" w:hAnsi="Times New Roman;serif"/>
          <w:b w:val="false"/>
          <w:color w:val="000000"/>
          <w:sz w:val="20"/>
        </w:rPr>
        <w:t>Financing interest expense on long-term borrowings increased $8.8 million, or 35.9%, to $33.3 million for the three months ended September 30, 2025, compared to $24.5 million for the three months ended September 30, 2024.The increase was primarily attributable to the completion of the amortization of the amounts in AOCI related to the interest rate swaps terminated in December 2023 during February 2025, partially offset by the effect from lower overall interest rates as a result of rate cuts and our debt refinancing described in Note 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$30.9 million and 17.2% for the three months ended September 30, 2025, compared to $28.1 million and 19.1% for the three months ended September 30,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Nine Months Ended September 30, 2025 Compared to Nine Months Ended September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revenues increased $619.5 million, or 30.3%, to $2,662.2 million for the nine months ended September 30, 2025, compared to $2,042.7 million for the nine months ended September 30, 2024. This increase was primarily attributable to an increase of $493.3 million in Trading income, net due to higher trading volumes and increased opportunities across global markets and an increase of $83.3 million in Commissions, net and technology services driven by strengthened institutional engagement during the nine months ended September 30, 2025 compared to the same period in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total revenues by segment for the nine months ended September 30, 2025 and 2024.</w:t>
      </w:r>
    </w:p>
    <w:p>
      <w:pPr>
        <w:pStyle w:val="TextBody"/>
        <w:bidi w:val="0"/>
        <w:spacing w:before="0" w:after="0"/>
        <w:ind w:left="0" w:right="0" w:firstLine="720"/>
        <w:jc w:val="left"/>
        <w:rPr/>
      </w:pPr>
      <w:r>
        <w:rPr/>
      </w:r>
    </w:p>
    <w:tbl>
      <w:tblPr>
        <w:tblW w:w="729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871"/>
        <w:gridCol w:w="109"/>
        <w:gridCol w:w="109"/>
        <w:gridCol w:w="109"/>
        <w:gridCol w:w="109"/>
        <w:gridCol w:w="196"/>
        <w:gridCol w:w="871"/>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Market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45.3%</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30.3%</w:t>
            </w:r>
          </w:p>
        </w:tc>
      </w:tr>
    </w:tbl>
    <w:p>
      <w:pPr>
        <w:pStyle w:val="TextBody"/>
        <w:bidi w:val="0"/>
        <w:spacing w:before="0" w:after="20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Trading income, net. </w:t>
      </w:r>
      <w:r>
        <w:rPr>
          <w:rFonts w:ascii="Times New Roman;serif" w:hAnsi="Times New Roman;serif"/>
          <w:b w:val="false"/>
          <w:color w:val="000000"/>
          <w:sz w:val="20"/>
        </w:rPr>
        <w:t>Trading income, net was primarily earned by our Market Making segment. Trading income, net, increased $493.3 million, or 38.6%, to $1,771.8 million for the nine months ended September 30, 2025, compared to $1,278.5 million for the nine months ended September 30, 2024. The increase was largely a result of higher trading volumes and increased opportunities across global markets during the nine months ended September 30, 2025 compared to the same period in 2024. Rather than analyzing Trading income, net in isolation, we evaluate it in the broader context of our Adjusted Net Trading Income, together with Interest and dividends income, Commissions, net and technology services, Interest and dividends expense, and Brokerage, exchange, clearance fees and payments for order flow, net, each of which are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Interest and dividends income. </w:t>
      </w:r>
      <w:r>
        <w:rPr>
          <w:rFonts w:ascii="Times New Roman;serif" w:hAnsi="Times New Roman;serif"/>
          <w:b w:val="false"/>
          <w:color w:val="000000"/>
          <w:sz w:val="20"/>
        </w:rPr>
        <w:t>Interest and dividends income was primarily earned by our Market Making segment. Interest and dividends income increased $26.6 million, or 7.9%, to $364.9 million for the nine months ended September 30, 2025, compared to $338.3 million for the nine months ended September 30, 2024. Fluctuations were primarily attributable to changes in interest income earned on cash collateral posted as part of securities borrowed transactions and securities purchased under the agreements to resell, driven by the movements of interest rates as well as the level of our activities in securities borrowing and reverse repurchase agreements. The increase for the nine months ended September 30, 2025 was primarily driven by an increase in securities borrowing transactions for the period compared to the same period during the prior year.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Commissions, net and technology services revenues were primarily earned by our Execution Services segment. Commissions, net and technology services revenues increased $83.3 million, or 22.1%, to $459.6 million for the nine months ended September 30, 2025, compared to $376.3 million for the nine months ended September 30, 2024. This increase was driven by relatively higher client volumes and increasing institutional engagement compared to the same period in 2024. As indicated above, rather than analyzing commission income in isolation, we evaluate it in the broader context of our Adjusted Net Trading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Other, net.</w:t>
      </w:r>
      <w:r>
        <w:rPr>
          <w:color w:val="000000"/>
        </w:rPr>
        <w:t xml:space="preserve"> </w:t>
      </w:r>
      <w:r>
        <w:rPr>
          <w:rFonts w:ascii="Times New Roman;serif" w:hAnsi="Times New Roman;serif"/>
          <w:b w:val="false"/>
          <w:color w:val="000000"/>
          <w:sz w:val="20"/>
        </w:rPr>
        <w:t>Other, net increased $16.3 million, or 32.9%, to $65.9 million for the nine months ended September 30, 2025, compared to $49.6 million for the nine months ended September 30, 2024. The income for the nine months ended September 30, 2025 included gains on the sale and deconsolidation of RFQ-hub, partially offset by remeasurement losses on certain digital assets held during the period. The income for the nine months ended September 30, 2024 included gains on settlement fund recoveries in which we were eligible to participate based on our transactions in the applicable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which is a non-GAAP measure, increased $391.9 million, or 34.4%, to $1,531.9 million for the nine months ended September 30, 2025, compared to $1,140.0 million for the nine months ended September 30, 2024. This increase was primarily attributable to higher Trading income, net and Commissions, net and technology services, as noted above, partially offset by higher Brokerage, exchange, clearance fees and payments for order flow, net and Interest and dividends expense as described below. Average daily Adjusted Net Trading Income increased $2.2 million, or 36.1%, to $8.3 million for the nine months ended September 30, 2025, compared to $6.1 million for the nine months ended September 30, 2024. Taking shortened trading days into consideration for the nine months ended September 30, 2025, the number of trading days was 185.5 days, compared to 188.0 days for the nine months ended September 30, 2024 under the previous trading day convention.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increased $311.2 million, or 19.4%, to $1,911.5 million for the nine months ended September 30, 2025, compared to $1,600.3 million for the nine months ended September 30, 2024. The increase was primarily driven by increases in Brokerage, exchange, clearance fees and payments for order flow, net, Interest and dividends expense, and Employee compensation and payroll taxes, partially offset by a decrease in Debt issue cost related to debt refinancing, prepayment and commitment fees.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Brokerage, exchange, clearance fees and payments for order flow, net. </w:t>
      </w:r>
      <w:r>
        <w:rPr>
          <w:rFonts w:ascii="Times New Roman;serif" w:hAnsi="Times New Roman;serif"/>
          <w:b w:val="false"/>
          <w:color w:val="000000"/>
          <w:sz w:val="20"/>
        </w:rPr>
        <w:t>Brokerage, exchange, clearance fees and payments for order flow, net, increased $135.0 million, or 28.9%, to $602.3 million for the nine months ended September 30, 2025, compared to $467.3 million for the nine months ended September 30, 2024. These costs vary period to period based upon the level and composition of our trading activities. We evaluate this category, representing direct costs associated with transacting our business,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Communication and data processing. </w:t>
      </w:r>
      <w:r>
        <w:rPr>
          <w:rFonts w:ascii="Times New Roman;serif" w:hAnsi="Times New Roman;serif"/>
          <w:b w:val="false"/>
          <w:color w:val="000000"/>
          <w:sz w:val="20"/>
        </w:rPr>
        <w:t>Communication and data processing expense increased $6.9 million, or 3.9%, to $184.0 million for the nine months ended September 30, 2025, compared to $177.1 million for the nine months ended September 30, 2024. This increase was primarily attributable to increased connectivity spending on market data, subscription, colocation connectivity, and communication networks maintained by our joint ventures.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Employee compensation and payroll taxes. </w:t>
      </w:r>
      <w:r>
        <w:rPr>
          <w:rFonts w:ascii="Times New Roman;serif" w:hAnsi="Times New Roman;serif"/>
          <w:b w:val="false"/>
          <w:color w:val="000000"/>
          <w:sz w:val="20"/>
        </w:rPr>
        <w:t>Employee compensation and payroll taxes increased $99.0 million, or 31.5%, to $413.2 million for the nine months ended September 30, 2025, compared to $314.2 million for the nine months ended September 30, 2024.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capitalized and therefore excluded employee compensation and benefits related to software development of $30.5 million and $30.1 million for the nine months ended September 30,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Interest and dividends expense. </w:t>
      </w:r>
      <w:r>
        <w:rPr>
          <w:rFonts w:ascii="Times New Roman;serif" w:hAnsi="Times New Roman;serif"/>
          <w:b w:val="false"/>
          <w:color w:val="000000"/>
          <w:sz w:val="20"/>
        </w:rPr>
        <w:t>Interest and dividends expense increased $76.4 million, or 19.8%, to $462.2 million for the nine months ended September 30, 2025, compared to $385.8 million for the nine months ended September 30, 2024. This increase was primarily attributable to higher interest expense incurred on cash collateral received driven by an increase in securities lending transactions, as well as higher dividends expense with respect to securities sold, not yet purchased for the period compared to the same period during the prior year. As indicated above, rather than analyzing interest and dividends expense in isolation, we generally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Operations and administrative. </w:t>
      </w:r>
      <w:r>
        <w:rPr>
          <w:rFonts w:ascii="Times New Roman;serif" w:hAnsi="Times New Roman;serif"/>
          <w:b w:val="false"/>
          <w:color w:val="000000"/>
          <w:sz w:val="20"/>
        </w:rPr>
        <w:t>Operations and administrative expense increased $3.6 million, or 5.2%, to $72.9 million for the nine months ended September 30, 2025, compared to $69.3 million for the nine months ended September 30, 2024. The increase was primarily driven by an increase in professional expense compared to the prior period.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decreased $1.6 million, or 3.3%, to $47.0 million for the nine months ended September 30, 2025, compared to $48.6 million for the nine months ended September 30, 2024. This decrease was driven primarily by a decrease in depreciation of computer equipment and leased equipment compared to the prior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Amortization of purchased intangibles and acquired capitalized software. </w:t>
      </w:r>
      <w:r>
        <w:rPr>
          <w:rFonts w:ascii="Times New Roman;serif" w:hAnsi="Times New Roman;serif"/>
          <w:b w:val="false"/>
          <w:color w:val="000000"/>
          <w:sz w:val="20"/>
        </w:rPr>
        <w:t>Amortization of purchased intangibles and acquired capitalized software decreased $3.4 million, or 8.8%, to $35.3 million for the nine months ended September 30, 2025, compared to $38.7 million for the nine months ended September 30, 2024. This decrease was primarily attributable to certain intangible assets being fully amortized during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 xml:space="preserve">Termination of office leases expenses, when incurred, are related to the impairment of lease right-of-use assets, leasehold improvements and fixed assets for certain abandoned or vacated office space. The expenses for the nine months ended September 30, 2025 included a reduction of $6.5 million in cost related to asset retirement obligations that the Company previously recorded. See Note 17 “Leases” for further details. The expenses related to lease terminations were insignificant for the for the nine months ended September 30, 2024.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Debt issue cost related to debt refinancing, prepayment and commitment fees.</w:t>
      </w:r>
      <w:r>
        <w:rPr>
          <w:color w:val="000000"/>
        </w:rPr>
        <w:t xml:space="preserve"> </w:t>
      </w:r>
      <w:r>
        <w:rPr>
          <w:rFonts w:ascii="Times New Roman;serif" w:hAnsi="Times New Roman;serif"/>
          <w:b w:val="false"/>
          <w:color w:val="000000"/>
          <w:sz w:val="20"/>
        </w:rPr>
        <w:t>Expense from debt issue cost related to debt refinancing, prepayment and commitment fees decreased $22.8 million, or 82.3%, to $4.9 million for the nine months ended September 30, 2025, compared to $27.7 million for the nine months ended September 30, 2024. The decrease was primarily driven by the acceleration of capitalized debt issue cost and discount on our previous term loan as a result of refinancing during the nine months ended September 30, 2024. See Note 9 “Borrowings” of Part I Item 1 “Financial Statements” of this Quarterly Report on Form 10-Q for additional details.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were insignificant for the nine months ended September 30, 2025 and September 30, 2024. These expenses, when incurred, are primarily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Financing interest expense on long term borrowings. </w:t>
      </w:r>
      <w:r>
        <w:rPr>
          <w:rFonts w:ascii="Times New Roman;serif" w:hAnsi="Times New Roman;serif"/>
          <w:b w:val="false"/>
          <w:color w:val="000000"/>
          <w:sz w:val="20"/>
        </w:rPr>
        <w:t>Financing interest expense on long-term borrowings increased $24.5 million, or 34.4%, to $95.7 million for the nine months ended September 30, 2025, compared to $71.2 million for the nine months ended September 30, 2024. This increase was primarily attributable to the completion of the amortization of the amounts in AOCI related to the interest rate swaps terminated in December 2023 during February 2025, partially offset by the effect from lower overall interest rates as a result of rate cuts and our debt refinancing described in Note 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$119.1 million and 15.9% for the nine months ended September 30, 2025, compared to a provision for income taxes and effective tax rate of $83.9 million and 19.0% for the nine months ended September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$707.9 million in Cash and cash equivalents. This balance is maintained primarily to support operating activities, for capital expenditures and for short-term access to liquidity, and for other general corporate purposes. As of September 30, 2025, we had borrowings under our prime brokerage credit facilities of approximately $123.2 million, borrowings under our broker dealer facilities of $125.0 million, and long-term debt outstanding in an aggregate principal amount of approximately $2,068.7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committed credit facility and an uncommitted credit facility for our wholly-owned U.S. broker-dealer subsidiary, as discussed in Note 9 “Borrowings”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we are required under the tax receivable agreements entered into in connection with our IPO to make payments to certain direct or indirect equity holders of Virtu Financial or their permitted assignees (collectively, “TRA Parties”)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TRA Parties described in Note 5 “Tax Receivable Agreements” of Part I Item 1 “Financial Statements” of this Quarterly Report on Form 10-Q are expected to range from approximately $0.1 million to $22.1 million per year over the next 15 years. Such payments will occur only after we have filed our U.S. federal and state income tax returns and realized the cash tax savings from the favorable tax attributes. We made payments totaling $134.8 million from February 2017 through September 2025. Future payments under the tax receivable agreements in respect of subsequent exchanges would be in addition to these amounts. We currently expect to fund these payments from realized cash tax savings from the favorable tax attributes.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tax receivable agreements, as a result of certain types of transactions and other factors, including a transaction resulting in a change of control, we may also be required to make payments to TRA Parties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Regulatory Capital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became a registered U.S. broker-dealer and as such is subject to regulation and capital requirements from its primary regulators, the SEC and FINRA. As described in Note 3 “Sale of RFQ-hub”, we disposed of a 49% interest in RAL’s parent company RFQ-hub Holdings LLC (together with its subsidiaries, “RFQ-hub”) in May 2025 and we ceased to control, and deconsolidated, RFQ-hub at such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Effective January 22, 2025, Virtu Financial Canada ULC has resigned from membership with the Canadian Investment Regulatory Organization and is no longer subject to its regulatory requirements.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21 “Regulatory Requirement” of Part I Item 1 “Financial Statements” of this Quarterly Report on Form 10-Q for a discussion of regulatory capital requirements of our regulated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Broker Dealer Credit Facilities, Short-Term Bank Loans, and 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various broker-dealer facilities and short-term credit facilities as part of our daily trading operations. See Note 9 “Borrowings” of Part I Item 1 “Financial Statements” of this Quarterly Report on Form 10-Q for details on our various credit facilities. As of September 30, 2025, there was an outstanding principal balance on our broker-dealer facilities of $125.0 million, and the outstanding aggregate short-term credit facilities with various prime brokers and other financial institutions from which the Company receives execution or clearing services was approximately $123.2 million, which was netted within Receivables from broker-dealers and clearing organizations on the Condensed Consolidated Statements of Financial Condition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previous first lien term loan facility in relation to the ITG Acquisition at rates of 4.3% and 4.4% through September 2024 and January 2025, respectively.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Original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amends the First Amended Credit Agreement (as amended,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$300.0 million, the proceeds of which were used for general corporate purposes, for a total Term B-2 Loan balance of $1,545.0 million (collectively, the “Term B-2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interest rate swap effectively fixes interest payment obligations on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$1,545.0 million was outstanding under the current term loans. We were in compliance with all applicable covenants under the Credit Agreement as of September 30,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Secured First Lien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main sources of liquidity are cash flow from the operations of our subsidiaries, our broker-dealer credit facilities (as described above), margin financing provided by our prime brokers and cash on hand.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primary sources and uses of cash for the nine months ended September 30, 2025 and 2024.</w:t>
      </w:r>
    </w:p>
    <w:p>
      <w:pPr>
        <w:pStyle w:val="TextBody"/>
        <w:bidi w:val="0"/>
        <w:spacing w:before="0" w:after="0"/>
        <w:jc w:val="left"/>
        <w:rPr/>
      </w:pPr>
      <w:r>
        <w:rPr/>
      </w:r>
    </w:p>
    <w:tbl>
      <w:tblPr>
        <w:tblW w:w="7560" w:type="dxa"/>
        <w:jc w:val="center"/>
        <w:tblInd w:w="0" w:type="dxa"/>
        <w:tblLayout w:type="fixed"/>
        <w:tblCellMar>
          <w:top w:w="28" w:type="dxa"/>
          <w:left w:w="28" w:type="dxa"/>
          <w:bottom w:w="28" w:type="dxa"/>
          <w:right w:w="28" w:type="dxa"/>
        </w:tblCellMar>
      </w:tblPr>
      <w:tblGrid>
        <w:gridCol w:w="1584"/>
        <w:gridCol w:w="1395"/>
        <w:gridCol w:w="1401"/>
        <w:gridCol w:w="109"/>
        <w:gridCol w:w="109"/>
        <w:gridCol w:w="109"/>
        <w:gridCol w:w="198"/>
        <w:gridCol w:w="822"/>
        <w:gridCol w:w="110"/>
        <w:gridCol w:w="110"/>
        <w:gridCol w:w="110"/>
        <w:gridCol w:w="110"/>
        <w:gridCol w:w="198"/>
        <w:gridCol w:w="822"/>
        <w:gridCol w:w="110"/>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(158,579)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(117,232)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$9.0 million for the nine months ended September 30, 2025, compared to net cash provided by operating activities of $207.5 million for the nine months ended September 30, 2024. The change in net cash provided by operating activities was primarily attributable to movements in noncash adjustments, partially offset by higher Net income for the nine months ended September 30, 2025 compared to the prior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which includes cash used with respect to capitalized software and cash used in the acquisition of property and equipment, was $37.8 million for the nine months ended September 30, 2025, compared with net cash used in investing activities of $55.7 million for the nine months ended September 30, 2024. The decrease in net cash used in investing activities was primarily attributable to proceeds received from sale of RFQ-hub, partially offset by increases in acquisition of property and equipment and other investing activities for the nine months ended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$144.4 million for the nine months ended September 30, 2025, compared to Net cash used in financing activities of $272.8 million for the nine months ended September 30, 2024. The cash used in financing activities for the nine months ended September 30, 2025 was primarily attributable to $1,245.0 million of repayment of our previous long-term borrowings, $326.7 million in dividends to stockholders and distributions made to noncontrolling interests, and $188.3 million in purchases of treasury stock, partially offset by $1,545.0 million of net proceeds from long-term borrowings and $86.5 million of net proceeds from short-term borrowings. The cash used in financing activities of $272.8 million during the same period of 2024 primarily reflects $1,727.0 million of repayment of our previous long-term borrowings, $247.9 million net dividends to stockholders and distributions to noncontrolling interests, and $132.9 million purchase of treasury stock, partially offset by $1,741.9 million of net proceeds from long-term borrowings and $129.6 million of net proceeds from short-term borrowings.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 and on April 24, 2024 to $1,720 million (and extended the duration through April 24,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2025, the Company repurchased approximately 53.8 million shares of Class A Common Stock and Virtu Financial Units for approximately $1,417.2 million. As of September 30, 2025, the Company has approximately of $302.8 million remaining capacity for future purchases of shares of Class A Common Stock and Virtu Financial Units under the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Valuation of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 Unadjusted quoted prices in active markets that are accessible at the measurement date for identical, unrestricted assets or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 Quoted prices in markets that are not active and financial instruments for which all significant inputs are observable, either directly or indirectly; 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 Prices or valuations that require inputs that are both significant to the fair value measurement and unobservable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10 “Financial Assets and Liabilities” of Part I Item 1 “Financial Statements” of this Quarterly Report on Form 10-Q for further information about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Trading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Trading income, net, consists of trading gains and losses that are recorded on a trade date basis and reported on a net basis. Trading income, net, is primarily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and Dividends Income/Interest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Commissions, Net and Technology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Commissions, net, which primarily comprise commissions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Workflow technology revenues consist of order and trade execution management and order routing services we provide through our front-end workflow solutions and network capabilities.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trade order routing from our execution management system (“EMS”) to our execution services offerings, with each trade order routed through the EMS representing a separate performance obligation, which is the trade date for that trade order routed,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(i)the commission value for each customer for the products and services it receives, which is priced using the value for similar stand-alone subscription arrangements; and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(ii)a calculated ratio of the commission value for the products and services relative to the total amount of commissions generated from the customer.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awards issued for compensation in connection with or subsequent to the Reorganization Transactions and the IPO pursuant to our Second Amended and Restated 2015 Management Incentive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wholly owned subsidiaries are subject to income taxes in foreign jurisdictions. The provision for income tax is composed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required under the tax receivable agreements entered into in connection with our IPO to make payments to TRA Parties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limitations on accessing capital;</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fluctuations in foreign exchange rates or other developments in equity and credit markets;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 xml:space="preserve">industry and market considerations such as a deterioration in the environment in which an entity operates, an increased competitive environment, a decline in market-dependent multiples or metrics (considered in both absolute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terms and relative to peers), a change in the market for an entity’s products or services, or a regulatory or political development; </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cost factors such as increases in raw materials, labor, or other costs that have a negative effect on earnings and cash flows;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overall financial performance such as negative or declining cash flows or a decline in actual or planned revenue or earnings compared with actual and projected results of relevant prior periods;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 xml:space="preserve">other relevant entity-specific events such as changes in management, key personnel, strategy, or customers, contemplation of bankruptcy, or litigation.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after assessing the totality of such events or circumstances, an entity determines that it is not more likely than not that the fair value of a reporting unit is less than its carrying amount, then no further goodwill impairment testing is necessary.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assess goodwill for impairment on an annual basis as of July 1st and on an interim basis when certain events or circumstances exist. In the impairment assessment as of July 1, 2025, we performed a qualitative assessment as described above for each reporting unit. No impairment of goodwill was identified.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w:t>
      </w:r>
      <w:r>
        <w:rPr>
          <w:color w:val="263238"/>
        </w:rPr>
        <w:t xml:space="preserve"> </w:t>
      </w:r>
      <w:r>
        <w:rPr>
          <w:rFonts w:ascii="Times New Roman;serif" w:hAnsi="Times New Roman;serif"/>
          <w:b w:val="false"/>
          <w:color w:val="000000"/>
          <w:sz w:val="20"/>
        </w:rPr>
        <w:t>We amortize finite-lived intangible assets over their estimated useful lives. Our largest finite-lived intangible asset is customer relationships, which is being amortized over an estimated useful life of ten to twelve years. Had we used a shorter estimated useful life of seven years, the Company would have recorded an additional $3.6 million and $4.0 million of amortization expense for the three months ended September 30, 2025 and 2024, respectively, and $10.8 million and $14.8 million of amortization expense for the nine months ended September 30, 2025 and 2024, respectively. We test finite-lived intangible assets for impairment when impairment indicators are present, and if impaired, they are written down to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 the ordinary course of business. The risks primarily relate to changes in the value of financial instruments due to factors such as market prices, interest rates, and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senior trading personnel, designated risk personnel and senior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maintain inventories of exchange-listed and other equity securities, and to a lesser extent, fixed income securities and listed equity options. The fair value of these financial instruments at September 30, 2025 and December 31, 2024 was $10.9 billion and $7.8 billion, respectively, in long positions and $10.4 billion and $6.4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 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Futures Contracts</w:t>
      </w:r>
      <w:r>
        <w:rPr>
          <w:rFonts w:ascii="Times New Roman;serif" w:hAnsi="Times New Roman;serif"/>
          <w:b w:val="false"/>
          <w:color w:val="000000"/>
          <w:sz w:val="20"/>
        </w:rPr>
        <w:t>. As part of our proprietary market making trading strategies, we use futures contracts to gain 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Due from Broker-Dealers and Clearing Organizations</w:t>
      </w:r>
      <w:r>
        <w:rPr>
          <w:rFonts w:ascii="Times New Roman;serif" w:hAnsi="Times New Roman;serif"/>
          <w:b w:val="false"/>
          <w:color w:val="000000"/>
          <w:sz w:val="20"/>
        </w:rPr>
        <w:t>. Management periodically evaluates our counterparty credit exposures to various brokers and clearing organizations with a view to limiting potential losses resulting from counterparty insolvency.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19.1% and 18.6% of our total revenues for the nine months ended September 30, 2025 and 2024, respectively, were denominated in non-U.S. dollar currencies. We estimate that a hypothetical 10% adverse change in the value of the U.S. dollar relative to our foreign denominated earnings would have resulted in decreases in total revenues of $50.9 million and $38.0 million for the nine months ended September 30, 2025 and 2024,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Instruments with Off Balance Sheet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2025. Based upon that evaluation, our Chief Executive Officer and Chief Financial Officer concluded that, as of September 30, 2025,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to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 13a-15(f) under the Exchange Act) occurred during the three months ended September 30, 2025 that has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the “Legal Proceedings” section in Note 16 “Commitments, Contingencies and Guarantees” to the Company’s Condensed Consolidated Financial Statements included in Part I Item 1 “Financial Statements”, which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described in Part I Item 1A. “Risk Factors” in our 2024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 During nine months ended September 30, 2025, pursuant to the Exchange Agreement, certain current and former employees elected to exchange 566,924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share repurchases for the three months ended September 30, 2025 were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98"/>
        <w:gridCol w:w="374"/>
        <w:gridCol w:w="378"/>
        <w:gridCol w:w="109"/>
        <w:gridCol w:w="109"/>
        <w:gridCol w:w="109"/>
        <w:gridCol w:w="574"/>
        <w:gridCol w:w="448"/>
        <w:gridCol w:w="450"/>
        <w:gridCol w:w="109"/>
        <w:gridCol w:w="109"/>
        <w:gridCol w:w="109"/>
        <w:gridCol w:w="272"/>
        <w:gridCol w:w="774"/>
        <w:gridCol w:w="151"/>
        <w:gridCol w:w="109"/>
        <w:gridCol w:w="109"/>
        <w:gridCol w:w="109"/>
        <w:gridCol w:w="737"/>
        <w:gridCol w:w="737"/>
        <w:gridCol w:w="739"/>
        <w:gridCol w:w="109"/>
        <w:gridCol w:w="109"/>
        <w:gridCol w:w="109"/>
        <w:gridCol w:w="764"/>
        <w:gridCol w:w="741"/>
        <w:gridCol w:w="1060"/>
      </w:tblGrid>
      <w:tr>
        <w:trPr/>
        <w:tc>
          <w:tcPr>
            <w:tcW w:w="69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565,294 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$302,812,949</w:t>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135,474 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$302,812,949</w:t>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$302,812,949</w:t>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706,697 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$302,812,949</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the repurchase of 232,110 shares from employees in order to satisfy statutory tax withholding requirements upon the net settlement of equity awards for the three months ended September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 announced that the Board of Directors had authorized a new share repurchase program of up to $100.0 million in Class A common stock and Virtu Financial Units by December 31, 2021. On February 11, 2021, the Company announced that the Board of Directors had authorized the expansion of the program by an additional $70 million in Class A Common Stock and Virtu Financial Units. On May 4, 2021, the Company announced that the Board of Directors had authorized the expansion of the Company's share repurchase program, increasing the total authorized amount by $300 million to $470 million in Class A Common Stock and Virtu Financial Units and extending the duration of the program through May 4, 2022. On November 3, 2021, the Company announced that the Board of Directors had authorized the expansion of the program by an additional $750 million to $1,220 million and extending the duration of the program through November 3, 2023, which was subsequently extended through December 31, 2024. On April 24, 2024, the Company announced that the Board of Directors had authorized the expansion of the program by an additional $500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2025, the Company repurchased approximately 53.8 million shares of Class A Common Stock and Virtu Financial Units for approximately $1,417.2 million. As of September 30, 2025, the Company has approximately $302.8 million remaining capacity for future purchases of shares of Class A Common Stock and Virtu Financial Units under the program.</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no director or “officer” (as defined in Rule 16a-1(f) under the Exchange Act) of the Company adopted, modified or terminated a "Rule 10b5-1 trading arrangement" or a “non-Rule 10b5-1 trading arrangement,” as each term is defined in Item 408(a) of Regulation S-K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95"/>
        <w:gridCol w:w="2475"/>
        <w:gridCol w:w="353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Second Amended and Restated Certificate of Incorporation of the Registrant (incorporated herein by reference to Exhibit 3.1 to the Company’s Quarterly Report on Form 10-Q (File No. 001-37352), filed on July 28, 2023).</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Registrant (incorporated herein by reference to Exhibit 3.2 to the Company’s Quarterly Report on Form 10-Q, as amended (File No. 001-37352), filed on May 29, 2015).</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101q325.htm">
              <w:r>
                <w:rPr>
                  <w:rStyle w:val="InternetLink"/>
                  <w:rFonts w:ascii="Times New Roman;serif" w:hAnsi="Times New Roman;serif"/>
                  <w:b w:val="false"/>
                  <w:color w:val="0000FF"/>
                  <w:sz w:val="20"/>
                  <w:u w:val="single"/>
                </w:rPr>
                <w:t>Separation Agreement, dated as of July 29, 2025, by and between Virtu Financial, Inc. and Douglas A. Cifu.</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102q325.htm">
              <w:r>
                <w:rPr>
                  <w:rStyle w:val="InternetLink"/>
                  <w:rFonts w:ascii="Times New Roman;serif" w:hAnsi="Times New Roman;serif"/>
                  <w:b w:val="false"/>
                  <w:color w:val="000080"/>
                  <w:sz w:val="20"/>
                  <w:u w:val="single"/>
                </w:rPr>
                <w:t>A</w:t>
              </w:r>
            </w:hyperlink>
            <w:hyperlink w:anchor="exhibit102q325.htm">
              <w:r>
                <w:rPr>
                  <w:rStyle w:val="InternetLink"/>
                  <w:rFonts w:ascii="Times New Roman;serif" w:hAnsi="Times New Roman;serif"/>
                  <w:b w:val="false"/>
                  <w:color w:val="000080"/>
                  <w:sz w:val="20"/>
                  <w:u w:val="single"/>
                </w:rPr>
                <w:t>mendment No. 3</w:t>
              </w:r>
            </w:hyperlink>
            <w:hyperlink w:anchor="exhibit102q325.htm">
              <w:r>
                <w:rPr>
                  <w:rStyle w:val="InternetLink"/>
                  <w:rFonts w:ascii="Times New Roman;serif" w:hAnsi="Times New Roman;serif"/>
                  <w:b w:val="false"/>
                  <w:color w:val="000080"/>
                  <w:sz w:val="20"/>
                  <w:u w:val="single"/>
                </w:rPr>
                <w:t>, dated September 23, 2025, to the Credit A</w:t>
              </w:r>
            </w:hyperlink>
            <w:hyperlink w:anchor="exhibit102q325.htm">
              <w:r>
                <w:rPr>
                  <w:rStyle w:val="InternetLink"/>
                  <w:rFonts w:ascii="Times New Roman;serif" w:hAnsi="Times New Roman;serif"/>
                  <w:b w:val="false"/>
                  <w:color w:val="000080"/>
                  <w:sz w:val="20"/>
                  <w:u w:val="single"/>
                </w:rPr>
                <w:t>greement</w:t>
              </w:r>
            </w:hyperlink>
            <w:hyperlink w:anchor="exhibit102q325.htm">
              <w:r>
                <w:rPr>
                  <w:rStyle w:val="InternetLink"/>
                  <w:rFonts w:ascii="Times New Roman;serif" w:hAnsi="Times New Roman;serif"/>
                  <w:b w:val="false"/>
                  <w:color w:val="000080"/>
                  <w:sz w:val="20"/>
                  <w:u w:val="single"/>
                </w:rPr>
                <w:t>, dated January 13, 2022 (as amended by Amendment No. 1, dated June 21, 2024 and Amendment No. 2, dated Febr</w:t>
              </w:r>
            </w:hyperlink>
            <w:hyperlink w:anchor="exhibit102q325.htm">
              <w:r>
                <w:rPr>
                  <w:rStyle w:val="InternetLink"/>
                  <w:rFonts w:ascii="Times New Roman;serif" w:hAnsi="Times New Roman;serif"/>
                  <w:b w:val="false"/>
                  <w:color w:val="000080"/>
                  <w:sz w:val="20"/>
                  <w:u w:val="single"/>
                </w:rPr>
                <w:t xml:space="preserve">uary 19, 2025), among Virtu Financial LLC, as </w:t>
              </w:r>
            </w:hyperlink>
            <w:hyperlink w:anchor="exhibit102q325.htm">
              <w:r>
                <w:rPr>
                  <w:rStyle w:val="InternetLink"/>
                  <w:rFonts w:ascii="Times New Roman;serif" w:hAnsi="Times New Roman;serif"/>
                  <w:b w:val="false"/>
                  <w:color w:val="000080"/>
                  <w:sz w:val="20"/>
                  <w:u w:val="single"/>
                </w:rPr>
                <w:t>Holdings, VFH Pa</w:t>
              </w:r>
            </w:hyperlink>
            <w:hyperlink w:anchor="exhibit102q325.htm">
              <w:r>
                <w:rPr>
                  <w:rStyle w:val="InternetLink"/>
                  <w:rFonts w:ascii="Times New Roman;serif" w:hAnsi="Times New Roman;serif"/>
                  <w:b w:val="false"/>
                  <w:color w:val="000080"/>
                  <w:sz w:val="20"/>
                  <w:u w:val="single"/>
                </w:rPr>
                <w:t>rent LLC, as Borrower, the Lenders, and JPMorgan Chase Bank, N.A., as Adm</w:t>
              </w:r>
            </w:hyperlink>
            <w:hyperlink w:anchor="exhibit102q325.htm">
              <w:r>
                <w:rPr>
                  <w:rStyle w:val="InternetLink"/>
                  <w:rFonts w:ascii="Times New Roman;serif" w:hAnsi="Times New Roman;serif"/>
                  <w:b w:val="false"/>
                  <w:color w:val="000080"/>
                  <w:sz w:val="20"/>
                  <w:u w:val="single"/>
                </w:rPr>
                <w:t>inistrative Agent</w:t>
              </w:r>
            </w:hyperlink>
            <w:hyperlink w:anchor="exhibit102q325.htm">
              <w:r>
                <w:rPr>
                  <w:rStyle w:val="InternetLink"/>
                  <w:rFonts w:ascii="Times New Roman;serif" w:hAnsi="Times New Roman;serif"/>
                  <w:b w:val="false"/>
                  <w:color w:val="000080"/>
                  <w:sz w:val="20"/>
                  <w:u w:val="single"/>
                </w:rPr>
                <w:t>.</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103q325.htm">
              <w:r>
                <w:rPr>
                  <w:rStyle w:val="InternetLink"/>
                  <w:rFonts w:ascii="Times New Roman;serif" w:hAnsi="Times New Roman;serif"/>
                  <w:b w:val="false"/>
                  <w:color w:val="0000FF"/>
                  <w:sz w:val="20"/>
                  <w:u w:val="single"/>
                </w:rPr>
                <w:t>Third Amended and Restated Employment Agreement, dated as of September 30, 2025, between Virtu Financial Operating LLC and Aaron Simons.</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1q325.htm">
              <w:r>
                <w:rPr>
                  <w:rStyle w:val="InternetLink"/>
                  <w:rFonts w:ascii="Times New Roman;serif" w:hAnsi="Times New Roman;serif"/>
                  <w:b w:val="false"/>
                  <w:color w:val="0000FF"/>
                  <w:sz w:val="20"/>
                  <w:u w:val="single"/>
                </w:rPr>
                <w:t>Certification of Chief Executive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2q325.htm">
              <w:r>
                <w:rPr>
                  <w:rStyle w:val="InternetLink"/>
                  <w:rFonts w:ascii="Times New Roman;serif" w:hAnsi="Times New Roman;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1q325.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2q325.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98" w:type="dxa"/>
        <w:jc w:val="center"/>
        <w:tblInd w:w="0" w:type="dxa"/>
        <w:tblLayout w:type="fixed"/>
        <w:tblCellMar>
          <w:top w:w="28" w:type="dxa"/>
          <w:left w:w="28" w:type="dxa"/>
          <w:bottom w:w="28" w:type="dxa"/>
          <w:right w:w="28" w:type="dxa"/>
        </w:tblCellMar>
      </w:tblPr>
      <w:tblGrid>
        <w:gridCol w:w="249"/>
        <w:gridCol w:w="220"/>
        <w:gridCol w:w="221"/>
        <w:gridCol w:w="504"/>
        <w:gridCol w:w="504"/>
        <w:gridCol w:w="506"/>
        <w:gridCol w:w="275"/>
        <w:gridCol w:w="275"/>
        <w:gridCol w:w="275"/>
        <w:gridCol w:w="603"/>
        <w:gridCol w:w="603"/>
        <w:gridCol w:w="863"/>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 Financial,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Aaron Simons</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Aaron Simons</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exhibit101q325.htm"/>
      <w:bookmarkStart w:id="1" w:name="ksexhibit101q325"/>
      <w:bookmarkEnd w:id="0"/>
      <w:bookmarkEnd w:id="1"/>
      <w:r>
        <w:rPr/>
        <w:drawing>
          <wp:inline distT="0" distB="0" distL="0" distR="0">
            <wp:extent cx="10048875" cy="13001625"/>
            <wp:effectExtent l="0" t="0" r="0" b="0"/>
            <wp:docPr id="9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jc w:val="center"/>
        <w:rPr>
          <w:color w:val="FFFFFF"/>
          <w:sz w:val="2"/>
        </w:rPr>
      </w:pPr>
      <w:r>
        <w:rPr>
          <w:color w:val="FFFFFF"/>
          <w:sz w:val="2"/>
        </w:rPr>
        <w:t xml:space="preserve">EXECUTION VERSION SEPARATION AGREEMENT This Separation Agreement (the “Agreement”) is dated as of July 29, 2025, by and between Virtu Financial, Inc., a Delaware corporation (the “Company,”) and Douglas A. Cifu (the “Executive”). WHEREAS, the Executive is employed by the Company as its Chief Executive Officer and is a party to that certain Second Amended and Restated Employment Agreement, dated as of April 29, 2022 (as amended, modified, or supplemented from time to time, the “Employment Agreement”); WHEREAS, capitalized terms used but not otherwise defined in this Agreement are defined as set forth in the Employment Agreement; NOW THEREFORE, in consideration of the promises, mutual covenants and other good and valuable consideration set forth in this Agreement, the receipt and sufficiency of which are hereby acknowledged, the Executive and the Company (the “Parties”) agree as follows: 1. Separation. On August 1, 2025 (the “Separation Date”), the Executive’s employment with the Company will end, the Executive will cease to be the Company’s Chief Executive Officer and the Executive will step down from the Board and all other positions related to Executive’s role with the Company. 2. Consulting Services. From the Separation Date through December 31, 2025 (the “Consulting Period”), the Company will engage the Executive as a consultant of the Company to provide transition services and other services reasonably requested by the Company and will pay the Executive an aggregate amount of $5,000,000 (the “Consulting Payments”) for services rendered by the Executive during the Consulting Period, which will be paid in five (5) equal monthly installments commencing on August 31, 2025 during the Consulting Period. For the avoidance of doubt no withholdings or other deductions will be made by the Company from the Consulting Payments and the Executive may assign the right to receive the Consulting Payments to any limited liability company that is wholly owned by the Executive upon notice to the Company. 3. Separation Entitlements. a) The Executive will receive from the Company the separation payments and benefits under Sections 5(b) and 5(c) of the Employment Agreement subject to the terms and conditions therein (including the Executive’s continued compliance with his obligations under Section 6(c) of the Employment Agreement and the Executive’s execution, delivery and non-revocation of the release of claims attached hereto as Exhibit A); provided, however, that the 2025 Annual Equity Award, to the extent earned, will not be subject to proration and will fully vest on the date the applicable performance is certified. For the avoidance of doubt, (i) the Executive’s Term will expire on the Separation Date, (ii) the Company’s determination of whether all or any portion of the 2025 Annual Equity Award has been earned will be made in a manner consistent with past practices and generally consistent with the same equity awards granted to the other Named Executive Officers of the Company and (iii) the cash portion of the Severance Amount (as defined in the Employment Agreement) in an aggregate amount of $3,100,000 and the 150,000 fully vested shares of the Company’s common stock referred to in Section 5 of the Employment Agreement shall be paid within ten (10) days of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The Executive will remain eligible to receive a full 2025 Annual Bonus based on actual performance of the Company as determined by the Board in the ordinary course of business. For the avoidance of doubt, the determination of the actual performance of the 2025 Annual Bonus for the Executive will be made in a manner consistent with past practices and generally consistent with and proportionate to the annual bonus awards provided to the other Named Executive Officers of the Company and further the Executive’s 2025 Annual Bonus will be paid 70% in cash on the date bonuses are paid broadly to the Company’s employees for the year ended December 31, 2025 and 30% in a deferred cash amount that pays one-third (1/3) per year over three (3) years from the date bonuses are paid broadly to the Company’s employees. c) The Executive’s outstanding unvested RSUs and unvested restricted shares granted pursuant to Annual Bonuses for calendar years 2022, 2023 and 2024 will continue vesting in accordance with the terms of such award’s underlying agreement as if the Executive remained employed through each applicable vesting date set forth therein (subject to the forfeiture provisions of the Plan and the clawback provisions set forth herein). d) The Executive’s earned but unvested 2024 Annual Equity Award will be deemed fully vested on the date hereof. e) The Executive’s fully vested DSUs and deferred compensation cash balances as of the date hereof will continue to accrue dividends and interest in a manner consistent with past practices and will be paid to the Executive six (6) months and a day after the Separation Date, per the Executive’s prior deferral elections. 4. Executive’s Ongoing Obligations. The Executive acknowledges and agrees that Sections 7, 8, 9, 10 and 12 of the Employment Agreement will continue to apply. The Executive further acknowledges and agrees that he remains subject to the restrictive covenants set forth on Sections 9.04(a), 9.04(b), 9.04(c), 9.04(d), 9.04(e) and 9.04(g) of Virtu Financial LLC’s Third Amended and Restated Limited Liability Company Agreement, dated as of April 15, 2015 following the Separation Date. In addition, the Executive agrees that the Executive will not at any time, directly or indirectly, disparage, criticize or otherwise make derogatory statements regarding the Company, any of the Company’s Affiliates, any of the Company’s current or former employees, directors or officers, the family of the chairman of the Board as of the date hereof, or any entity Controlled by any such Person (regardless of whether or not the statement pertains to the Company). The foregoing will not be violated by truthful responses to legal process or inquiry by a governmental authority. 5. The Company’s Ongoing Obligations. The Company agrees that the Company will instruct its directors and officers not to, directly or indirectly, disparage, criticize or otherwise make derogatory statements regarding the Executive or his family. The foregoing will not be violated by truthful responses to legal process or inquiry by a governmental authority. 6. Full Understanding. By signing below, the Executive represents and warrants that the Executive fully understands the terms of this Agreement and that the Executive knowingly and voluntarily, of his own free will without any duress, being fully informed and after due deliberation, accepts its terms and signs the same.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7. Employment Agreement. The Parties agree that the Employment Agreement terms that continue to apply per their terms following a termination of employment will continue to apply (including Sections 15, 16, 17 and 18 mutatis mutandis).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Cifu Separation Agreement] IN WITNESS WHEREOF, the Parties have executed and delivered this Agreement as of the date written below. EXECUTIVE _________________________________ Douglas A. Cifu Date: July 29, 2025 VIRTU FINANCIAL, INC. _______________________________ Name: Michael T. Viola Title: Chairman Date: July 29, 2025 Docusign Envelope ID: 2DFAB80A-A44C-44B2-AE52-D4A8544C2078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Cifu Separation Agreement] IN WITNESS WHEREOF, the Parties have executed and delivered this Agreement as of the date written below. EXECUTIVE _________________________________ Douglas A. Cifu Date: July 29, 2025 VIRTU FINANCIAL, INC. _______________________________ Name: Michael T. Viola Title: Chairman Date: July 29, 2025 Docusign Envelope ID: DBA7D5EA-EB71-49DF-8697-B7C18FB649BC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Release Executive Release from Exhibit B and Company Release from Exhibit C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2q325.htm"/>
      <w:bookmarkStart w:id="3" w:name="ksexhibit102q325"/>
      <w:bookmarkEnd w:id="2"/>
      <w:bookmarkEnd w:id="3"/>
      <w:r>
        <w:rPr/>
        <w:drawing>
          <wp:inline distT="0" distB="0" distL="0" distR="0">
            <wp:extent cx="10048875" cy="13001625"/>
            <wp:effectExtent l="0" t="0" r="0" b="0"/>
            <wp:docPr id="9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AMENDMENT NO. 3, dated as of September 23, 2025 (this “Amendment”), to the Credit Agreement, dated as of January 13, 2022 (as amended by Amendment No. 1, dated as of June 21, 2024, as amended by Amendment No. 2, dated as of February 19, 2025, and as further amended, restated, modified or otherwise supplemented from time to time, the “Credit Agreement”), by and among VIRTU FINANCIAL LLC, a Delaware limited liability company (“Holdings”), VFH PARENT LLC, a Delaware limited liability company (the “Borrower”), the LENDERS party thereto from time to time and JPMORGAN CHASE BANK, N.A., as administrative agent (the “Administrative Agent”). Capitalized terms used but not defined herein shall have the meanings assigned to such terms in the Credit Agreement as amended by this Amendment. WHEREAS, the Borrower wishes to (i) incur Incremental Term Loans pursuant to Section 2.18(a)(ii) of the Credit Agreement in the form of additional Term B-2 Loans (the “Incremental Term B-2 Loans”) and (ii) make certain other amendments to the Credit Agreement in connection therewith; WHEREAS, the Borrower intends to use the proceeds of the Incremental Term B- 2 Loans to (a) pay fees, costs and expenses related to the transactions contemplated by this Amendment and (b) for general corporate purposes and any other purpose not prohibited by the Credit Agreement; WHEREAS, JPMorgan Chase Bank, N.A. (in such capacity, the “Incremental Term B-2 Lender”) has agreed to provide the Incremental Term B-2 Commitment (as defined in Exhibit A) in the amount set forth opposite its name under the heading “Incremental Term B-2 Commitment” on Schedule I; WHEREAS, each of JPMorgan Chase Bank, N.A., Goldman Sachs Bank USA, RBC Capital Markets1, BofA Securities, Inc., Barclays Bank PLC, Jefferies Finance LLC and Standard Chartered Bank have been appointed as joint lead arrangers and joint bookrunners (in such capacities, the “Lead Arrangers”) for the Amendment and the Incremental Term B-2 Loans; NOW, THEREFORE, in consideration of the premises contained herein and for other good and valuable consideration, the receipt and sufficiency of which are hereby acknowledged, the parties hereto, intending to be legally bound hereby, agree as follows: SECTION 1. Incremental Term B-2 Commitment. (a) The Incremental Term B-2 Commitment provided pursuant to this Amendment shall be subject to the terms and conditions set forth in the Credit Agreement and in Section 3 below. The Incremental Term B-2 Commitment shall terminate upon the funding of the Incremental Term B-2 Loans on the Amendment No. 3 Effective Date. 1 RBC Capital Markets is a brand name for the capital markets business of Royal Bank of Canada and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The Incremental Term B-2 Loans shall be made as a single Term Benchmark Borrowing, with an initial Interest Period that commences on the Amendment No. 3 Effective Date and ends on the last day of the Interest Period applicable to the Term B-2 Loans that are outstanding under the Credit Agreement immediately prior to the Amendment No. 3 Effective Date (the “Existing Term B-2 Loans”). During such initial Interest Period, the Adjusted Term SOFR Rate applicable to the Incremental Term B-2 Loans shall be the same Adjusted Term SOFR Rate applicable for the Existing Term B-2 Loans as of the Amendment No. 3 Effective Date. From and after the Amendment No. 3 Effective Date, the Existing Term B-2 Loans and the Incremental Term B-2 Loans shall constitute a single Class and a single Borrowing of Term Loans for all purposes under the Credit Agreement. (c) The Incremental Term B-2 Lender, the Borrower and the Administrative Agent acknowledge and agree that, effective as of as of the Amendment No. 3 Effective Date, (i) the Incremental Term B-2 Lender shall be a “Term Lender” for all purposes of the Credit Agreement and the other Loan Documents, (ii) the “Incremental Term B-2 Commitment” shall be a “Term Commitment” for all purposes of the Credit Agreement and the other Loan Documents, and (iii) the Incremental Term B-2 Loans shall be “Term Loans” and “Term B-2 Loans” for all purposes of the Credit Agreement and the other Loan Documents. (d) For U.S. federal income tax purposes, the Existing Term B-2 Loans and the Incremental Term B-2 Loans will be treated as a single issue of debt instruments. SECTION 2. Amendment of the Credit Agreement. The Credit Agreement is, effective as of the Amendment No. 3 Effective Date, hereby amended to delete the stricken text (indicated textually in the same manner as the following example: stricken text) and to add the double-underlined text (indicated textually in the same manner as the following example: double- underlined text) as set forth in the pages of the Credit Agreement attached as Exhibit A hereto. SECTION 3. Effectiveness. This Amendment shall become effective on the date (such date and time of effectiveness, the “Amendment No. 3 Effective Date”) that each of the conditions precedent set forth below shall have been satisfied: (a) The Administrative Agent shall have received executed counterparts hereof from each of the Loan Parties and the Incremental Term B-2 Lender; (b) The Administrative Agent shall have received written opinions (addressed to the Administrative Agent and the Lenders and dated the Amendment No. 3 Effective Date) of Paul, Weiss, Rifkind, Wharton &amp; Garrison LLP, New York counsel for the Loan Parties, and regulatory counsel for the Loan Parties reasonably acceptable to the Administrative Agent, as to such matters as the Administrative Agent may reasonably request and in form and substance reasonably satisfactory to the Administrative Agent. Each of Holdings and the Borrower hereby requests such counsels to deliver such opinions; (c) The Administrative Agent shall have received a Borrowing Request requesting the borrowing of the Incremental Term B-2 Loans; (d) The Administrative Agent shall have received one or more certificates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from the chief financial officer or chief operating officer of the Borrower which together (x) certify as to the solvency of the Borrower and its Subsidiaries on a consolidated basis after giving effect to the transactions to be consummated on the Amendment No. 3 Effective Date, (y) certify as to the representations and warranties set forth in Section 4 hereof and (z) set forth the applicable clause of the definition of “Incremental Cap” utilized in connection with the Incremental Term B-2 Loans and attach reasonably detailed calculations demonstrating compliance with such clause; (e) [Reserved]; (f) The Administrative Agent shall have received a certificate of each Loan Party, dated the Amendment No. 3 Effective Date, substantially in the form of Exhibit G to the Credit Agreement with appropriate insertions, executed by any Responsible Officer of such Loan Party, and including or attaching the documents referred to in paragraph (g) of this Section; (g) The Administrative Agent shall have received a copy of (i) each Organizational Document of each Loan Party certified, to the extent applicable, as of a recent date by the applicable Governmental Authority, or a certification from such Loan Party that its Organizational Documents in the form delivered to the Administrative Agent on the Closing Date have not been amended or modified since the date of such delivery and are in full force and effect,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Amendment No. 3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 (h) The Borrower shall have paid, or concurrently herewith shall pay to JPMorgan Chase Bank, N.A. such fees as have separately been agreed by JPMorgan Chase Bank, N.A. and the Borrower and, to the extent invoiced, the reasonable and documented out-of- pocket expenses of the Administrative Agent and the Lead Arrangers in connection with this Amendment (including the reasonable fees and expenses of Paul Hastings LLP, counsel to the Lead Arrangers and the Administrative Agent); and (i) (i) The Administrative Agent shall have received, at least five days prior to the Amendment No. 3 Effective Date, all documentation and other information regarding the Borrower requested in connection with applicable “know your customer” and anti-money laundering rules and regulations, including the USA Patriot Act, to the extent reasonably requested in writing of the Borrower at least ten days prior to the Amendment No. 3 Effective Date and (ii) to the extent the Borrower qualifies as a “legal entity customer” under the Beneficial Ownership Regulation, at least five days prior to the Amendment No. 3 Effective Date, any Lender that has requested, in a written notice to the Borrower at least ten days prior to the Amendment No. 3 Effective Date, a Beneficial Ownership Certification in relation to the Borrower shall have received such Beneficial Ownership Certification (provided that, upon the execution and delivery by such Lender of its signature page to this Amendment, the condition 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forth in this clause (ii) shall be deemed to be satisfied). SECTION 4. Representations and Warranties. In order to induce the Lenders and the Administrative Agent to enter into this Amendment, each of the Loan Parties represents and warrants to each of the Lenders and the Administrative Agent that, as of the Amendment No. 3 Effective Date, both before and after giving effect to the transactions contemplated by this Amendment: (a) no Default or Event of Default exists; and (b) the representations and warranties of each Loan Party contained in Article III of the Credit Agreement or any other Loan Document are true and correct in all material respects on and as of such date (except, to the extent that such representations and warranties specifically refer to an earlier date, they are true and correct in all material respects as of such earlier date); provided that, to the extent that such representations and warranties are qualified by materiality, material adverse effect or similar language, they are true and correct in all respects. SECTION 5. Reference to and Effect on the Loan Documents; Reaffirmation. (a) On and after the Amendment No. 3 Effective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(or otherwise affect) any right, power or remedy of any Lender or any Agent under any of the Loan Documents, nor constitute a waiver of any provision of any of the Loan Documents. This Amendment shall not constitute a novation of the Credit Agreement or any other Loan Document. (b) Each of the Loan Parties, (i) hereby consents to the Amendment, (ii) without limiting its obligations under, or the provisions of, the Guarantee Agreement, hereby confirms its respective guarantees, as applicable, under the Guarantee Agreement, (iii) without limiting its obligations under, or the provisions of, the Collateral Agreement, hereby confirms its respective assignments, pledges and grants of security interests, as applicable, under the Collateral Agreement and each of the other Loan Documents to which it is party, (iv) without limiting its obligations under, or the provisions of, any Loan Document, hereby confirms that the obligations of the Borrower under the Credit Agreement are entitled to the benefits of the guarantees and the security interests set forth or created in the Guarantee Agreement, the Collateral Agreement and the other Loan Documents and constitute “Obligations,” “Loan Document Obligations,” “Secured Obligations” or other similar term for purposes thereof, (v) hereby agrees that, after giving effect to this Amendment, such guarantees, pledges and grants of security interests, as applicable, shall continue to be in full force and effect and shall continue to inure to the benefit of the Lenders and the other Secured Parties, (vi) hereby ratifies, confirms and agrees that all Liens granted, conveyed, or assigned to the Administrative Agent by such Person pursuant to any Loan Document to which it is a party remain in full force and effect,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not released or reduced, and after giving effect to the Amendment and the transactions contemplated hereby continue to secure full payment and performance of the obligations under the Credit Agreement and such Liens continue unimpaired with the same priority to secure repayment of such obligations whether heretofore or hereafter incurred and no new filings are required to be made and no other action is required to be taken to perfect or to maintain the perfection of such Liens and (vii) the Obligations of Borrower and the other Loan Parties under the Credit Agreement that remain unpaid and outstanding as of the Amendment No. 2 Effective Date shall continue to exist under and be evidenced by the Credit Agreement and the other Loan Documents. (c) Each of the Loan Parties further agrees to take any action that may be required or that is requested by the Administrative Agent to ensure compliance by Holdings or the Borrower with the provisions of Section 5.12 of the Credit Agreement and hereby reaffirms its obligations under each similar provision of each Loan Document to which it is a party. (d) This Amendment shall constitute an “Incremental Term Facility Amendment” with respect to the Incremental Term B-2 Loans for all purposes of the Credit Agreement and the other Loan Documents. This Amendment shall constitute notice to the Administrative Agent of the Incremental Term B-2 Loans required under Section 2.18(a)(ii) of the Credit Agreement and the Administrative Agent hereby agrees that this Amendment shall satisfy such requirement. SECTION 6. Applicable Law; Waiver of Jury Trial. (A) THIS AMENDMENT SHALL BE GOVERNED BY, AND CONSTRUED IN ACCORDANCE WITH, THE LAW OF THE STATE OF NEW YORK WITHOUT GIVING EFFECT TO ANY CONFLICTS PROVISIONS THAT WOULD RESULT IN THE APPLICATION OF THE LAWS OF ANOTHER JURISDICTION. (B) EACH PARTY HERETO HEREBY IRREVOCABLY WAIVES, TO THE FULLEST EXTENT PERMITTED BY APPLICABLE LAW, ANY RIGHT IT MAY HAVE TO A TRIAL BY JURY IN ANY LEGAL ACTION OR PROCEEDING DIRECTLY OR INDIRECTLY ARISING OUT OF OR RELATING TO THIS AMENDMENT (WHETHER BASED ON CONTRACT, TORT OR ANY OTHER THEORY). SECTION 7. Submission to Jurisdiction; Consent to Service of Process. This Amendment shall further be subject to the provisions of Sections 9.09(b), (c) and (d) of the Credit Agreement mutatis mutandis. SECTION 8. Headings. The Section headings used herein are for convenience of reference only, are not part of this Amendment and are not to affect the construction of, or to be taken into consideration in interpreting, this Amendment. SECTION 9. Counterparts. This Amendment may be executed in any number of counterparts and by different parties hereto on separate counterparts, each of which when so executed and delivered shall be deemed to be an original, but all of which when taken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shall constitute a single instrument. Delivery of an executed counterpart of a signature page of this Amendment by facsimile or any other electronic transmission shall be effective as delivery of an original executed counterpart hereof. The words “execution,” “signed,” “signature,” “delivery,” and words of like import in this Amendment or any other document to be signed in connection with this Amendment and the transactions contemplated hereby shall be deemed to include electronic signatures, electronic records or the electronic matching of assignment terms and contract formations on electronic platforms approved by the Administrative Agent,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10. Lead Arrangers. Notwithstanding any other provision of this Amendment or any provision of the Credit Agreement or any other Loan Document, each Lead Arranger is named as such herein for recognition purposes only, and in its capacity as such shall have no duties, responsibilities or liabilities with respect to this Amendment, the Credit Agreement or any other Loan Document. Without limitation of the foregoing, the Lead Arrangers in their respective capacities as such shall not, by reason of this Amendment, the Credit Agreement or any other Loan Document, have any fiduciary relationship in respect of any Lender, any Loan Party or any other Person. [Signature pages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3] IN WITNESS WHEREOF, the parties hereto have caused this Amendment to be duly executed by their respective authorized officers as of the day and year first written above. VFH PARENT LLC, as Borrower By: ________________________________ Name: Joseph Molluso Title: Co-President and Co-Chief Operating Officer VIRTU FINANCIAL LLC, as Holdings By: ________________________________ Name: Joseph Molluso Title: Co-President and Co-Chief Operating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3] GLOBAL COLOCATION SERVICES LLC IMPALA BORROWER LLC NATIONAL TOWER COMPANY LLC ORCHESTRA BORROWER LLC SERVICES DEVELOPMENT COMPANY LLC VIRTU FINANCIAL ENERGY AND COMMODITIES, LLC VIRTU FINANCIAL F/X LLC VIRTU FINANCIAL GLOBAL SERVICES LLC VIRTU FINANCIAL OPERATING LLC VIRTU FINANCIAL SERVICES LLC VIRTU GETCO HOLDING COMPANY LLC VIRTU ITG ANALYTICS LLC VIRTU ITG GLOBAL PRODUCTION LLC VIRTU ITG GLOBAL TRADING LLC VIRTU ITG HOLDINGS LLC VIRTU ITG PLATFORMS LLC VIRTU ITG SOFTWARE SOLUTIONS LLC VIRTU ITG SOLUTIONS NETWORK LLC VIRTU KCG HOLDINGS LLC VIRTU KNIGHT CAPITAL GROUP LLC VIRTU STRATEGIC HOLDINGS LLC VIRTU TECHNOLOGIES LLC, as a Subsidiary Loan Party By: ________________________________ Name: Joseph Molluso Title: Co-President and Co-Chief Operating Officer VALOR CO-ISSUER, INC., as a Subsidiary Loan Party By: ________________________________ Name: Joseph Molluso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3] JPMORGAN CHASE BANK, N.A., as Administrative Agent By: Name: Andrew W. Kristiansen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3] JPMORGAN CHASE BANK, N.A., as Incremental Term B-2 Lender By: Name: Andrew W. Kristiansen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Incremental Term B-2 Commitment Incremental Term B-2 Lender Incremental Term B-2 Commitment JPMorgan Chase Bank, N.A. $300,000,000 TOTAL $300,000,000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LEGAL_US_E # 188550197.9 US-DOCS\157268361.10 Exhibit A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Final Version EXHIBIT A TO AMENDMENT NO. 23 MARKED VERSION REFLECTING CHANGES PURSUANT TO AMENDMENT NO. 12 ADDED TEXT SHOWN UNDERSCORED DELETED TEXT SHOWN STRIKE-THROUGH CREDIT AGREEMENT dated as of January 13, 2022, as amended by Amendment No. 1 dated as of June 21, 2024, and Amendment No. 2 dated as of February 19, 2025 and Amendment No. 3 dated as of September 23, 2025 among VIRTU FINANCIAL LLC, as Holdings, VFH PARENT LLC, as Borrower, The Lenders, Issuing Banks and Swingline Lender Party Hereto, and JPMORGAN CHASE BANK, N.A., as Administrative Agent JPMORGAN CHASE BANK, N.A., BOFA SECURITIES, INC., RBC CAPITAL MARKETS,1 GOLDMAN SACHS BANK USA, BARCLAYS BANK PLC, JEFFERIES FINANCE LLC, and STANDARD CHARTERED BANK, as Joint Lead Arrangers and Bookrunners 1 RBC Capital Markets is a brand name for the capital markets business of Royal Bank of Canada and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1 DEFINITIONS 1 Section 1.01. Defined Terms 1 Section 1.02. Classification of Loans and Borrowings 79 Section 1.03. Terms Generally 79 Section 1.04. Accounting Terms; GAAP 80 Section 1.05. Effectuation of Transactions 80 Section 1.06. Currency Translation 80 Section 1.07. Divisions 81 Section 1.08. Limited Condition Transactions 81 Section 1.09. Interest Rates; Benchmark Notification 82 Section 1.10. Letter of Credit Amounts 82 ARTICLE 2 THE CREDITS 83 Section 2.01. Commitments 83 Section 2.02. Loans and Borrowings 83 Section 2.03. Requests for Borrowings 84 Section 2.04. Funding of Borrowings 85 Section 2.05. Interest Elections 86 Section 2.06. Termination and Reduction of Commitments 87 Section 2.07. Repayment of Loans; Evidence of Debt 88 Section 2.08. Amortization of Term Loans 88 Section 2.09. Prepayment of Loans 89 Section 2.10. Fees 101 Section 2.11. Interest 102 Section 2.12. Alternate Rate of Interest 103 Section 2.13. Increased Costs 105 Section 2.14. Break Funding Payments 106 Section 2.15. Taxes 107 Section 2.16. Payments Generally; Pro Rata Treatment; Sharing of Setoffs 110 Section 2.17. Mitigation Obligations; Replacement of Lenders 112 Section 2.18. Incremental Credit Extensions 113 Section 2.19. Refinancing Amendments; Maturity Extension 118 Section 2.20. [Reserved] 120 Section 2.21. Defaulting Lenders 120 Section 2.22. Letters of Credit. 123 Section 2.23. Swingline Loans 128 ARTICLE 3 REPRESENTATIONS AND WARRANTIES 131 Section 3.01. Organization; Powers 131 Section 3.02. Authorization; Enforceability 131 Section 3.03. Governmental Approvals; No Conflicts 131 Section 3.04. Financial Condition; No Material Adverse Effect 132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3.05. Properties 132 Section 3.06. Litigation and Environmental Matters 132 Section 3.07. Compliance with Laws and Agreements 133 Section 3.08. Investment Company Status 133 Section 3.09. Taxes 133 Section 3.10. ERISA 133 Section 3.11. Disclosure 134 Section 3.12. Subsidiaries 134 Section 3.13. Intellectual Property; Licenses, Etc. 134 Section 3.14. Solvency 135 Section 3.15. Senior Indebtedness 135 Section 3.16. Federal Reserve Regulations 135 Section 3.17. Use of Proceeds 135 Section 3.18. Regulatory Status and Memberships Held 135 Section 3.19. PATRIOT Act, OFAC and FCPA 136 Section 3.20. EEA Financial Institutions 136 Section 3.21. Outbound Investment Rules 136 ARTICLE 4 CONDITIONS 137 Section 4.01. Closing Date 137 Section 4.02. Each Credit Event 139 ARTICLE 5 AFFIRMATIVE COVENANTS 140 Section 5.01. Financial Statements and Other Information 140 Section 5.02. Notices of Material Events 144 Section 5.03. Information Regarding Collateral 144 Section 5.04. Existence; Conduct of Business 145 Section 5.05. Payment of Taxes, Etc. 145 Section 5.06. Maintenance of Properties 145 Section 5.07. Insurance 145 Section 5.08. Books and Records; Inspection and Audit Rights; Quarterly Teleconferences 146 Section 5.09. Compliance with Laws 147 Section 5.10. Use of Proceeds 147 Section 5.11. Additional Subsidiaries 147 Section 5.12. Further Assurances 148 Section 5.13. Designation of Subsidiaries 148 Section 5.14. Maintenance of Ratings 149 Section 5.15. Regulatory Matters 149 ARTICLE 6 NEGATIVE COVENANTS 149 Section 6.01. Indebtedness; Certain Equity Securities 149 Section 6.02. Liens 158 Section 6.03. Fundamental Changes 161 Section 6.04. Investments, Loans, Advances, Guarantees and Acquisitions 165 Section 6.05. Asset Sales 168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6.06. Material Intellectual Property 170 Section 6.07. Swap Agreements 171 Section 6.08. Restricted Payments; Certain Payments of Indebtedness 171 Section 6.09. Transactions with Affiliates 175 Section 6.10. Restrictive Agreements 176 Section 6.11. Amendment of Junior Financing 178 Section 6.12. Net First Lien Leverage Ratio 178 Section 6.13. Changes in Fiscal Periods 178 Section 6.14. Outbound Investment Rules 179 ARTICLE 7 EVENTS OF DEFAULT 179 Section 7.01. Events of Default 179 Section 7.02. Right to Cure 183 ARTICLE 8 ADMINISTRATIVE AGENT AND COLLATERAL AGENT 184 Section 8.01. General 184 Section 8.02. Certain ERISA Matters 191 ARTICLE 9 MISCELLANEOUS 192 Section 9.01. Notices 192 Section 9.02. Waivers; Amendments 195 Section 9.03. Expenses; Limitation of Liability; Indemnity, Etc 201 Section 9.04. Successors and Assigns 203 Section 9.05. Survival 209 Section 9.06. Counterparts; Integration; Effectiveness; Electronic Execution of Assignments and Certain Other Documents 210 Section 9.07. Severability 211 Section 9.08. Right of Setoff 211 Section 9.09. Governing Law; Jurisdiction; Consent to Service of Process 212 Section 9.10. Waiver of Jury Trial 213 Section 9.11. Headings 213 Section 9.12. Confidentiality 213 Section 9.13. USA Patriot Act 215 Section 9.14. Release of Liens and Guarantees 215 Section 9.15. No Advisory or Fiduciary Responsibility 217 Section 9.16. Interest Rate Limitation 217 Section 9.17. Lender Action 217 Section 9.18. Marshalling; Payments Set Aside 218 Section 9.19. Margin Stock; Collateral 218 Section 9.20. Acknowledgement and Consent to Bail-in of Affected Financial Institutions 218 Section 9.21. Acknowledgement Regarding Any Supported QFCs 219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Schedule 1.01(a) — Disqualified Lenders Schedule 3.12 — Subsidiaries Schedule 3.18 — Regulatory Status and Memberships Held Schedule 6.01 — Existing Indebtedness Schedule 6.02 — Existing Liens Schedule 6.04(e) — Existing Investments Schedule 6.05 — Dispositions Schedule 6.09 — Existing Affiliate Transactions Schedule 6.10 — Existing Restrictions Schedule 9.01 — Notices EXHIBITS: Exhibit A-1 — Form of Assignment and Assumption Exhibit A-2 — Form of Borrower Assignment and Assumption Exhibit B — Form of Guarantee Agreement Exhibit C — Form of Perfection Certificate Exhibit D — Form of Collateral Agreement Exhibit E — Form of Note Exhibit F-1 — Form of First Lien Intercreditor Agreement Exhibit F-2 — Form of Junior Lien Intercreditor Agreement Exhibit G — Form of Closing Date Certificate Exhibit H — Form of Intercompany Note Exhibit I — Form of Specified Discount Prepayment Notice Exhibit J — Form of Specified Discount Prepayment Response Exhibit K — Form of Discount Range Prepayment Notice Exhibit L — Form of Discount Range Prepayment Offer Exhibit M — Form of Solicited Discounted Prepayment Notice Exhibit N — Form of Solicited Discounted Prepayment Offer Exhibit O — Form of Acceptance and Prepayment Notice Exhibit P-1 — Form of U.S. Tax Compliance Certificate (For Foreign Lenders That Are Not Partnerships For U.S. Federal Income Tax Purposes) Exhibit P-2 — Form of U.S. Tax Compliance Certificate (For Foreign Lenders That Are Partnerships For U.S. Federal Income Tax Purposes) Exhibit P-3 — Form of U.S. Tax Compliance Certificate (For Non-U.S. Participants That Are Not Partnerships For U.S. Federal Income Tax Purposes) Exhibit P-4 — Form of U.S. Tax Compliance Certificate (For Non-U.S. Participants That Are Partnerships For U.S. Federal Income Tax Purposes) Exhibit Q — Form of Closing Certificate Exhibit R — Form of Solvency Certificate Exhibit S — Form of Compliance Certificate Exhibit T — Form of Notice of Borrowing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dated as of January 13, 2022 (this “Agreement”), among VIRTU FINANCIAL LLC, a Delaware limited liability company (“Holdings”), VFH PARENT LLC, a Delaware limited liability company (the “Borrower”), JPMORGAN CHASE BANK, N.A., as administrative agent (including any of its designated branch offices or affiliates, and any successor thereto, the “Administrative Agent”), as an Issuing Bank, and as the Swingline Lender, each other Issuing Bank from time to time party hereto and each lender from time to time party hereto (collectively, the “Lenders” and individually, a “Lender”). The parties hereto agree as follows: ARTICLE 1 DEFINITIONS Section 1.01. Defined Terms. As used in this Agreement, the following terms have the meanings specified below: “ABR” when used in reference to any Loan or Borrowing, refers to whether such Loan, or the Loans comprising such Borrowing, are bearing interest at a rate determined by reference to the Alternate Base Rate. “Acceptable Discount” has the meaning assigned to such term in Section 2.09(a)(ii)(D)(2). “Acceptable Prepayment Amount” has the meaning assigned to such term in Section 2.09(a)(ii)(D)(3). “Acceptance and Prepayment Notice” means an irrevocable written notice from the Borrower accepting a Solicited Discounted Prepayment Offer to make a Discounted Term Loan Prepayment at the Acceptable Discount specified therein pursuant to Section 2.09(a)(ii)(D) substantially in the form of Exhibit O. “Acceptance Date” has the meaning assigned to such term in Section 2.09(a)(ii)(D)(2). “Acquired EBITDA” means, with respect to any Acquired Entity or Business or any Converted Restricted Subsidiary (any of the foregoing, a “Pro Forma Entity”) for any period, the amount for such period of Consolidated EBITDA of such Pro Forma Entity (determined as if references to Holdings and the Restricted Subsidiaries in the definition of the term “Consolidated EBITDA” were references to such Pro Forma Entity and its subsidiaries which will become Restricted Subsidiaries), all as determined on a consolidated basis for such Pro Forma Entity. “Acquired Entity or Business” has the meaning assigned to such term in clause (b)(III) of the definition of the term “Consolidated EBITDA.” “Acquisition Debt” has the meaning assigned to such term in the definition of “Incremental Cap.”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Additional Lender” means any Additional Revolving Lender or any Additional Term Lender, as applicable. “Additional Revolving Lender” means, at any time, any bank or other financial institution that agrees to provide any portion of any (a) Incremental Revolving Facility pursuant to an Incremental Revolving Facility Amendment in accordance with Section 2.18 or (b) Credit Agreement Refinancing Indebtedness in the form of Other Revolving Loans or Other Revolving Commitments pursuant to a Refinancing Amendment in accordance with Section 2.19; provided that each Additional Revolving Lender (other than any Person that is a Revolving Lender, an Affiliate of a Revolving Lender or an Approved Fund of a Revolving Lender at such time) shall be subject to the approval of the Administrative Agent and, if such Additional Revolving Lender will provide loans under an Incremental Revolving Facility or any Other Revolving Commitment, the Swingline Lender and each Issuing Bank (such approval, in each case, not to be unreasonably withheld or delayed) and the Borrower. “Additional Term B-2 Commitment” means, with respect to the Additional Term B-2 Lender, its commitment to make a Term B-2 Loan on the Second Amendment Effective Date in a principal amount equal to the excess of (x) the aggregate principal amount of Term B-1 Loans outstanding immediately prior to the Second Amendment Effective Date over (y) the aggregate principal amount of Converted Term B-1 Loans (which amount shall be, for the avoidance of doubt, $76,175,524.87). “Additional Term B-2 Lender” has the meaning specified in the Second Amendment. “Additional Term Lender” means, at any time, any bank or other financial institution that agrees to provide any portion of any (a) Incremental Term Facility pursuant to an Incremental Term Facility Amendment in accordance with Section 2.18 or (b) Credit Agreement Refinancing Indebtedness in the form of Other Term Loans or Other Term Commitments pursuant to a Refinancing Amendment in accordance with Section 2.19; provided that each Additional Term Lender (other than any Person that is a Lender, an Affiliate of a Lender or an Approved Fund of a Lender at such time) shall be subject to the approval of the Administrative Agent (such approval not to be unreasonably withheld or delayed) and the Borrower. “Adjusted Term SOFR Rate” means, with respect to any Term Benchmark Borrowing for any Interest Period, an interest rate per annum equal to (a) the Term SOFR Rate for such Interest Period, plus (b) in respect of Initial Revolving Loans, 0.10%; provided that if the Adjusted Term SOFR Rate as so determined would be less than the Floor, such rate shall be deemed to be equal to the Floor for the purposes of this Agreement. “Administrative Agent” has the meaning set forth in the preamble hereto. “Administrative Questionnaire” means an administrative questionnaire in a form supplied by the Administrative Agent.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Affected Financial Institution” means (a) any EEA Financial Institution or (b) any UK Financial Institution. “Affiliate” means, with respect to a specified Person, another Person that directly or indirectly Controls or is Controlled by or is under common Control with the Person specified. For purposes of this Agreement and the other Loan Documents, Jefferies LLC and its Affiliates shall be deemed to be Affiliates of Jefferies Finance LLC and its Affiliates. “Agent” or “Agents” has the meaning assigned to such terms in Section 8.01. “Agent-Related Person” has the meaning assigned to such term in Section 9.03(d). “Agreement” has the meaning set forth in the preamble hereto. “All-In Yield” means, as to any Indebtedness, the yield thereof, whether in the form of interest rate, margin, OID, upfront fees, or any interest rate floor (with such increased amount being determined in the manner described in the final proviso of this definition), or otherwise, in each case, incurred or payable by the Borrower to lenders of such Indebtedness; provided that OID and upfront fees shall be equated to interest rate assuming a 4-year life to maturity (or, if less, the stated life to maturity at the time of incurrence of the applicable Indebtedness); provided, further, that “All-In Yield” shall not include structuring fees, commitment fees, amendment fees, arrangement fees and any similar fees and customary consent fees for an amendment paid generally to consenting lenders; provided, further, that, with respect to any Loans of an applicable Class that includes an Adjusted Term SOFR Rate floor or Alternate Base Rate floor, (1) to the extent that the Adjusted Term SOFR Rate (with a three-month Interest Period) or Alternate Base Rate (in each case without giving effect to any floor) on the date that the All-In Yield is being calculated is less than such floor, the amount of such difference shall be deemed added to the Applicable Rate for such Loans of such Class for the purpose of calculating the All-In Yield and (2) to the extent that the Adjusted Term SOFR Rate (with a three-month Interest Period) or Alternate Base Rate (in each case without giving effect to any floor) on the date that the All-In Yield is being calculated is greater than such floor, then the floor shall be disregarded in calculating the All-In Yield. “Alternate Base Rate”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an alternate rate of interest pursuant to Section 2.12 (for the avoidance of doubt, only until the Benchmark Replacement has been determined pursuant to Section 2.12(b)),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 “Ancillary Document” has the meaning assigned to such term in Section 9.06(b). “Applicable Account” means, with respect to any payment to be made to the Administrative Agent hereunder, the account specified by the Administrative Agent from time to time for the purpose of receiving payments of such type. “Applicable Discount” has the meaning assigned to such term in Section 2.09(a)(ii)(C)(2). “Applicable Fronting Exposure” means, (a) with respect to any Person that is an Issuing Bank at any time, the sum of (i) the aggregate amount of all Letters of Credit issued by such Person in its capacity as an Issuing Bank (if applicable) that remains available for drawing at such time and (ii) the aggregate amount of all LC Disbursements made by such Person in its capacity as an Issuing Bank (if applicable) that have not yet been reimbursed by or on behalf of the Borrower at such time and (b) with respect to any Person that is a Swingline Lender at any time, the aggregate amount of all Swingline Loans issued by such Person in its capacity as a Swingline Lender (if applicable) that have not yet been reimbursed by or on behalf of the Borrower or been funded by other Revolving Lenders at such time. “Applicable Parties” has the meaning assigned to such term in Section 9.01(c)(iii). “Applicable Percentage” means, at any time with respect to any Revolving Lender, the percentage of the Total Revolving Commitments represented by such Lender’s Revolving Commitment at such time and, solely for purposes of any reallocations made pursuant to Section 2.21(d), after giving effect to any Revolving Lender’s status as a Defaulting Lender at the time of determination. If the Revolving Commitments have terminated or expired, the Applicable Percentages shall be determined based upon the Revolving Commitments most recently in effect, giving effect to any assignments pursuant to this Agreement and to any Revolving Lender’s status as a Defaulting Lender at the time of determination. “Applicable Rate” means, for any day: (i) with respect to (x) any Initial Revolving Loan that is a Term Benchmark Loan, 2.50% and (y) any Initial Revolving Loan that is an ABR Loan, 1.50%; and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with respect to (x) any Term B-2 Loan that is a Term Benchmark Loan, 2.50% and (y) any Term B-2 Loan that is an ABR Loan, 1.50%. Notwithstanding the foregoing, the Applicable Rate for any Term Loans or Revolving Loans of any Class other than the Term B-2 Loans and the Revolving Loans made pursuant to Revolving Commitments established on the First Amendment Effective Date shall be as set forth in the Refinancing Amendment, Incremental Term Facility Amendment or Incremental Revolving Facility Amendment, as applicable, relating to such Class. The Applicable Rate for any Term B-2 Loans may be increased as necessary to comply with the requirements of Section 2.18(a)(ii). “Application” means an application, in such form as the applicable Issuing Bank may specify from time to time, requesting such Issuing Bank to open a Letter of Credit. “Approved Bank” has the meaning assigned to such term in clause (c) of the definition of the term “Permitted Investments.” “Approved Electronic Platform” has the meaning assigned to such term in Section 9.01(c)(i). “Approved Fund”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 “Asset Sale Percentage” means, with respect to any prepayment required by Section 2.09(b) in respect of a Prepayment Event described in clause (a) of the definition of “Prepayment Event”, with respect to any fiscal quarter (or other applicable period) of the Borrower, if the Net First Lien Leverage Ratio (after giving effect to such Prepayment Event and any application of proceeds thereof (including to prepayment of Indebtedness or to hold as unrestricted cash or Permitted Investments)) as of the end of such fiscal quarter (or other applicable period) is (a) greater than 2.50 to 1.00, 100% of the Net Proceeds of such Prepayment Event, (b) equal to or less than 2.50 to 1.00 but greater than 2.25 to 1.00, 50% of the Net Proceeds of such Prepayment Event and (c) equal to or less than 2.25 to 1.00, 0% of the Net Proceeds of such Prepayment Event. “Assignment and Assumption” means an assignment and assumption entered into by a Lender and an Eligible Assignee (with the consent of any Person whose consent is required by Section 9.04), substantially in the form of Exhibit A-1 or any other form (including electronic records generated by the use of an electronic platform) reasonably approved by the Administrative Agent. “Assumed Tax Rate” means the greater of (i) 45% and (ii) the maximum marginal combined federal, state and local income tax rate applicable at such time to a natural person residing in New York City, New York. “Auction Agent” means (a) the Administrative Agent or (b) any other financial institution or advisor employed by the Borrower (whether or not an Affiliate of the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to act as an arranger in connection with any Discounted Term Loan Prepayment pursuant to Section 2.09(a)(ii); provided that the Borrower shall not designate the Administrative Agent as the Auction Agent without the written consent of the Administrative Agent (it being understood that the Administrative Agent shall be under no obligation to agree to act as the Auction Agent). “Audited Financial Statements” means the audited consolidated balance sheet of Holdings for the fiscal year ended December 31, 2020 and the related consolidated statements of income, changes in equity and cash flows of Holdings, including the notes thereto. “Available RP Capacity Amount” means, at any time of determination, the aggregate amount of Restricted Payments that may be made at such time pursuant to clauses (vii), (viii), (x) and (xi) of Section 6.08(a), minus the sum of the amount of the Available RP Capacity Amount under clauses (vii) and (x) of Section 6.08(a) utilized by the Borrower or any Restricted Subsidiary to make Restricted Payments in reliance on such clauses (it being understood that utilization of the Available RP Capacity Amount for purposes of incurrence of Indebtedness under Section 6.01(a)(xxvi) shall reduce the amount available under the applicable clause in Section 6.08(a) so long as such Indebtedness remains outstanding). “Available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2.12.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Title 11 of the United State Code, as amended, or any similar federal or state law for the relief of debtors.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Bankruptcy Event” means with respect to any Person, such Person becomes insolvent or is otherwise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“Benchmark” means, initially, with respect to any Term Benchmark Loan, the Term SOFR Rate; provided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Section 2.12. “Benchmark Replacement” means, for any Available Tenor, the first alternative set forth in the order below that can be determined by the Administrative Agent for the applicable Benchmark Replacement Date: (1) the Daily Simple SOFR; (2)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“Benchmark Replacement Conforming Changes”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2.12 and (y) ending at the time that a Benchmark Replacement has replaced such then-current Benchmark for all purposes hereunder and under any Loan Document in accordance with Section 2.12.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Beneficial Owner”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“Beneficial Ownership Certification” means a certification regarding beneficial ownership as required by the Beneficial Ownership Regulation.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“Board of Directors”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 “BHC Act Affiliate” has the meaning assigned to such term in Section 9.21(b). “Board of Governors” means the Board of Governors of the Federal Reserve System of the United States of America. “Borrower” has the meaning assigned to such term in the preamble. “Borrower Assignment and Assumption” means an assignment and assumption agreement substantially in the form of Exhibit A-2, or any other form reasonably approved by the Administrative Agent. “Borrower Materials” has the meaning assigned to such term in Section 5.01. “Borrower Offer of Specified Discount Prepayment” means the offer by the Borrower to make a voluntary prepayment of Term Loans at a specified discount to par pursuant to Section 2.09(a)(ii)(B). “Borrower Solicitation of Discount Range Prepayment Offers” means the solicitation by the Borrower of offers for, and the corresponding acceptance by a Term Lender of, a voluntary prepayment of Term Loans at a specified range at a discount to par pursuant to Section 2.09(a)(ii)(C). “Borrower Solicitation of Discounted Prepayment Offers” means the solicitation by the Borrower of offers for, and the subsequent acceptance, if any, by a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 Lender of, a voluntary prepayment of Term Loans at a discount to par pursuant to Section 2.09(a)(ii)(D). “Borrowing” means (i) Loans of the same Class and Type, made, converted or continued on the same date and, in the case of Term Benchmark Loans, as to which a single Interest Period is in effect, or (ii) a Swingline Loan. “Borrowing Request” means a request by the Borrower for a Borrowing in accordance with Section 2.03. “Broker-Dealer Subsidiary” means any Restricted Subsidiary that is registered as (a) a broker or a dealer pursuant to Section 15 of the Exchange Act or (b) a broker or a dealer or an underwriter under any foreign securities law. “Business Day” means, any day (other than a Saturday or a Sunday) on which banks are open for business in New York City; provided that, when used in connection with a determination of the Term SOFR Reference Rate, the term “Business Day” means any such day that is also a day on which banks are open for business in Chicago. “Capital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as in effect as of December 15, 2018,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 “Capitalized Leases” means all leases that have been or should be, in accordance with GAAP as in effect as of December 15, 2018, recorded as capitalized leases or finance leases; provided that for all purposes hereunder the amount of obligations under any Capitalized Lease shall be the amount thereof accounted for as a liability in accordance with GAAP. “Capitalized Software Expenditures”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the Restricted Subsidiaries. “Cash Management Obligations” means obligations of Holdings, any Intermediate Parent, the Borrower or any Restricted Subsidiary in respect of any overdraft and related liabilities arising from treasury, depository and cash management services or any automated clearing house transfers of funds. “Casualty Event” means any event that gives rise to the receipt by Holdings, any Intermediate Parent, the Borrower or any Restricted Subsidiary of Holdings of any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insurance proceeds or condemnation awards in respect of any equipment, fixed assets or real property (including any improvements thereon) to replace or repair such equipment, fixed assets or real property. “CFC” has the meaning assigned to such term in the definition of “Excluded Domestic Subsidiary.” “Change in Control” means the occurrence of any of the following: (a) the direct or indirect sale, lease, transfer, conveyance or other disposition (other than by way of merger or consolidation), in one or a series of related transactions, of all or substantially all of the assets of Holdings and its Subsidiaries taken as a whole to any “person” or “group” (as each such term is used in Section 13(d) of the Exchange Act) other than Holdings, one or more or its Restricted Subsidiaries, or one or more Permitted Holders; (b) the adoption of a plan relating to the liquidation or dissolution of Holdings; (c) the consummation of any transaction (including, without limitation, any merger or consolidation), the result of which is that any “person” or “group” (each as defined above) other than one or more Permitted Holders is or becomes the Beneficial Owner, directly or indirectly, of more than 50% of the Voting Stock of Holdings, measured by voting power rather than number of shares, units or the like; (d) the failure of either VFI or Holdings, directly or indirectly through Wholly Owned Subsidiaries, to own all of the Equity Interests of the Borrower; or (e) the occurrence of a “Change of Control” (or similar event, however denominated), as defined in the documentation governing any Material Indebtedness that is Permitted First Priority Refinancing Debt, Permitted Junior Lien Refinancing Debt, Permitted Unsecured Refinancing Debt, Incremental Equivalent Debt or Junior Financing. In addition, notwithstanding the foregoing, (i) a transaction in which the Borrower, Holdings or a direct or indirect parent entity of Holdings becomes a direct or indirect subsidiary of another person shall not constitute a Change in Control if (A) the equityholders of the Borrower, Holdings or such parent entity immediately prior to such transaction beneficially own, directly or indirectly through one or more intermediaries, at least a majority of the total voting power of the Voting Stock of the Borrower, Holdings or such parent entity immediately following the consummation of such transaction, substantially in proportion to their holdings of the equity of the Borrower, Holdings or such parent entity prior to such transaction or (B) immediately following the consummation of such transaction, no “person” or “group” (each as defined above), other than one or more Permitted Holders is or becomes the Beneficial Owner, directly or indirectly, of more than 50% of the Voting Stock of the Borrower, Holdings or such parent entity, measured by voting power rather than number of shares, units or the like and (ii) a “person” or “group” (each as defined above) shall not be deemed to Beneficially Own Voting Stock to be acquired pursuant to a stock or asset purchase agreement, merger agreement, option agreement, warrant agreement or similar agreement providing a right to acquire Voting Stock (or voting or option or similar agreement related thereto) until the consummation of the acquisition of the Voting Stock in connection with the transactions contemplated by such agreement (so long as such agreement does not give such “person” or “group” the right to direct the voting of the applicable Voting Stock prior to the consummation of such acquisition).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Change in Law” means: (a) the adoption of any rule, regulation, treaty or other law after the Closing Date, (b) any change in any rule, regulation, treaty or other law or in the administration, interpretation or application thereof by any Governmental Authority or Regulatory Supervising Organization after the Closing Date or (c) the making or issuance of any request, guideline or directive (whether or not having the force of law) of any Governmental Authority or Regulatory Supervising Organization made or issued after the Closing Date. “Class” when used in reference to (a) any Loan or Borrowing, refers to whether such Loan, or the Loans comprising such Borrowing, are Revolving Loans, Other Revolving Loans, Term B-1 Loans, Term B-2 Loans, Other Term Loans, Incremental Term Loans (other than in the form of additional Term B-2 Loans, which shall constitute a single Class with the Term B-2 Loans made on the Second Amendment Effective Date), loans under an Incremental Revolving Facility or Swingline Loans, (b) any Commitment, refers to whether such Commitment is a Revolving Commitment, Other Revolving Commitment,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than commitments in respect of increases to existing Revolving Commitments), Other Term Loans, Incremental Term Loans (other than Incremental Term Loans in the form of Term B-2 Loans), Other Revolving Commitments (and the Other Revolving Loans made pursuant thereto), loans under an Incremental Revolving Facility and Incremental Term Facilities that have different terms and conditions shall be construed to be in different Classes. “Closing Date” means January 13, 2022. “CME Term SOFR Administrator” means CME Group Benchmark Administration Limited as administrator of the forward-looking term Secured Overnight Financing Rate (SOFR) (or a successor administrator of the forward-looking term SOFR selected by the Administrative Agent in its reasonable discretion). “Code” means the Internal Revenue Code of 1986, as amended from time to time. “Collateral” means any and all assets, whether real or personal, tangible or intangible, on which Liens are purported to be granted pursuant to the Security Documents as security for the Secured Obligations. “Collateral Agreement” means the Collateral Agreement, dated as of January 13, 2022, among the Borrower, each other Loan Party and the Administrative Agent, initially substantially in the form of Exhibit D. “Collateral and Guarantee Requirement” means, at any time, the requirement that: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the Administrative Agent shall have received from (i) Holdings, any Intermediate Parent, the Borrower and each of Holdings’ other Restricted Subsidiaries (other than any Foreign Subsidiary, any Regulated Subsidiary, any Excluded Subsidiary or any Excluded Domestic Subsidiary) either (x) a counterpart of the Guarantee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Closing Date, documents and opinions of the type referred to in Sections 4.01(b) and 4.01(c); (b) all outstanding Equity Interests of any Intermediate Parent, the Borrower and each Restricted Subsidiary (other than any Equity Interests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provided that with respect to the Equity Interests of any Regulated Subsidiary, such instruments shall be subject to customary enforcement limitations, including regulatory approvals at the time of enforcement; (c) 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 (d) all certificates, agreements, documents and instruments, including Uniform Commercial Code financing statements, required by the Security Documents or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 and (e) within 90 days after a request therefor by the Administrative Agent in accordance with Section 5.12(b), the Administrative Agent shall have received (i)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counterparts of a Mortgage with respect to each Mortgaged Property duly executed and delivered by the record owner of such Mortgaged Property, (ii) a loan policy, or a pro forma loan policy accompanied by an unconditional binder, of title insurance insuring the Lien of each such Mortgage as a first priority mortgage Lien on the Mortgaged Property described therein, (w) issued by a nationally recognized title insurance company, (x) free of any other Liens except as expressly permitted by Section 6.02, (y) together with such endorsements, coinsurance and reinsurance as the Administrative Agent may reasonably request and which are available at commercially reasonably rates in the jurisdiction where the applicable Mortgaged Property is located, and (z) in an amount reasonably satisfactory to the Administrative Agent, but in no event exceeding One Hundred Percent (100%) of the value of the applicable Mortgaged Property as reasonably determined in good faith by the applicable Loan Party, (iii) a completed “Life of Loan” Federal Emergency Management Agency flood hazard determination with respect to such Mortgaged Property and (iv) such legal opinions as the Administrative Agent may reasonably request with respect to any such Mortgage or Mortgaged Property. Notwithstanding the foregoing provisions of this definition or anything in this Agreement or any other Loan Document to the contrary, (i)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shall be excessive in view of the benefits to be obtained by the Lenders therefrom, (ii) Liens required to be granted from time to time pursuant to the term “Collateral and Guarantee Requirement” shall be subject to exceptions and limitations set forth in the Security Documents as in effect on the Closing Date, (iii)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(iv) in no event shall any Loan Party be required to complete any filings or other action outside of the United States with respect to the perfection or creation of security interests in any jurisdiction outside of the United States (or otherwise enter into any security agreements, Mortgages or pledge agreements governed by the laws of any jurisdiction outside of the United States), (v) in no event shall the Collateral include any Excluded Assets and (vi) in no event shall landlord lien waivers, estoppels or collateral access agreements be required.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Security Documents (or the Guarantee Agreement, to the extent applicable).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0.500% Net First Lien Leverage Ratio Category 2 Less than or equal to 2.50 to 1.00 but greater than 1.75 to 1.00 Commitment Fee Percentage 0.375% “Commitment” means (a) with respect to any Lender, its Revolving Commitment, Other Revolving Commitment, Term Commitment, Other Term Commitment or commitment in respect of any Incremental Term Facility or Incremental Revolving Facility, in each case of any Class, or any combination thereof (as the context requires) and (b) with respect to any Swingline Lender, its Swingline Commitment. “Commitment Fee Rate” means, for any day, the applicable percentage set forth below under the caption “Commitment Fee Percentage” based upon the Net First Lien Leverage Ratio as of the end of the fiscal quarter of Holdings for which consolidated financial statements have theretofore been most recently delivered pursuant to Section 5.01(a) or 5.01(b); provided that, until the date of the delivery of the consolidated financial statements pursuant to Section 5.01(b) as of and for the fiscal quarter ended September 30, 2024, the Commitment Fee Percentage shall be based on the rates per annum set forth in Category 1: Category 3 Less than or equal to 1.75 to 1.00 0.250% Category 1 Greater than 2.50 to 1.00 For purposes of the foregoing, each change in the Commitment Fee Percentage resulting from a change in the Net First Lien Leverage Ratio shall be effective during the period commencing on and including the third Business Day following the date of delivery to the Administrative Agent pursuant to Section 5.01(a) or 5.01(b) of the consolidated financial statements and related Compliance Certificate indicating such change in the Net First Lien Leverage Ratio and ending on the date immediately preceding the effective date of the next such change. Notwithstanding the foregoing, the Commitment Fee Percentage, at the option of the Administrative Agent or the Required Revolving Lenders, commencing upon written notice to the Borrower, shall be based on the rates per annum set forth in Category 1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the day of the occurrence of a Default resulting from such failure and until the delivery thereof.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 “Company Income Amount” means, for a Tax Estimation Period, an amount, if positive, equal to the estimated net taxable income of Holdings for such Tax Estimation Period. For purposes of calculating the Company Income Amount, items of income, gain, loss and deduction resulting from adjustments to the tax basis of Holdings’ assets pursuant to Code Section 743(b) and adjustments pursuant to Code Section 704(c) shall not be taken into account. “Competitor” means any Person (a)(i) engaged in trading financial assets through the use of an electronically automated trading system that generates order sets (which, for purposes of clarity, can consist of a single order) with the intention of (x) creating profit by providing two-sided liquidity to the market, (y) making a profit margin consistent with the business of making the bid-offer spread or less per unit of the financial asset(s) being traded (including by providing either one-sided or two sided liquidity to the market) or (z) creating simultaneous (within 500 milliseconds) order sets that are generated with the intention of locking in an arbitrage profit, (ii) engaging in algorithmic transactions (i.e., buying, selling, trading, or engaging in any other similar transaction where orders are determined by an automated model and placed on an automated basis) or customer facilitating transactions in any way involving any electronically tradeable product or commodity (including any security (equity or debt), derivatives, fixed income, cash, currency, or other financial instruments, or any other tangible or intangible item) through any exchange, electronic trading venue or platform, whether or not using proprietary trading methods or systems or (iii) engaging in the business of offering execution management software, multi-asset connectivity services for order routing or indications of interest, or trading and portfolio analytics, and (b) identified as a “Potential Competitor” on Part (B) of Schedule 1.01(a); provided that any such Person shall be deemed not to be a Competitor if the Loans or commitments in respect thereof will be held by or booked to any division or other identifiable unit or desk of such Person that, in the ordinary course of its business, holds commitments or extends credit of the type contemplated by this Agreement. Notwithstanding anything in this Agreement to the contrary, each Loan Party and the Lenders acknowledge and agree that the Administrative Agent will not have any responsibility or obligation to determine whether any Lender or potential Lender is a Competitor. “Compliance Certificate” means a certificate in the form of Exhibit S required to be delivered pursuant to Section 5.01(d). “Consolidated EBITDA” means, for any period, the Consolidated Net Income for such period, plus: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without duplication and to the extent already deducted (and not added back or excluded) in arriving at such Consolidated Net Income, the sum of the following amounts for such period: (i) total interest expense and, to the extent not reflected in such total interest expense, any losses on hedging obligations or other derivative instruments entered into for the purpose of hedging interest rate risk (other than in the ordinary course of the trading business of Holdings and its Restricted Subsidiaries), net of interest income and gains on such hedging obligations or such derivative instruments, and bank and letter of credit fees and costs of surety bonds in connection with financing activities; (ii) without duplication among periods, provision for (x) taxes based on income, profits or capital, including federal, foreign, state, franchise, excise and similar taxes paid or accrued during such period (including in respect of repatriated funds) and (y) without duplication of the foregoing, the amount of any distribution in respect of the foregoing items pursuant to Section 6.08(a)(vi) and (a)(vii)(B); (iii) depreciation and amortization (including amortization of Capitalized Software Expenditures and amortization of deferred financing fees or costs); (iv) Non-Cash Charges; (v) extraordinary losses in accordance with GAAP; (vi) unusual, infrequent or non-recurring charges (including any unusual, infrequent or non-recurring operating expenses directly attributable to the implementation of cost savings initiatives and business optimization programs), severance, relocation costs, integration and facilities’ opening costs, signing costs, retention or completion bonuses (other than bonuses paid in the ordinary course of business of Holdings and its Restricted Subsidiaries), transition costs, costs related to closure/consolidation of facilities and curtailments, modifications to pension and post-retirement employee benefit plans (including any settlement of pension liabilities), new product design, development and introductions (including Intellectual Property development), establishment, implementation, replacement, development or upgrade of operational, reporting and information technology systems and technology initiatives, other system establishment costs and contract termination costs; (vii) restructuring charges, accruals or reserves (including restructuring costs related to acquisitions after the Closing Date and adjustments to existing reserves); (viii) the amount of any minority interest expense consisting of subsidiary income attributable to minority equity interests of third parties in any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Non-Wholly Owned Subsidiary of Holdings deducted (and not added back in such period to Consolidated Net Income); (ix) 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 (x) losses on asset sales, disposals or abandonments (other than asset sales, disposals or abandonments in the ordinary course of business); (xi) the amount of any net losses from discontinued operations in accordance with GAAP; (xii) 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815–Derivatives and Hedging; (xiii) any loss relating to amounts paid in cash prior to the stated settlement date of any hedging obligation (other than any hedging obligation entered into in the ordinary course of the trading business of Holdings and its Restricted Subsidiaries) that has been reflected in Consolidated Net Income for such period; (xiv) any gain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(b)(v) and (b)(vi) below; (xv) any expenses or charges related to any issuance of Equity Interests, Investment, acquisition, Disposition, recapitalization or the incurrence, modification or repayment of Indebtedness permitted to be incurred by this Agreement (including a refinancing thereof) (whether or not successful), in each case, outside the ordinary course of business, including (x) such fees, expenses or charges related to this Agreement, (y) any amendment or other modification of the Loans or other obligations under the Loan Documents or other Indebtedness and (z) commissions and other fees and charges (including any interest expense) related to any Permitted Securitization Financing; and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(xvi) the amount of discount in connection with a Permitted Securitization Financing, including amortization of loan origination costs and amortization of portfolio discounts; less (b) without duplication and to the extent included in arriving at such Consolidated Net Income, the sum of the following amounts for such period: (i) extraordinary gains and unusual or non-recurring gains; (ii) non-cash gains (excluding any non-cash gain to the extent it represents the reversal of an accrual or reserve for a potential cash item that reduced Consolidated Net Income or Consolidated EBITDA in any prior period); (iii) gains on asset sales, disposals or abandonments (other than asset sales, disposals or abandonments in the ordinary course of business); (iv) the amount of any net income from discontinued operations in accordance with GAAP; (v) any non-cash gain attributable to the mark to market movement in the valuation of hedging obligations or other derivative instruments (to the extent the cash impact resulting from such gain has not been realized) (other than any hedging obligations or other derivative instruments entered into in the ordinary course of the trading business of Holdings and its Restricted Subsidiaries) pursuant to Financial Accounting Standards Accounting Standards Codification No. 815–Derivatives and Hedging; (vi) any gain relating to amounts received in cash prior to the stated settlement date of any hedging obligation (other than any hedging obligation entered into in the ordinary course of the trading business of Holdings and its Restricted Subsidiaries) that has been reflected in Consolidated Net Income for such period; (vii) any loss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(a)(xiii) and (a)(xiv) above; and (viii) the amount of any minority interest income consisting of subsidiary loss attributable to minority equity interests of third parties in any Non-Wholly Owned Subsidiary of Holdings added (and not deducted in such period in calculating Consolidated Net Income); in each case, as determined on a consolidated basis for Holdings and the Restricted Subsidiaries in accordance with GAAP; provided that,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Holdings and its Restricted Subsidiaries, (II) to the extent included in Consolidated Net Income, there shall be excluded in determining Consolidated EBITDA for any period any adjustments resulting from the application of Financial Accounting Standards Accounting Standards Codification No. 815–Derivatives and Hedging (other than with respect to any hedging obligations entered into in the ordinary course of the trading business of Holdings and its Restricted Subsidiaries), (III) to the extent not included in Consolidated Net Income, there shall be included in determining Consolidated EBITDA for any period, without duplication, (A) the Acquired EBITDA of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“Acquired Entity or Business”), and the Acquired EBITDA of any Unrestricted Subsidiary that is converted into a Restricted Subsidiary during such period (each, a “Converted Restricted Subsidiary”),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a certificate from a Financial Officer delivered to the Administrative Agent (for further delivery to the Lenders); and (IV)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by Holdings or any Restricted Subsidiary during such period (each such Person, property, business or asset so sold, transferred or otherwise disposed of, closed or classified, a “Sold Entity or Business”), and the Disposed EBITDA of any Restricted Subsidiary that is converted into an Unrestricted Subsidiary during such period (each, a “Converted Unrestricted Subsidiary”), in each case based on the Disposed EBITDA of such Sold Entity or Business or Converted Unrestricted Subsidiary for such period (including the portion thereof occurring prior to such sale, transfer, disposition, closure, classification or conversion) determined on a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historical pro forma basis and (B) to the extent not included in Consolidated Net Income, 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 “Consolidated First Lien Debt” means, as of any date of determination, the aggregate amount of Consolidated Total Debt outstanding on such date, without duplication (x) constituting the Loan Document Obligations that are secured by a first priority Lien on the Collateral or (y) that is secured on a pari passu basis with the Term B-2 Loans by a first priority Lien on the Collateral. “Consolidated First Lien Net Debt” means, as of any date of determination, (a) the amount of Consolidated First Lien Debt as of such date, less (b) all unrestricted cash and Permitted Investments on the 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 “Consolidated Interest Expense” means, for any period, the cash interest expense (including that attributable to Capitalized Leases), net of cash interest income (excluding cash interest income relating to any asset or property that secures any Trading Debt), of Holdings and the Restricted Subsidiaries, determined on a consolidated basis in accordance with GAAP, with respect to all outstanding Indebtedness of Holdings and the Restricted Subsidiaries (excluding Trading Debt), including all commissions, discounts and other fees and charges owed with respect to letters of credit 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 non-cash interest expense attributable to the movement of the mark-to-market valuation of obligations under hedging agreements or other derivative instruments pursuant to Financial Accounting Standards Accounting Standards Codification No. 815-Derivatives and Hedging, (v) any one-time cash costs associated with breakage in respect of hedging agreements for interest rates, and (vi) all non-recurring cash interest expense consisting of liquidated damages for failure to timely comply with registration rights obligations, all as calculated on a consolidated basis in accordance with GAAP. “Consolidated Net Income” means, for any period, the net income (loss) of Holdings and the Restricted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[reserved], (d) any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Holdings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(h) any income (loss) attributable to deferred compensation plans or trusts and (i) any income (loss) from Investments recorded 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 pronouncements (including the effects of such adjustments pushed down to Holdings and the Restricted Subsidiaries), as a result of any acquisition consummated prior to the Closing Date and any Permitted Acquisition or other Investment permitted hereunder or the amortization or write-off of any amounts thereof. In addition, to the extent not already included in Consolidated Net Income, Consolidated Net Income shall include (i)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and (ii) income from Investments in joint ventures in an amount equal to the greater of (A) the proportionate share of the Borrower or the applicable Restricted Subsidiary in the income of such joint venture and (B) the amount of actual distributions made by such joint venture to the Borrower or the applicable Restricted Subsidiary. “Consolidated Total Debt” means, as of any date of determination, the aggregate amount of Indebtedness of Holdings and the Restricted Subsidiaries outstanding on such date, determined on a consolidated basis in accordance with GAAP (but excluding the effects of any discounting of Indebtedness resulting from the application of acquisition method accounting in connection with any Permitted Acquisition or other Investment permitted hereunder) consisting only of Indebtedness for borrowed money, unreimbursed obligations under letters of credit, obligations in respect of Capitalized Leases and debt obligations evidenced by promissory notes or similar instruments (and excluding, in any event, all Trading Debt). “Consolidated Total Net Debt” means (a) the amount of Consolidated Total Debt as of such date, less (b) all unrestricted cash and Permitted Investments on the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 “Contract Consideration” has the meaning assigned to such term in clause (b)(x) of the definition of “Excess Cash Flow.” “Control” means the possession, directly or indirectly, of the power to direct or cause the direction of the management or policies, or the dismissal or appointment of the management, of a Person, whether through the ability to exercise voting power, by contract or otherwise. “Controlling” and “Controlled” have meanings correlative thereto. “Converted Restricted Subsidiary” has the meaning assigned to such term in the definition of “Consolidated EBITDA.” “Converted Term B-1 Loan” means each Term B-1 Loan held by a Second Amendment Consenting Lender on the Second Amendment Effective Date immediately prior to the effectiveness of the Second Amendment that has indicated on its signature page to the Second Amendment that such Lender wishes to convert all of its Term B-1 Loans to Term B-2 Loans (or, if less, the amount notified to such Lender by the Administrative Agent prior to the Second Amendment Effective Date). “Converted Unrestricted Subsidiary” has the meaning assigned to such term in the definition of “Consolidated EBITDA.” “Corresponding Tenor” with respect to any Available Tenor means, as applicable, either a tenor (including overnight) or an interest payment period having approximately the same length (disregarding business day adjustment) as such Available Tenor. “Covered Entity” has the meaning assigned to such term in Section 9.21(b). “Covered Party” has the meaning assigned to such term in Section 9.21(a). “Credit Agreement Refinancing Indebtedness” means (a) Permitted First Priority Refinancing Debt, (b) Permitted Junior Lien Refinancing Debt, (c) Permitted Unsecured Refinancing Debt or (d) Indebtedness incurred or Other Revolving Commitments obtained pursuant to a Refinancing Amendment,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Commitments, outstanding loans under any Incremental Revolving Facility or undrawn commitments under any Incremental Revolving Facility (“Refinanced Debt”); provided that (i) such extending, renewing, replacing or refinancing Indebtedness (including, if such Indebtedness includes any Other Revolving Commitments, the unused portion of such Other Revolving Commitments) is in an original aggregate principal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not greater than the sum of the aggregate principal amount of the Refinanced Debt (and, in the case of Refinanced Debt consisting, in whole or in part, of unused commitments under any Incremental Revolving Facility or Other Revolving Commitments, the amount thereof) plus all accrued and unpaid interest and fees thereon and expenses incurred in connection with such extension, renewal, replacement or refinancing, (ii) such Indebtedness has a maturity that is equal to or later than and, except in the case of Other Revolving Commitments, a Weighted Average Life to Maturity equal to or greater than the Refinanced Debt; provided that this clause (ii) shall not apply to Indebtedness incurred in the form of Customary Bridge Loans (provided that any loans, notes, securities or other debt which are exchanged for or otherwise replace such Customary Bridge Loans, if any, shall be subject to the requirements of this clause (ii) to the extent otherwise applicable) and/or Indebtedness in an aggregate principal amount outstanding that is not in excess of the then remaining capacity under the Inside Maturity Basket, and (iii) such Refinanced Debt shall be repaid, defeased or satisfied and discharged, and all accrued interest, fees and premiums (if any) in connection therewith shall be paid, on the date such Credit Agreement Refinancing Indebtedness is issued, incurred or obtained; provided that to the extent that such Refinanced Debt consists, in whole or in part, of commitments under any Incremental Revolving Facility or Other Revolving Commitments (or loans incurred pursuant to any Incremental Revolving Facility or Other Revolving Loans), such commitments shall be terminated, and all accrued fees in connection therewith shall be paid, on the date such Credit Agreement Refinancing Indebtedness is issued, incurred or obtained. “Credit Party” means the Administrative Agent, the Issuing Banks, the Swingline Lender or any other Lender. “Cumulative Credit” means at any time, an amount equal to: (a) the greater of $250,000,000 and 25% of Consolidated EBITDA calculated on a Pro Forma Basis for the most recently ended Test Period; plus (b) 50% of Consolidated Net Income (or 100% of losses) for the period (taken as a single period) commencing with the fiscal quarter ended December 31, 2019 and ending on and including the last day of the most recently ended Test Period for which for which (A) with respect to any of the first three fiscal quarters in a given fiscal year, the Borrower has delivered financial statements pursuant to Section 5.01(b) or (B) with respect to the fourth fiscal quarter of any fiscal year, the Borrower has delivered financial statements pursuant to Section 5.01(a); plus (c) the aggregate amount of the Net Proceeds of the issuance or sale by Holdings of Qualified Equity Interests (other than to the Borrower or any of its Restricted Subsidiaries) that is contributed to the Borrower or any of its Restricted Subsidiaries after the Closing Date (other than Cure Amounts and the Net Proceeds of any such issuance made pursuant to Section 6.04(p)); plus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the aggregate amount of cash and the fair market value of assets contributed to the Borrower after the Closing Date (other than Cure Amount or any contribution from a Restricted Subsidiary); plus (e) the aggregate amount of Indebtedness of the Borrower and its Restricted Subsidiaries converted to or exchanged for Qualified Equity Interests of the Borrower (provided that in the case of an exchange, the applicable Indebtedness is promptly cancelled); plus (f) to the extent actually received by the Borrower or any Restricted Subsidiary, an amount equal to (i) any returns (including dividends, interest, distributions, returns of principal, repayments, income and similar amounts and cancellations of guarantees or otherwise) in cash or other property (valued at the fair market value thereof as reasonably determined by the Borrower), in respect of, and (ii) cash or other property (valued at the fair market value thereof as reasonably determined by the Borrower) for the Disposition of, any Investments made pursuant to Section 6.04(n)(ii); plus (g) in the event any Unrestricted Subsidiary has been re-designated as a Restricted Subsidiary or merged, consolidated or amalgamated with or into, or transferred or conveyed all or substantially all of its assets to, or is liquidated into, the Borrower or any Restricted Subsidiary, an amount equal to the lesser of (i) the fair market value of the Investments of the Borrower and its Restricted Subsidiaries made pursuant to Section 6.04(n)(ii) in such Unrestricted Subsidiary at the time of such re-designation, combination, transfer or liquidation and (ii) the amount originally invested by the Borrower and its Restricted Subsidiaries in such Unrestricted Subsidiary pursuant to Section 6.04(n)(ii); plus (h) an amount equal to Retained Asset Sale Proceeds; plus (i) an amount equal to Declined Proceeds; minus (j) the aggregate amount of Investments (net of amounts received in respect of such Investments, whether as principal, interest, dividends, repayments, cancellations of guarantees or otherwise) made after the Closing Date and prior to such time pursuant to Section 6.04(n)(ii), Restricted Payments made after the Closing Date and prior to such time pursuant to paragraph Section 6.08(a)(viii) (or loans or advances made in lieu thereof pursuant to Section 6.04(k) or Indebtedness incurred using the Available RP Capacity Amount in lieu thereof) and payments in respect of any Junior Financing made after the Closing Date and prior to such time pursuant to Section 6.08(b)(iv); minus (k) payments after the Closing Date and prior to such time pursuant to Section 6.08(a)(iii) (but not in excess of the amount which would reduce the Cumulative Credit to below $0). Each reference in this definition to a provision of Section 6.04 or Section 6.08 shall be deemed to refer to such provision as in effect at such time.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Cure Amount” has the meaning assigned to such term in Section 7.02(a). “Cure Deadline” has the meaning assigned to such term in Section 7.02(a). “Cure Notice” has the meaning assigned to such term in Section 7.02(a). “Cure Right” has the meaning assigned to such term in Section 7.02(a). “Customary Bridge Loans” means customary bridge loans with a maturity date of no more than one year from incurrence that are (x) convertible or exchangeable into other debt instruments (but, for the avoidance of doubt, not any loans, securities or other debt which are exchanged for or otherwise replace such bridge loans) or (y) incurred to finance a Permitted Acquisition or Investment. “Daily Simple SOFR” means, for any day (a “SOFR Rate Day”), a rate per annum equal to SOFR for the day (such day,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“Declined Proceeds” has the meaning assigned to such term in Section 2.09(d). “Deemed Date” has the meaning assigned to such term in Section 6.01. “Default” means any event or condition that constitutes an Event of Default or that upon notice, lapse of time or both would, unless cured or waived, become an Event of Default. “Default Right” has the meaning assigned to such term in Section 9.21(b). “Defaulting Lender” means any Revolving Lender that (a) has failed, within one Business Day of the date required to be funded or paid, to (i) fund any portion of its Revolving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a loan under this Agreement (specifically identified and including the particular default, if any) has not been satisfied, (b) has notified the Borrower or any Credit Party in writing, or has made a public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agreements in which it commits to extend credit, (c) has failed, within three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Revolving Loans and participations in then outstanding Letters of Credit or Swingline Loans under this Agreement; provided that such Lender shall cease to be a Defaulting Lender pursuant to this clause (c) upon the Administrative Agent’s or the Borrower’s receipt, as applicable, of such certification in form and substance satisfactory to it and the Administrative Agent, or (d) has, or has a Lender Parent that has, (i) become the subject of a Bankruptcy Event or (ii) become subject to a Bail-In Action. Any determination by the Administrative Agent made in writing to the Borrower and each Lender that a Lender is a Defaulting Lender under any one or more of clauses (a) through (d) above shall be conclusive and binding absent manifest error. “Designated Affiliate” has the meaning assigned to such term in Section 9.02(e). “Designated Non-Cash Consideration”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 of Holdings, setting forth the basis of such valuation (which amount will be reduced by the fair market value of the portion of the non-cash consideration converted to cash). “Designation Date” has the meaning assigned to such term in Section 5.13. “Discount Prepayment Accepting Lender” has the meaning assigned to such term in Section 2.09(a)(ii)(B)(2). “Discount Range” has the meaning assigned to such term in Section 2.09(a)(ii)(C)(1). “Discount Range Prepayment Amount” has the meaning assigned to such term in Section 2.09(a)(ii)(C)(1). “Discount Range Prepayment Notice” means a written notice of a Borrower Solicitation of Discount Range Prepayment Offers made pursuant to Section 2.09(a)(ii)(C) substantially in the form of Exhibit K. “Discount Range Prepayment Offer” means the irrevocable written offer by a Term Lender, substantially in the form of Exhibit L, submitted in response to an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invitation to submit offers following the Auction Agent’s receipt of a Discount Range Prepayment Notice. “Discount Range Prepayment Response Date” has the meaning assigned to such term in Section 2.09(a)(ii)(C)(1). “Discount Range Proration” has the meaning assigned to such term in Section 2.09(a)(ii)(C)(3). “Discounted Prepayment Determination Date” has the meaning assigned to such term in Section 2.09(a)(ii)(D)(3). “Discounted Prepayment Effective Date”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 accordance with Section 2.09(a)(ii)(B), Section 2.09(a)(ii)(C) or Section 2.09(a)(ii)(D), as applicable unless a shorter period is agreed to between the Borrower and the Auction Agent. “Discounted Term Loan Prepayment” has the meaning assigned to such term in Section 2.09(a)(ii)(A). “Disposed EBITDA” means, with respect to any Sold Entity or Business or Converted Unrestricted Subsidiary for any period, the amount for such period of Consolidated EBITDA of such Sold Entity or Business or Converted Unrestricted Subsidiary (determined as if references to Holdings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 “Disposition” has the meaning assigned to such term in Section 6.05. “Disqualified Equity Interest”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 (a) matures or is mandatorily redeemable (other than solely for Equity Interests in such Person or in VFI that do not constitute Disqualified Equity Interests and cash in lieu of fractional shares of such Equity Interests), whether pursuant to a sinking fund obligation or otherwise; (b) is convertible or exchangeable, either mandatorily or at the option of the holder thereof, for Indebtedness or Equity Interests (other than solely for Equity Interests in such Person or in VFI that do not constitute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Disqualified Equity Interests and cash in lieu of fractional shares of such Equity Interests); (c) provides for the scheduled payments of dividends in cash; or (d) is redeemable (other than solely for Equity Interests in such Person or in VFI that do not constitute Disqualified Equity Interests and cash in lieu of fractional shares of such Equity Interests) or is required to be repurchased by such Person or VFI or any of its Affiliates, in whole or in part, at the option of the holder thereof; in each case, on or prior to the date 91 days after the Latest Maturity Date; provided, however,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with no pending drawings of all Letters of Credit and the termination of the Commitments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 “Disqualified Lender” (a) means each Person identified as a “Disqualified Lender” on Part A of Schedule 1.01(a), which Schedule may be provided to any Lender or prospective Lender upon request and (b) any affiliate of the entities described in the preceding clause (a) that is clearly identifiable as an affiliate of such entity solely on the basis of its name (other than, with respect to this clause (b), any bona fide debt fund affiliate thereof that is primarily engaged in, or that advises funds or other investment vehicles that are engaged in making, purchasing, holding or otherwise investing in commercial loans, bonds and similar extensions of credit or securities in the ordinary course of business so long as no personnel of such debt fund affiliate is involved with any investment in the applicable person or entity described in the preceding clause (a) or the management, control or operation of such person or entity, possesses, directly or indirectly, the power to direct or cause the direction of the investment policies of such debt fund); provided that no such updates pursuant to clause (b) shall be deemed to retroactively disqualify any assignment or participation interest to the extent such assignment or participation interest was acquired by a party that was not a Disqualified Lender at the time of such assignment or participation, as the case may be. Notwithstanding anything in this Agreement to the contrary, each Loan Party and the Lenders acknowledge and agree that the Administrative Agent will not have any responsibility or obligation to determine whether any Lender or potential Lender is a Disqualified Lender and the Administrative Agent will not have any liability with respect to any assignment made to a Disqualified Lender. All updates to the list of Disqualified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Lenders must be sent to the following email address at JPMorgan Chase Bank, N.A. in order to be deemed received or effective: JPMDQ_Contact@jpmorgan.com. “dollars” or “$” refers to lawful money of the United States of America. “Domestic Subsidiary” means any Subsidiary that is not a Foreign Subsidiary. “ECF Percentage” means, with respect to any prepayment required by Section 2.09(c) with respect to any applicable period of the Borrower, if the Net First Lien Leverage Ratio (prior to giving effect to the applicable prepayment pursuant to Section 2.09(c)) as of the end of such applicable period is (a) greater than 3.50 to 1.00, 50% of Excess Cash Flow for such period, (b) equal to or less than 3.50 to 1.00 but greater than 3.00 to 1.00, 25% of Excess Cash Flow for such period and (c) equal to or less than 3.00 to 1.00, 0% of Excess Cash Flow for such period.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“Electronic Signature” means an electronic sound, symbol, or process attached to, or associated with, a contract or other record and adopted by a Person with the intent to sign, authenticate or accept such contract or record. “Eligible Assignee”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 “Employee Holding Vehicles”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Holdings’ direct or indirect parent companies) on behalf of such officers, directors and employees. “Engagement Letter” means that certain Engagement Letter, dated January 3, 2022, by and among JPMorgan Chase Bank, N.A., Goldman Sachs Bank USA, Royal Bank of Canada, Barclays Bank PLC, Jefferies Finance LLC, BMO Capital Markets Corp., CIBC World Markets Corp. and Holdings. “Environmental Laws”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the Release or threatened Release of any Hazardous Materials or to the extent relating to exposure to Hazardous Materials, to health or safety matters. “Environmental Liability”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 or (e) any contract, agreement or other written consensual arrangement pursuant to which liability is assumed or imposed with respect to any of the foregoing. “Equity Interests” means shares of capital stock, partnership interests, membership interests in a limited liability company, beneficial interests in a trust or other equity ownership interests in a Person. “ERISA” means the Employee Retirement Income Security Act of 1974, as amended from time to time, and the rules and regulations promulgated thereunder. “ERISA Affiliate” means any trade or business (whether or not incorporated) that, together with the Borrower or any Subsidiary, is treated as a single employer under Section 414(b) or 414(c) of the Code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ERISA Affiliate of any liability with respect to the withdrawal or partial withdrawal (including under Section 4062(e) of ERISA)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 “Ethically Screened Affiliate” means, with respect to any Person, any Affiliate of such Person that (i) is managed as to day-to-day matters (but excluding, for the avoidance of doubt, as to strategic direction and similar matters) independently from such Person and any other Affiliate of such Person that is not an Ethically Screened Affiliate, (ii) has in place customary information screens between it and such Person and any other Affiliate of such Person that is not an Ethically Screened Affiliate and (iii) such Person or any other Affiliate of such Person that is not an Ethically Screened Affiliate does not direct or cause the direction of the investment policies of such entity, nor does such Person’s or any such other Affiliate’s investment decisions influence the investment decisions of such entity. “EU Bail-in Legislation Schedule” means the EU Bail-In Legislation Schedule published by the Loan Market Association (or any successor Person), as in effect from time to time. “Event of Default” has the meaning assigned to such term in Section 7.01. “Excess Cash Flow” means, for any period, an amount equal to the excess of: (a) the sum, without duplication, of: (i) Consolidated Net Income for such period, (ii) an amount equal to the amount of all Non-Cash Charges (including in respect of depreciation and amortization) to the extent deducted in arriving at such Consolidated Net Income, (iii) an amount equal to the aggregate net non-cash loss on dispositions by Holdings and the Restricted Subsidiaries during such period (other than dispositions in the ordinary course of business) to the extent deducted in arriving at such Consolidated Net Income;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the amount of tax expenses deducted in determining Consolidated Net Income for such period to the extent they exceed the amount of cash taxes paid in such period; and (v) extraordinary cash gains during such period; over (b) the sum, without duplication, of: (i) 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Holdings and the Restricted Subsidiaries, (ii) without duplication of amounts deducted pursuant to clause (x) below in prior fiscal periods, the amount of capital expenditures made in cash during such period to the extent financed with internally generated funds of Holdings and the Restricted Subsidiaries (other than asset sale proceeds, casualty proceeds, condemnation proceeds or other funds that would not be included in Consolidated Net Income), (iii) the aggregate amount of all principal payments of Indebtedness (other than the payment prior to its stated maturity of (x) any Indebtedness that is subordinated in right of payment to the Loan Document Obligations, (y) any Indebtedness that is secured by a junior Lien on the Collateral and (z) unsecured Indebtedness of the Borrower and its Restricted Subsidiaries) of the Borrower and the Restricted Subsidiaries (including (A) the principal component of payments in respect of Capitalized Leases and (B) the amount of any mandatory prepayment of Term Loans pursuant to Section 2.09(b) with the Net Proceeds from an event of the type specified in clause (a) of the definition of “Prepayment Event” to the extent required due to a disposition that resulted in an increase to Consolidated Net Income and not in excess of the amount of such increase but excluding (X) all other prepayments of Term Loans and (Y) all prepayments of revolving loans (including any Revolving Loans and Swingline Loans) and any Trading Debt unless accompanied by a permanent reduction of commitments or termination of a credit line in respect of such revolving loans or such Trading Debt) made during such period, to the extent financed with internally generated funds of Holdings and the Restricted Subsidiaries (it being agreed that any amount not permitted to be deducted pursuant to this clause (b)(iii) may not be deducted pursuant to any other provision of this clause (b)), (iv) an amount equal to the aggregate net non-cash gain on dispositions by Holdings and the Restricted Subsidiaries during such period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than dispositions in the ordinary course of business) to the extent included in arriving at such Consolidated Net Income, (v) cash payments by Holdings and the Restricted Subsidiaries during such period in respect of long-term liabilities of Holdings and the Restricted Subsidiaries other than Indebtedness and that were made with internally generated funds of Holdings and the Restricted Subsidiaries, to the extent that such payments were not expensed in arriving at such Consolidated Net Income, (vi) without duplication of amounts deducted pursuant to clause (x) below in prior fiscal periods, the amount of Investments and acquisitions made in cash during such period pursuant to Section 6.04 (other than (1) to the extent made pursuant to Section 6.04(a) and (2) any Investment by Holdings or any Restricted Subsidiary in Holdings or any Restricted Subsidiary) to the extent that such Investments and acquisitions were financed with internally generated funds of Holdings and the Restricted Subsidiaries and were not expensed in arriving at such Consolidated Net Income, (vii) the amount of dividends, distributions and other restricted payments paid in cash during such period by the Borrower pursuant to Section 6.08 (including any Permitted Tax Distribution) to the extent such payments were financed with internally generated funds of Holdings and the Restricted Subsidiaries, (viii) the aggregate amount of expenditures actually made by Holdings and the Restricted Subsidiaries in cash during such period (including expenditures for the payment of financing fees) to the extent that such expenditures are not expensed during such period and were financed with internally generated funds of Holdings and the Restricted Subsidiaries, (ix) the aggregate amount of any premium, make-whole or penalty payments actually paid in cash by Holdings and the Restricted Subsidiaries during such period that are required to be made in connection with any prepayment of Indebtedness to the extent that such payments are not expensed during such period or any previous period and were financed with internally generated funds of Holdings and the Restricted Subsidiaries, (x) without duplication of amounts deducted from Excess Cash Flow in prior periods, the aggregate consideration required to be paid in cash by Holdings or any of the Restricted Subsidiaries pursuant to binding contracts (which may include, among other things, letters of intent or purchase orders) (the “Contract Consideration”) entered into prior to or during such period relating to Permitted Acquisitions, other Investments or capital expenditures (including Capitalized Software Expenditures or other purchases of intellectual property but excluding any contracts where the counterparty is Holdings or any of the Restricted Subsidiaries) to be consummated or made during the period of four consecutive fiscal quarters of Holdings following the end of such period, provided that to the extent the aggregate amount of internally generated funds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 (xi) the amount of cash taxes paid in such period to the extent they exceed the amount of tax expense deducted in determining Consolidated Net Income for such period, and (xii) extraordinary cash losses for such period. “Excess Cash Flow Period” has the meaning assigned to such term in Section 2.09(c). “Exchange Act” means the United States Securities Exchange Act of 1934, as amended from time to time. “Excluded Affiliate” has the meaning assigned to such term in Section 9.02(e). “Excluded Assets” means (a) (i) any fee-owned real property with a fair market value of less than $10,000,000 or any real property that is located in an area determined by the Federal Emergency Management Agency to have special flood hazards and (ii) all leasehold interests in real property, (b) 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$10,000,000 (but only to the extent that a security interest in any such asset cannot be perfected by filing of a financing statement), (d) Excluded Securities, (e)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or any Restricted Subsidiary) to, such lease, license or other agreement (but only to the extent any of the foregoing is not rendered ineffective by, or is otherwise unenforceable under, the Uniform Commercial Code or any Requirements of Law), (f) any asset subject to a Lien of the type permitted by Section 6.02(iv) (whether or not incurred pursuant to such Section) or a Lien permitted by Section 6.02(xi) or Section 6.02(xx), in each case if, to the extent and for so long as the grant of a Lien thereon to secure the Secured Obligations constitutes a breach of or a default under, or creates a right of termination in favor of any party (other than Holdings or any Restricted Subsidiary) to, any agreement pursuant to which such Lien has been created (but only to the extent any of the foregoing is not rendered ineffective by, or is otherwise unenforceable under, the Uniform Commercial Code or any Requirements of Law), (g) any intent-to-use trademark applications filed in the United States Patent and Trademark Office prior to the filing and acceptance of a “Statement of Use” or “Amendment to Allege Use” with respect thereto, to the extent, if any, that, and solely during the period, if any, in which the grant or a security interest therein would impair the validity or enforceability of such intent-to-use trademark application under applicable federal law, (h) any asset with respect to which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Holdings with the written consent of the Administrative Agent (not to be unreasonably withheld or 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 regulation in any applicable jurisdiction) to Holdings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and its Restricted Subsidiaries, (i)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 (j) any cash and cash equivalents only to the extent, and for so long as, such cash and cash equivalents are subject to a Lien permitted by Section 6.02(xv)(y) and (k) Securitization Assets sold to any Special Purpose Securitization Subsidiary, or otherwise pledged, factored, transferred or sold, in connection with any Permitted Securitization Financing, and any other related assets subject to Liens securing Permitted Securitization Financings. “Excluded Domestic Subsidiary” means: (i) any direct or indirect Domestic Subsidiary of a direct or indirect Foreign Subsidiary of the Borrower that is a “controlled foreign corporation” within the meaning of Section 957 of the Code (a “CFC”) and (ii) any direct or indirect U.S. subsidiary of the Borrower that has no material assets other than equity of one or more direct or indirect non-U.S. subsidiaries that are CFCs (a “FSHCO”). “Excluded Securities” shall mean any of the following: (a) any Equity Interests or Indebtedness with respect to which the Administrative Agent and the Borrower reasonably agree that the cost or other consequences of pledging such Equity Interests or Indebtedness to secure the Secured Obligations would be excessive in relation to the value to be afforded thereby; (b) in the case of any pledge of voting Equity Interests of any Foreign Subsidiary (in each case, that is owned directly by the Borrower or a Subsidiary Loan Party) to secure the Secured Obligations, any voting Equity Interest of such Foreign Subsidiary in excess of 65% of such outstanding voting Equity Interests; (c) in the case of any pledge of voting Equity Interests of any FSHCO (in each case, that is owned directly by the Borrower or a Subsidiary Loan Party) to secure the Secured Obligations, any voting Equity Interest of such FSHCO in excess of 65% of such outstanding voting Equity Interests; (d) any Equity Interests or Indebtedness to the extent the pledge thereof would be prohibited by any Requirement of Law after giving effect to the anti-assignment provisions of the Uniform Commercial Code of any applicable jurisdiction; (e) any Equity Interests of any Person that is not a Wholly Owned Subsidiary of the Borrower to the extent (A) that a pledge thereof to secure the Secured Obligations is prohibited by (i) any applicable organizational documents, joint venture agreement or shareholder agreement or (ii) any other contractual obligation with an unaffiliated third party not in violation of clause (a) of Section 6.10 binding on such Equity Interests to the extent in existence on the Closing Date or on the date of acquisition thereof and not entered into in contemplation thereof (other than, in this subclause (A)(ii), customary non-assignment provisions which are ineffective under the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Uniform Commercial Code or other applicable Requirements of Law), (B) any organizational documents, joint venture agreement or shareholder agreement (or other contractual obligation referred to in subclause (A)(ii) above) prohibits such a pledge without the consent of any other party; provided, that this clause (B) shall not apply if (1) such other party is a Holdings or any Restricted Subsidiary or (2) consent has been obtained to consummate such pledge (it being understood that the foregoing shall not be deemed to obligate the Borrower or any Subsidiary to obtain any such consent) and shall only apply for so long as such organizational documents, joint venture agreement or shareholder agreement or replacement or renewal thereof is in effect, or (C) a pledge thereof to secure the Secured Obligations would give any other party (other than a Loan Party or a Wholly Owned Subsidiary) to any organizational documents, joint venture agreement or shareholder agreement governing such Equity Interests (or other contractual obligation referred to in subclause (A)(ii) above) the right to terminate its obligations thereunder (other than, in the case of other contractual obligations referred to in subclause (A)(ii), customary non-assignment provisions which are ineffective under the Uniform Commercial Code or other applicable Requirement of Law); and (f) any Equity Interests of any Unrestricted Subsidiary or any Special Purpose Securitization Subsidiary. “Excluded Subsidiary” means (a) any Subsidiary that is not a Wholly Owned Subsidiary of Holdings on the Closing Date (or, if later, the date it first becomes a Subsidiary), (b) any Subsidiary that is prohibited by any contractual obligation existing on the Closing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(e) and any Subsidiary that would be required to be registered as an “investment company” under the Investment Company Act of 1940, as amended, and the rules and the regulations of the SEC thereunder, as a result of being a Guarantor (for so long as such Subsidiary would be required to so register as a result of being a Guarantor), (f) any other Subsidiary excused from becoming a Loan Party pursuant to the last paragraph of the definition of the term “Collateral and Guarantee Requirement”, (g) any Special Purpose Securitization Subsidiary, and (h) any not-for-profit subsidiary. “Excluded Taxes” means, with respect to the Administrative Agent, any Lender, any Issuing Bank or any other recipient of any payment to be made by or on account of any obligation of any Loan Party hereunder or under any other Loan Document, (a) Taxes imposed on (or measured by) its net income (however denominated) and franchise Taxes imposed on it (in lieu of net income Taxes), in each case, imposed as a result of (i) such recipient being organized under the laws of, or having its principal office located in or, in the case of any Lender, having its applicable lending office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located in, the jurisdiction imposing such Tax, or (ii) a present or former connection between such recipient and the jurisdiction imposing such Tax (other than a connection arising from such recipient having executed, delivered, or become a party to, performed its 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in the case of a Lender, any withholding Tax that is attributable to such Lender’s failure to comply with Section 2.15(e), (d) except in the case of an assignee or lending office pursuant to a request by the Borrower under Section 2.17, any U.S. federal withholding Taxes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 and (e) any withholding Taxes imposed under FATCA. “Existing Credit Agreement” means that certain Credit Agreement, dated as of March 1, 2019 (as amended, modified or supplemented prior to the Closing Date), among Holdings, the Borrower, Impala Borrower LLC, a Delaware limited liability company, the lenders party thereto and Jefferies Finance LLC, as administrative agent and collateral agent. “Existing Credit Agreement Refinancing” means the repayment of all the existing Indebtedness outstanding under the Existing Credit Agreement and the termination of all guarantees and releases of all security interests with respect thereto. “Existing Yen Bonds” means the Borrower’s Japanese Yen Bonds issued on July 25, 2016 in the aggregate principal amount of JPY 3,500,000,000 in favor of SBI Life Insurance Co., Ltd. and SBI Insurance Col., Ltd., and guaranteed by Holdings. “Extension Notice” has the meaning assigned to such term in Section 2.19(b). “FATCA”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and any intergovernmental agreement, treaty or convention among Governmental Authorities (and any related fiscal or regulatory legislation, rules or official practices) implementing the foregoing. “FCPA” has the meaning assigned to such term in Section 3.19(b). “Federal Funds Effective Rate” means, for any day, the rate calculated by the NYFRB based on such day’s federal funds transactions by depositary institutions, as determined in such manner as shall be set forth on the NYFRB’s Website from time to time, as published on the next succeeding Business Day by the NYFRB as the effective federal funds rate; provided, however, that notwithstanding the foregoing, the Federal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Funds Effective Rate will be deemed to be 0.00% per annum if the Federal Funds Effective Rate determined pursuant to this definition would otherwise be less than 0.00% per annum. “Financial Covenant Standstill” has the meaning assigned to such term in Section 7.01(d). “Financial Officer” means the chief financial officer, chief operating officer, principal accounting officer, treasurer or controller of Holdings. “Financial Performance Covenant” means the covenant set forth in Section 6.12. “Financial Performance Covenant Test Period” means any Test Period (commencing with the Test Period ending on the last day of the first fiscal quarter occurring after the First Amendment Effective Date) on the last day of which the aggregate Revolving Exposure (excluding the aggregate undrawn amount of any outstanding Letters of Credit in an amount not to exceed $20,000,000 and any Letters of Credit that have been cash collateralized pursuant to the terms of this Agreement) is greater than 35% of the aggregate Revolving Commitments then in effect. “Financial Statements” means, collectively, the Audited Financial Statements and the Unaudited Financial Statements. “Financing Transactions” means the execution, delivery and performance by each Loan Party of the Loan Documents to which it is to be a party, the borrowing of Loans hereunder and the use of the proceeds thereof. “First Amendment” means that certain Amendment No. 1, dated as of the First Amendment Effective Date, to this Agreement. “First Amendment Consenting Lender” means each Lender with Initial Term Loans that provided the Administrative Agent with a counterpart to the First Amendment executed by such Lender prior to the First Amendment Effective Date. “First Amendment Effective Date” means June 21, 2024. “First Lien Incurrence Ratio” has the meaning assigned to such term in the definition of “Incremental Cap.” “First Lien Intercreditor Agreement” means the First Lien Intercreditor Agreement dated as of the First Amendment Effective Date between the Administrative Agent and the Secured Notes Trustee under the Secured Notes Indenture, or such other agreements substantially in the form of Exhibit F-1 among the Administrative Agent and one or more Senior Representatives for holders of Permitted First Priority Refinancing Debt, any pari passu Lien secured Indebtedness incurred pursuant to Section 6.01(a)(viii) or Section 6.01(a)(ix) or any pari passu Lien secured Incremental Equivalent Debt incurred pursuant to Section 6.01(a)(xxii), executed by the Administrative Agent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the Loan Parties, with such modifications thereto the Administrative Agent may reasonably agree. “Fixed Charge Coverage Incurrence Ratio” has the meaning assigned to such term in the definition of “Incremental Cap.” “Fixed Charge Coverage Ratio” means, on any date, the ratio of (a) Consolidated EBITDA for the Test Period most recently ended to (b) Fixed Charges for such Test Period; provided that the Fixed Charge Coverage Ratio shall be determined for the relevant Test Period on a Pro Forma Basis. “Fixed Charges” means, for any period, the sum without duplication, of the following for such period: (a) the Consolidated Interest Expense for such period, plus (b) the sum of all dividends, whether paid or accrued and whether or not in cash, on any series of preferred stock of Holdings, the Borrower or any Restricted Subsidiary (other than dividends payable solely in Equity Interests of Holdings (other than Disqualified Equity Interests)) or to Holdings, the Borrower or any Restricted Subsidiary made during such period. “Floor” means the benchmark rate floor, if any, provided in this Agreement initially (as of the execution of this Agreement, the modification, amendment or renewal of this Agreement or otherwise) with respect to the Adjusted Term SOFR Rate. The initial Floor for the Adjusted Term SOFR Rate shall be 0%. “Flow-Through Entity” has the meaning assigned to such term in Section 6.08(a)(vi). “Foreign Prepayment Event” has the meaning assigned to such term in Section 2.09(f). “Foreign Subsidiary” means any Subsidiary that is organized under the laws of a jurisdiction other than the United States of America, any State thereof or the District of Columbia. “FSHCO” has the meaning assigned to such term in the definition of “Excluded Domestic Subsidiary.” “GAAP” means generally accepted accounting principles in the United States of America, as in effect from time to time but subject to Section 1.04. “Governmental Approvals” means all authorizations, consents, approvals, permits, licenses and exemptions of, registrations and filings with, and reports to, Governmental Authorities or Regulatory Supervising Organizations. “Governmental Authority” means the government of the United States of America or any other nation, or any political subdivision thereof, whether state or local, and any agency, authority, instrumentality, regulatory body, court, central bank or other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entity exercising executive, legislative, judicial, taxing, regulatory or administrative powers or functions of or pertaining to government (including any supra-national bodies such as the European Union or the European Central Bank). “Guarantee” of or by any Person (the “Guarantor” or “guarantor”) means any obligation, contingent or otherwise, of the guarantor guaranteeing or having the economic effect of guaranteeing any Indebtedness of any other Person (the “primary obligor”)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provided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 “Guarantee Agreement” means the Master Guarantee Agreement, dated as of January 13, 2022, among the Loan Parties and the Administrative Agent, substantially in the form of Exhibit B. “Guarantor” or “guarantor” has the meaning assigned to such term in the definition of “Guarantee.” “Hazardous Materials”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 “Holdings” has the meaning set forth in the preamble hereto. “Holdings LLC Agreement” means the Limited Liability Company Agreement of Holdings pursuant to which the members of Holdings hold limited liability interests of Holdings, together with all exhibits and schedules thereto, as in effect as of the Closing Date.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Identified Participating Lenders” has the meaning assigned to such term in Section 2.09(a)(ii)(C)(3). “Identified Qualifying Lenders” has the meaning assigned to such term in Section 2.09(a)(ii)(D)(3). “Immaterial Subsidiary” means any Subsidiary other than a Material Subsidiary. “Increased Amount” of any Indebtedness shall mean any increase in the amount of such Indebtedness in connection with any accrual of interest, the accretion of accreted value, the amortization of original issue discount or deferred financing fees, the payment of interest or dividends in the form of additional Indebtedness or in the form of Equity Interests, as applicable, the accretion of original issue discount, deferred financing fees or liquidation preference and increases in the amount of Indebtedness outstanding solely as a result of fluctuations in the exchange rate of currencies. “Incremental Cap” means, at any time, an aggregate principal amount not to exceed the sum of (a) the excess of (i) the greater of $1,000,000,000 and 100% of Consolidated EBITDA on a Pro Forma Basis for the most recently ended Test Period for which financial statements are available (as of the date of establishment or incurrence of the applicable Incremental Facility or Incremental Equivalent Debt (or, at the option of the Borrower, as of the date of establishment of the commitments in respect thereof, in which case such Incremental Facility or Incremental Equivalent Debt shall be deemed fully funded and incurred)), over (ii) the aggregate amount of Incremental Facilities established and Incremental Equivalent Debt incurred, in each case, after the First Amendment Effective Date and prior to such time utilizing this clause (a), plus (b) an additional amount so long as, in the case of this clause (b), on the date of incurrence thereof (or, at the option of the Borrower, on the date of establishment of the commitments in respect thereof), after giving effect to the incurrence of such Indebtedness and the use of the proceeds thereof (assuming, in the case of testing at time establishment of Commitments, that the committed amounts are fully drawn) (i) if such Incremental Facility or Incremental Equivalent Debt is secured by Liens on the Collateral on a pari passu basis with the Liens on the Collateral securing the Term B-2 Loans, either (A) the Net First Lien Leverage Ratio calculated on a Pro Forma Basis as of the end of the most recent Test Period for which financial statements are available does not exceed 2.50:1.00 (the “First Lien Incurrence Ratio”) or (B) in the case of any Incremental Facility or Incremental Equivalent Debt incurred in connection with a Permitted Acquisition or any other Investment permitted under Section 6.04 or New Project not prohibited hereunder (“Acquisition Debt”), the Net First Lien Leverage Ratio calculated on a Pro Forma Basis as of the end of the most recent Test Period for which financial statements are available either (x) does not exceed the First Lien Incurrence Ratio or (y) is not greater than the Net First Lien Leverage Ratio immediately prior to such incurrence of Indebtedness and Permitted Acquisition, other Investment or New Project, (ii) if such Incremental Facility or Incremental Equivalent Debt is secured by Liens on the Collateral on a junior basis to the Liens on the Collateral securing the Term B-2 Loans, either (A) the Net Secured Leverage Ratio calculated on a Pro Forma Basis as of the end of the most recent Test Period for which financial statements are available does not exceed 3.00:1.00 (the “Secured Leverage Incurrence Ratio”) or (B)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case of any Incremental Facility or Incremental Equivalent Debt that is Acquisition Debt, the Net Secured Leverage Ratio calculated on a Pro Forma Basis as of the end of the most recent Test Period for which financial statements are available either (x) does not exceed the Secured Leverage Incurrence Ratio or (y) is not greater than the Net Secured Leverage Ratio immediately prior to such incurrence of Indebtedness and Permitted Acquisition, other Investment or New Project, and (iii) if such Incremental Facility or Incremental Equivalent Debt is unsecured, either (A) (x) the Fixed Charge Coverage Ratio calculated on a Pro Forma Basis as of the end of the most recent Test Period for which financial statements are available would be at least 2.00 to 1.00 (the “Fixed Charge Coverage Incurrence Ratio”) or (y) the Net Total Leverage Ratio calculated on a Pro Forma Basis as of the end of the most recent Test Period for which financial statements are available does not exceed 3.00:1.00 (the “Total Leverage Incurrence Ratio”) or (B) in the case of any Incremental Facility or Incremental Equivalent Debt that is Acquisition Debt, either (x) the Net Total Leverage Ratio calculated on a Pro Forma Basis as of the end of the most recent Test Period for which financial statements are available either (I) does not exceed the Total Leverage Incurrence Ratio or (II) is not greater than the Net Total Leverage Ratio immediately prior to such incurrence of Indebtedness and Permitted Acquisition, other Investment or New Project or (y) the Fixed Charge Coverage Ratio calculated on a Pro Forma Basis as of the end of the most recent Test Period for which financial statements are available would either (I) be not greater than the Fixed Charge Coverage Incurrence Ratio or (II) be at least equal to the Fixed Charge Coverage Ratio immediately prior to such incurrence of Indebtedness and Permitted Acquisition, other Investment or New Project (this clause (iii), the “Unsecured Leverage Test”), plus (c) an amount equal to the excess of (i) the aggregate amount of any voluntary prepayments or repurchases of the Term B-2 Loans, or Term Loans or Incremental Equivalent Debt in the form of term Indebtedness, in each case, that were incurred pursuant to clause (a) or (c) of this definition prior to such time and permanent reductions in the Revolving Commitment, or Incremental Revolving Commitment or Incremental Equivalent Debt in the form of revolving Indebtedness, in each case, that were incurred pursuant to clause (a) or (c) of this definition prior to such time (in each case, with credit given to the principal amount of the debt prepaid or repurchased or commitments permanently reduced), over (ii) the aggregate amount of Incremental Facilities established and Incremental Equivalent Debt incurred, in each case, after the First Amendment Effective Date and prior to such time utilizing this clause (c), in each case assuming, in the case of the establishment of any Incremental Facilities constituting increases to the Revolving Facility or additional revolving credit facilities or other undrawn commitments, that such facilities were fully drawn on the date of effectiveness thereof, so long as, in the case of any such optional prepayment, such prepayment was not funded with the proceeds of any long-term Indebtedness (other than revolving indebtedness); provided that any such amount incurred under this clause (c) (other than any such amount in respect of prepayments or repurchases of (x) Indebtedness that was previously incurred under clause (a) above or (y) Indebtedness incurred under this clause (c) in respect of prepayments or repurchases of Indebtedness that was previously incurred under clause (a)) may only be utilized to incur indebtedness that is secured by a Lien ranking pari passu with or junior to the indebtedness being prepaid or repurchased; provided, further, that, for the avoidance of doubt, (A) unless the Borrower elects otherwise, amounts may be established or incurred utilizing clause (b) above prior to utilizing clause (a) or (c) above, (B) any calculation of the Net First Lien Leverage Ratio, the Net Secured Leverage Ratio, the Net Total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Leverage Ratio and the Fixed Charge Coverage Ratio on a Pro Forma Basis pursuant to clause (b) above may be determined, at the option of the Borrower, without giving effect to (x) any simultaneous establishment or incurrence of any amounts utilizing clause (a) or (c) above and/or (y) if such Indebtedness is Acquisition Debt, without giving effect to any simultaneous establishment or incurrence of Indebtedness incurred under any basket or exception to Section 6.01 of this Agreement that is not subject to compliance with a financial ratio (but giving full pro forma effect to the use of proceeds of the entire amount of the Incremental Facility that will be incurred in reliance on any of clauses (a), (b) and (c) above and the related transactions) and (C) any Incremental Facility that was previously incurred in reliance on clause (a) or (c) above will, unless the Borrower elects otherwise, automatically be reclassified as having been incurred under the applicable sub-clause in clause (b) above so long as the requirements of such applicable sub-clause in clause (b) above are satisfied on a Pro Forma Basis at such time (and the available amount under the applicable clause (a) or (c) above shall be increased by the amount so reclassified). When calculating any ratio for purposes of determining the “Incremental Cap” or the ability to incur any Indebtedness under Section 2.18, Section 6.01(a)(viii), Section 6.01(a)(ix) or Section 6.01(a)(xxii), Pro Forma Basis shall mean that such calculation shall be made after giving effect to the incurrence of the relevant Indebtedness and the use of proceeds thereof (assuming that the full amount of any revolving commitment being established at such time is fully drawn). “Incremental Equivalent Debt” has the meaning assigned to such term in Section 6.01(a)(xxii). “Incremental Facility” has the meaning assigned to such term in Section 2.18(a)(ii). “Incremental Revolving Commitment” means the commitment of the Additional Revolving Lenders to make loans pursuant to an Incremental Revolving Facility in accordance with Section 2.18. “Incremental Revolving Facilities” has the meaning assigned to such term in Section 2.18(a)(i). “Incremental Revolving Facility Amendment” has the meaning assigned to such term in Section 2.18(b)(ii). “Incremental Revolving Facility Closing Date” has the meaning assigned to such term in Section 2.18(b)(ii). “Incremental Term B-2 Commitment” means, with respect to the Incremental Term B-2 Lender, its commitment to make a Term B-2 Loan on the Third Amendment Effective Date in a principal amount equal to the amount set forth on Schedule I to the Third Amendment.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Incremental Term B-2 Lender” has the meaning specified in the Third Amendment. “Incremental Term Commitment” means the commitment of the Additional Term Lenders to make Incremental Term Loans pursuant to Section 2.18. “Incremental Term Facility” has the meaning assigned to such term in Section 2.18(a)(ii). “Incremental Term Facility Amendment” has the meaning assigned to such term in Section 2.18(b)(iii). “Incremental Term Facility Closing Date” has the meaning assigned to such term in Section 2.18(b)(iii). “Incremental Term Loans” means term loans established pursuant to Section 2.18(b). “Indebtedness”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provided that the term “Indebtedness” shall not include (A) deferred or prepaid revenue, (B) purchase price holdbacks in respect of a portion of the purchase price of an asset to satisfy warranty or other unperformed obligations of the seller, (C) trade and other ordinary-course payables, accrued expenses, and intercompany liabilities arising in the ordinary course of business or consistent with past practice or industry norm, (D) purchase price holdbacks arising in the ordinary course of business or consistent with past practice or industry norm in respect of a portion of the purchase prices of an asset to satisfy unperformed obligations of the seller of such asset, (E) earn-out obligations until such obligations become a liability on the balance sheet of such Person in accordance with GAAP, (F) obligations in respect of Third Party Funds and (G) intercompany liabilities in connection with the cash management, tax and accounting operations of the Borrower and the Subsidiaries.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market value of the property encumbered thereby as determined by such Person in good faith. “Indemnified Taxes” means Taxes, other than Excluded Taxes, imposed on or with respect to any payment made by or on account of any obligation of the Borrower under any Loan Document. “Indemnitee” has the meaning assigned to such term in Section 9.03(c). “Information” has the meaning assigned to such term in Section 9.12(a). “Information Materials” means the presentation to the Lenders dated June 10, 2024. “Initial Revolving Loans” means Revolving Loans made pursuant to Revolving Commitments in effect as of the First Amendment Effective Date. “Initial Term Loans” means all of the Term Loans outstanding under this Agreement immediately prior to the First Amendment Effective Date. “Inside Maturity Basket” means Indebtedness with an aggregate outstanding principal amount not to exceed the greater of $400,000,000 and 40% of Consolidated EBITDA calculated on a Pro Forma Basis for the most recently ended Test Period for which financial statements are available; provided that any Indebtedness incurred in reliance on the Inside Maturity Basket shall not be scheduled to mature prior to the Revolving Maturity Date or have a Weighted Average Life to Maturity shorter than the Weighted Average Life to Maturity applicable to the Revolving Facility. “Insolvent” means, with respect to any Person, that (i) the fair value of assets is less than the amount that will be required to pay the total liability on existing debts as they become absolute and matured, (ii) the present fair saleable value of assets is less than the amount that will be required to pay the probable liability on existing debts as they become absolute and matured, (iii) it is unable to pay its debts or other obligations as they generally become due, (iv) it ceases to pay its current obligations in the ordinary course of business as they generally become absolute and matured, or (v) its aggregate property is not, at a fair valuation, sufficient, or if disposed of at a fairly conducted sale under legal process, would not be, sufficient to enable payment of all obligations, due and accruing due. The term “debts” as used in this definition includes any legal liability, whether matured or unmatured, liquidated or unliquidated, absolute, fixed or contingent and “values of assets” shall mean the amount of which the assets (both tangible and intangible) in their entirety would change hands between a willing buyer and a willing seller, with a commercially reasonable period of time, each having reasonable knowledge of the relevant facts, with neither being under compulsion to act. “Intellectual Property” has the meaning assigned to such term in the Collateral Agreement. “Interest Election Request” means a request by the Borrower to convert or continue a Borrowing in accordance with Section 2.05.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Interest Payment Date” means (a) with respect to any ABR Loan (other than a Swingline Loan), the last day of each March, June, September and December and the Revolving Maturity Date or the Term Maturity Date, as applicable,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Maturity Date or the Term Maturity Date, as applicable, and (c) with respect to any Swingline Loan, the day that such Loan is required to be repaid and the Revolving Maturity Date. “Interest Period”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or as otherwise provided in Section 2.01(d);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2.12(e)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 “Intermediate Parent” means any Subsidiary of Holdings and of which the Borrower is a Subsidiary. “Investment”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minus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plus (i) the cost of all additions thereto and minus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provided that pending the final determination of the amounts to be so allocated in accordance with GAAP, such allocation shall be as reasonably determined by a Financial Officer. “ISDA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“Issuing Bank” means each of (a) JPMorgan Chase Bank, N.A., Goldman Sachs Bank USA, Royal Bank of Canada, Barclays Bank PLC and Jefferies Finance LLC and (b) each other Revolving Lender that shall have become an Issuing Bank hereunder as provided in Section 2.22(i) (other than any Person that shall have ceased to be an Issuing Bank as provided in Section 2.22(j)) (in each case, through itself or through one of its designated affiliates or branch offices), in each case in its capacity as an issuer of Letters of Credit hereunder. Each reference herein to the “Issuing Bank” shall be deemed to be a reference to the relevant Issuing Bank. Each Issuing Bank may, in its discretion, arrange for one or more Letters of Credit to be issued by Affiliates of such Issuing Bank, in which case the term “Issuing Bank” shall include any such Affiliate with respect to Letters of Credit issued by such Affiliate. Jefferies Finance LLC will cause Letters of Credit to be issued by unaffiliated financial institutions and such Letters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Credit shall be treated as issued by Jefferies Finance LLC for all purposes under the Loan Documents. “Joint Venture” means any Person, other than an individual or a Wholly Owned Subsidiary of the Borrower, in which the Borrower or a Restricted Subsidiary holds or acquires an ownership interest (whether by way of capital stock, partnership or limited liability company interest, or other evidence of ownership). “Junior Financing” means any Subordinated Indebtedness and any Permitted Refinancing in respect of any of the foregoing owing by Holdings or a Restricted Subsidiary (other than intercompany Indebtedness owing to Holdings or a Restricted Subsidiary). “Junior Financing Prepayments” has the meaning assigned to such term in Section 6.08(b)(iv). “Junior Lien Intercreditor Agreement” means the Junior Lien Intercreditor Agreement substantially in the form of Exhibit F-2 among the Administrative Agent and one or more Senior Representatives for holders of Permitted Junior Lien Refinancing Debt, any junior Lien secured Indebtedness incurred pursuant to Section 6.01(a)(viii) or Section 6.01(a)(ix) or any junior Lien secured Incremental Equivalent Debt incurred pursuant to Section 6.01(a)(xxii), executed by the Administrative Agent and the Loan Parties, with such modifications thereto as the Administrative Agent may reasonably agree. “Latest Maturity Date”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 “LC Cash Collateral Account” has the meaning assigned to such term in Section 2.22(a)(iii). “LC Commitment” means, with respect to each Issuing Bank, the commitment of such Issuing Bank to issue Letters of Credit hereunder. The initial amount of each Issuing Bank’s LC Commitment is set forth on Schedule I to the First Amendment, or if an Issuing Bank has entered into an Assignment and Assumption or has otherwise assumed a LC Commitment after the First Amendment Effective Date, the amount set forth for such Issuing Bank as its LC Commitment in the Register maintained by the Administrative Agent. The LC Commitment of an Issuing Bank may be modified from time to time by agreement between such Issuing Bank and the Borrower, and notified to the Administrative Agent. The aggregate amount of LC Commitments as of the First Amendment Effective Date is $20,000,000 (the “Letter of Credit Sublimit”). “LC Disbursement” means a payment made by an Issuing Bank pursuant to a Letter of Credit.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7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“LC Exposure”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other applicable rules or applicable law or in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Banks and the Lenders shall have no further obligations to make any payments or disbursements under any circumstances with respect to any Letter of Credit. “LC Participants” means the collective reference to all the Revolving Lenders other than the applicable Issuing Bank. “Lead Arranger” means each of (i) JPMorgan Chase Bank, N.A., Goldman Sachs Bank USA, RBC Capital Markets,2 BofA Securities, Inc., Barclays Bank PLC, Jefferies Finance LLC and CIBC World Markets Corp., in each case, in their capacity as joint lead arrangers and bookrunners under the First Amendment and, (ii) JPMorgan Chase Bank, N.A., BofA Securities, Inc., RBC Capital Markets,3 Goldman Sachs Bank USA, Barclays Bank PLC, Jefferies Finance LLC and Standard Chartered Bank, in each case, in their capacity as joint lead arrangers and bookrunners under the Second Amendment. and (iii) JPMorgan Chase Bank, N.A., Goldman Sachs Bank USA, RBC Capital Markets4, BofA Securities, Inc., Barclays Bank PLC, Jefferies Finance LLC and Standard Chartered Bank, in each case, in their capacity as joint lead arrangers and bookrunners under the Third Amendment. “Lender Parent” means, with respect to any Lender, any Person as to which such Lender is, directly or indirectly, a Subsidiary. “Lender-Related Person” has the meaning assigned to such term in Section 9.03(b). 2 RBC Capital Markets is a brand name for the capital markets business of Royal Bank of Canada and its affiliates. 3 RBC Capital Markets is a brand name for the capital markets business of Royal Bank of Canada and its affiliates. 4 RBC Capital Markets is a brand name for the capital markets business of Royal Bank of Canada and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Lenders” means the Persons listed on Schedule I to the First Amendment and any other Person that shall have become a party hereto (as a lender) pursuant to an Assignment and Assumption, an Incremental Revolving Facility Amendment, an Incremental Term Facility Amendment or a Refinancing Amendment, in each case, other than any such Person that ceases to be a party hereto pursuant to an Assignment and Assumption. Unless the context requires otherwise, the term “Lenders” includes the Swingline Lender. “Letter of Credit Sublimit” has the meaning assigned to such term in the definition of the term “LC Commitment.” “Letters of Credit” has the meaning assigned to such term in Section 2.22(a). “Liabilities” means any losses, claims (including intraparty claims), demands, damages or liabilities of any kind. “Lien”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“Limited Condition Acquisition” means any acquisition, including by way of merger, amalgamation or consolidation, which the Borrower or one or more of the Restricted Subsidiaries permitted pursuant to the Loan Documents has contractually committed to consummate, the terms of which do not condition the Borrower’s or such Restricted Subsidiary’s, as applicable, obligation to close such acquisition on the availability of, or on obtaining, third party financing. “Limited Condition Transaction” means (i) a Limited Condition Acquisition, (ii) any redemption, repurchase, defeasance, satisfaction and discharge or repayment of indebtedness for which irrevocable notice may be given in advance of such redemption, repurchase, defeasance, satisfaction and discharge or repayment and/or (iii) any Restricted Payment as to which a declaration has been made. “Loan Document Obligations” has the meaning assigned to such term in the Collateral Agreement. “Loan Documents” means this Agreement, the First Amendment, the Second Amendment, the Third Amendment, any Refinancing Amendment, the Guarantee Agreement, the Collateral Agreement, the other Security Documents, the First Lien Intercreditor Agreement, any Junior Lien Intercreditor Agreement, any Notes delivered pursuant to Section 2.07(e) (except for purposes of Section 9.02), the Engagement Letter and any other agreement, document or instrument to which any Loan Party is a party and which is designated as a Loan Document. “Loan Parties” means Holdings, any Intermediate Parent, the Borrower and the Subsidiary Loan Parties.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Loans” means the loans made by the Lenders to the Borrower pursuant to this Agreement. Unless the context otherwise requires, the term “Loans” includes Swingline Loans. “Majority in Interest” means, when used in reference to Lenders of any Class, at any time, (a) in the case of the Revolving Lenders, Lenders having Revolving Exposures and unused Revolving Commitments representing more than 50% of the sum of the aggregate Revolving Exposures and the aggregate unused Revolving Commitments at such time and (b) in the case of the Term Lenders of any Class, Lenders holding outstanding Term Loans of such Class representing more than 50% of all Term Loans of such Class outstanding at such time, provided that (a) the Loans, Revolving Exposures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the Majority in Interest. “Material Adverse Effect” means any event, circumstance or condition that has had, or would reasonably be expected to have, a materially adverse effect on (a) the business, financial condition or results of operations of Holdings and its Restricted Subsidiaries, taken as a whole, (b) the ability of the Borrower and the other Loan Parties, taken as a whole, to perform their payment obligations under the Loan Documents or (c) the rights and remedies of the Administrative Agent and the Lenders under the Loan Documents. “Material Indebtedness” means Indebtedness (other than the Loan Document Obligations), or obligations in respect of one or more Swap Agreements, of any one or more of Holdings and the Restricted Subsidiaries in an aggregate principal amount exceeding $50,000,000.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 “Material Intellectual Property” means any Intellectual Property that, individually or in the aggregate, is material to, and required for, operation of the business of Holdings and its Restricted Subsidiaries, taken as a whole, as determined by the Borrower in good faith. “Material Subsidiary” means (i) each Wholly Owned Restricted Subsidiary that, as of the last day of the fiscal quarter of Holdings most recently ended, had revenues or total assets for such quarter in excess of 5% of the consolidated revenues or total assets, as applicable, of Holdings for such quarter and (ii) any group comprising Wholly Owned Restricted Subsidiaries that each would not have been a Material Subsidiary under clause (i) but that, taken together, as of the last day of the fiscal quarter of Holdings most recently ended, had revenues or total assets for such quarter in excess of 10% of the consolidated revenues or total assets, as applicable, of Holdings for such quarter; provided that solely for purposes of Sections 7.01(h) and (i) each such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7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forming part of such group is subject to an Event of Default under one or more of such Sections. “Maximum Rate” has the meaning assigned to such term in Section 9.16. “MFN Protections” shall have the meaning assigned to such term in Section 2.18(a)(ii). “Moody’s” means Moody’s Investors Service, Inc. and any successor to its rating agency business. “Mortgage” means a mortgage, deed of trust, assignment of leases and rents, or other security document granting a Lien on any Mortgaged Property to secure the Secured Obligations. Each Mortgage shall be in form and substance reasonably satisfactory to the Administrative Agent and the Borrower, it being agreed that, if such Mortgaged Property is located in a jurisdiction that imposes a mortgage recording or similar tax and limiting the amount secured by such security document will permit the Loan Parties to pay a lower tax than would otherwise be payable, the amount secured by such security document shall be reasonably acceptable to the Administrative Agent but in no event exceeding One Hundred Percent (100%) of the value of the applicable Mortgaged Property as reasonably determined in good faith by the Loan Parties. “Mortgaged Property” means each parcel of real property and the improvements thereto owned in fee by a Loan Party with respect to which a Mortgage is granted pursuant to Section 5.11 or Section 5.12. “Multiemployer Plan” means a multiemployer plan as defined in Section 4001(a)(3) of ERISA. “Net First Lien Leverage Ratio” means, on any date, the ratio of (a) Consolidated First Lien Net Debt as of such date to (b) Consolidated EBITDA for the Test Period most recently ended; provided that the Net First Lien Leverage Ratio shall be determined for the relevant Test Period on a Pro Forma Basis. “Net Proceeds”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minus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any secured Indebtedness incurred pursuant to Section 6.01(a)(viii) or Section 6.01(a)(ix) or any secured Incremental Equivalent Debt issued pursuant to Section 6.01(a)(xxii))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 (z) the amount of any liabilities directly associated with such asset and retained by the Borrower or any Restricted Subsidiary and (iii) the amount of all taxes paid (or reasonably estimated to be payable) including by the Borrower or Holdings, and the amount of any Permitted Tax Distributions related thereto, and the amount of any reserves established by Holdings, any Intermediate Parent, the Borrower and its Restricted Subsidiaries to fund contingent liabilities reasonably estimated to be payable, that are directly attributable to such event, provided that (x) if the amount of any such estimated taxes exceeds the amount of taxes actually required to be paid in cash in respect of such event, 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 “Net Secured Leverage Ratio” means, on any date, the ratio of (a) Consolidated Total Net Debt that is then secured, in whole or part, by Liens on the Collateral as of such date to (b) Consolidated EBITDA for the Test Period most recently ended; provided, that the Net Secured Leverage Ratio shall be determined for the relevant Test Period on a Pro Forma Basis; provided that the Net Secured Leverage Ratio shall be determined for the relevant Test Period on a Pro Forma Basis. “Net Short Lender” has the meaning assigned to such term in Section 9.02(e). “Net Total Leverage Ratio” means, on any date, the ratio of (a) Consolidated Total Net Debt as of such date to (b) Consolidated EBITDA for the Test Period most recently ended; provided, that the Net Secured Leverage Ratio shall be determined for the relevant Test Period on a Pro Forma Basis; provided that the Net Total Leverage Ratio shall be determined for the relevant Test Period on a Pro Forma Basis. “New Project” means (a) each facility, branch or office which is either a new facility, branch or office or an expansion, relocation, remodeling or substantial modernization of an existing facility, branch or office owned by the Borrower or its Restricted Subsidiaries which in fact commences operations and (y) each creation (in one or a series of related transactions) of a business unit to the extent such business unit commences operations or each expansion (in one or a series of related transactions) of business into a new market.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9"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Non-Cash Charges” means (a) any non-cash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acquisition method accounting, and (e) other non-cash charges (provided,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“Non-Cash Compensation Expense” means any non-cash expenses and costs that result from the issuance of stock-based awards, partnership interest-based awards and similar incentive based compensation awards or arrangements. “Non-Consenting Lender” has the meaning assigned to such term in Section 9.02(c). “Non-Loan Party Investment Amount” means, at any time, the greater of $300,000,000 and 40% of Consolidated EBITDA calculated on a Pro Forma Basis for the most recently ended Test Period for which financial statements are available. “Non-Wholly Owned Subsidiary” of any Person means any Subsidiary of such Person other than a Wholly Owned Subsidiary. “Note” means a promissory note of the Borrower, in substantially the form of Exhibit E, payable to a Lender in a principal amount equal to the principal amount of the Revolving Commitment or Term Loans, as applicable, of such Lender. “NYFRB” means the Federal Reserve Bank of New York. “NYFRB Rate” means, for any day, the greater of (a) the Federal Funds Effective Rate in effect on such day and (b) the Overnight Bank Funding Rate in effect on such date (or for any day that is not a Business Day, for the immediately preceding Business Day); provided that if none of such rates for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Agreement. “NYFRB’s Website” means the website of the NYFRB at http://www.newyorkfed.org, or any successor source. “OFAC” has the meaning assigned to such term in Section 3.19(c). “Offered Amount” has the meaning assigned to such term in Section 2.09(a)(ii)(D)(1).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0"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Offered Discount” has the meaning assigned to such term in Section 2.09(a)(ii)(D)(1). “OID” has the meaning assigned to such term in Section 2.18(a)(ii). “Organizational Documents” means, with respect to any Person, the charter, articles or certificate of organization or incorporation and bylaws or other organizational or governing documents of such Person. “Other First Lien Debt” shall mean obligations secured by Other First Liens. “Other First Liens” shall mean Liens on the Collateral that rank pari passu with the Liens thereon securing the Term B-2 Loans (and other Loan Document Obligations that are secured by Liens on the Collateral that rank pari passu with the Liens thereon securing the Term B-2 Loans) pursuant to the First Lien Intercreditor Agreement. “Other Revolving Commitments” means one or more Classes of revolving credit commitments hereunder or extended Revolving Commitments that result from a Refinancing Amendment. “Other Revolving Loans” means the Revolving Loans made pursuant to any Other Revolving Commitment. “Other Taxes” means any and all present or future recording, stamp, documentary, excise, transfer, sales, property, filing or similar Taxes, charges or levies arising from any payment made under any Loan Document or from the execution, delivery, performance, registration or enforcement of, from the receipt or perfection of a security interest under, or otherwise with respect to, any Loan Document. “Other Term Commitments” means one or more Classes of term loan commitments hereunder that result from a Refinancing Amendment. “Other Term Loans” means one or more Classes of Term Loans that result from a Refinancing Amendment.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“Overnight Bank Funding Rate”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1"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Participant” has the meaning assigned to such term in Section 9.04(c)(i). “Participant Register” has the meaning assigned to such term in Section 9.04(c)(ii). “Participating Lender” has the meaning assigned to such term in Section 2.09(a)(ii)(C)(2). “Payment” has the meaning assigned to such term in Section 8.01. “Payment Notice” has the meaning assigned to such term in Section 8.01. “PBGC” means the Pension Benefit Guaranty Corporation referred to and defined in ERISA and any successor entity performing similar functions. “Perfection Certificate” means a certificate substantially in the form of Exhibit C. “Permitted Acquisition” means the purchase or other acquisition, by merger or otherwise, by Holdings or any Restricted Subsidiary of Equity Interests in, or all or substantially all the assets of (or all or substantially all the assets constituting a business unit, division, product line or line of business of), any Person; provided that (a) in the case of any purchase or other acquisition of Equity Interests in a Person, such Person, upon the consummation of such acquisition, will be a Restricted Subsidiary (including as a result of a merger or consolidation between any Restricted Subsidiary and such Person), (b) all transactions related thereto are consummated in accordance with all Requirements of Law, (c) the business of such Person, or such assets, as the case may be, constitute a business permitted by Section 6.03(b), (d) 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 Administrative Agent shall have been made), (e) after giving effect to any such purchase or other acquisition and any incurrence or assumption of Indebtedness in connection therewith, (A) no Event of Default shall have occurred and be continuing (subject to Section 1.08 in connection with any Limited Condition Acquisition) and (B) the Borrower shall be in compliance with the Financial Performance Covenant (to the extent then in effect) on a Pro Forma Basis as of the end of the most recent Test Period and (f) Holdings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 “Permitted Encumbrances” means: (a) Liens for taxes, assessments or governmental charges that are not overdue for a period of more than 30 days or that are being contested in good faith and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82"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appropriate proceedings diligently conducted, if adequate reserves with respect thereto are maintained on the books of the applicable Person in accordance with GAAP; (b) 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 (c) 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or any Restricted Subsidiary; (d) 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 (e) easements, rights-of-way, restrictions, encroachments, protrusions and other similar encumbrances and other title defects affecting real property that, in the aggregate, do not in any case materially interfere with the ordinary conduct of the business of Holdings and its Restricted Subsidiaries, taken as a whole, and zoning codes and other land use restrictions under applicable law; (f) Liens securing, or otherwise arising from, judgments not constituting an Event of Default under Section 7.01(j); (g) Liens on goods the purchase price of which is financed by a commercial letter of credit issued for the account of Holdings or any of its Restricted Subsidiaries; provided that such Lien secures only the obligations of Holdings or such Restricted Subsidiaries in respect of such letter of credit to the extent such obligations are permitted by Section 6.01; and (h) Liens arising from precautionary Uniform Commercial Code financing statements or similar filings made in respect of operating leases entered into by Holdings or any of its Restricted Subsidiaries; provided that the term “Permitted Encumbrances” shall not include any Lien securing Indebtedness other than Liens referred to in clause (c) above securing obligations under letters of credit or bank guarantees and in clause (g) above.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3"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First Priority Refinancing Debt” means any secured Indebtedness incurred by the Borrower in the form of one or more series of senior secured notes; provided that (i) such Indebtedness is secured by the Collateral on a pari passu basis (but without regard to the control of remedies) with the Loan Document Obligations and is not secured by any property or assets of Holdings, any Intermediate Parent, the Borrower or any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are substantially the same as the Security Documents (with such material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First Lien Intercreditor Agreement; provided that if such Indebtedness is the initial Permitted First Priority Refinancing Debt incurred by the Borrower, then the Loan Parties, the Administrative Agent and the Senior Representative for such Indebtedness shall have executed and delivered the First Lien Intercreditor Agreement. Permitted First Priority Refinancing Debt will include any Registered Equivalent Notes issued in exchange therefor. “Permitted Holders” means (i) the VV Holders, (ii) North Island Holdings I, LP and any Affiliate thereof, (iii) Aranda Investments Pte. Ltd. and any Affiliate thereof, (iv) any group (within the meaning of Section 13(d)(3) or Section 14(d)(2) of the Exchange Act or any successor provision) the members of which include any of the foregoing, so long as no Person or other ‘‘group’’ (other than Permitted Holders specified in clauses (i) through (iii) above) beneficially owns more than 50% on a fully diluted basis of the voting power held by such Permitted Holder group and (v) VFI and its Subsidiaries, so long as no ‘‘person’’ or ‘‘group’’ (as each such term is used in Section 13(d) of the Exchange Act)) other than one or more Permitted Holders specified in clauses (i) through (iv) above is or becomes the Beneficial Owner, directly or indirectly, of more than 50% of the Voting Stock of VFI or any such Subsidiary, measured by voting power rather than number of shares, units or the like. “Permitted Investments” means any of the following, to the extent owned by Holdings or any Restricted Subsidiary: (a) dollars, euro or such other currencies held by it from time to time in the ordinary course of business; (b) 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provided that the full faith and credit of the United States or a member nation of the European Union is pledged in support thereof;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84"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time deposits with, or insured certificates of deposit or bankers’ acceptances of, any commercial bank that (i) is a Lender or (ii) has combined capital and surplus of at least $250,000,000 (any such bank in the foregoing clause (i) or (ii) being an “Approved Bank”), in each case with average maturities of not more than 12 months from the date of acquisition thereof; (d) 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 (e) 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 the United States or (ii) any member nation of the European Union (other than Greece), in which such Person shall have a perfected first priority security interest (subject to no other Liens) and having, on the date of purchase thereof, a fair market value of at least 100% of the amount of the repurchase obligations; (f) marketable short-term money market and similar highly liquid funds either (i) having assets in excess of $250,000,000 or (ii) having a rating of at least A-2 or P-2 from either S&amp;P or Moody’s (or, if at any time neither S&amp;P nor Moody’s shall be rating such obligations, an equivalent rating from another nationally recognized rating service); (g) 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 (h) investments with average maturities of 12 months or less from the date of acquisition in mutual funds rated AAA- (or the equivalent thereof) or better by S&amp;P or Aaa3 (or the equivalent thereof) or better by Moody’s; (i) 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 (j) investments, classified in accordance with GAAP as current assets of Holdings or any Restricted Subsidiary, in money market investment programs that are registered under the Investment Company Act of 1940 or that are administered by financial institutions having capital of at least $250,000,000, and, in either case, the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5"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portfolios of which are limited such that substantially all of such investments are of the character, quality and maturity described in clauses (a) through (i) of this definition. “Permitted Junior Lien Refinancing Debt” means secured Indebtedness incurred by the Borrower in the form of one or more series of junior lien secured notes or junior lien secured loans; provided that (i) such Indebtedness is secured by the Collateral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securing such Indebtedness consistent with the terms of the Junior Lien Intercreditor Agreement and are otherwise substantially the same as the Security Documents (with such differences as are reasonably satisfactory to the Administrative Agent), (v) such Indebtedness is not at any time guaranteed by any Subsidiaries other than the Subsidiary Loan Parties and is not secured by assets other than Collateral and (vi) a Senior Representative acting on behalf of the holders of such Indebtedness shall have become party to the Junior Lien Intercreditor Agreement; provided that if such Indebtedness is the initial Permitted Junior Lien Refinancing Debt incurred by the Borrower, then the Loan Parties, the Administrative Agent and the Senior Representatives for such Indebtedness shall have executed and delivered the Junior Lien Intercreditor Agreement. Permitted Junior Lien Refinancing Debt will include any Registered Equivalent Notes issued in exchange therefor. “Permitted Refinancing” means, with respect to any Person, any Indebtedness issued in exchange for, or the net proceeds of which are used to extend, refinance, renew, replace, defease or refund (collectively, to “Refinance”), the Indebtedness (and/or unutilized commitments in respect of Indebtedness (only to the extent the committed amount had been deemed as fully drawn at the time of the establishment thereof for purposes of the Loan Documents)) being Refinanced (or previous refinancings thereof constituting Permitted Refinancing) of such Person; provided that (a) the principal amount (or accreted value, if applicable) thereof or, if greater, committed amount (only to the extent the committed amount (i) could have been incurred on the date of the initial incurrence and was deemed incurred at such time for purposes of this definition or (ii) could have been incurred other than as Permitted Refinancing on the date of such Refinancing) of such Permitted Refinancing does not exceed the principal amount (or accreted value, if applicable) of the Indebtedness (and/or unutilized commitments in respect of Indebtedness (only to the extent the committed amount had been deemed as fully drawn at the time of the establishment thereof for purposes of the Loan Documents)) so Refinanced (plus unpaid accrued interest and premium (including tender premiums) thereon and underwriting discounts, defeasance costs, fees, commissions and expenses (including original issue discount and mortgage and similar taxes)), (b) other than with respect to a Permitted Refinancing in respect of Indebtedness permitted pursuant to Section 6.01(a)(v), assumed Indebtedness permitted pursuant to Section 6.01(a)(ix), Indebtedness in the form of Customary Bridge Loans (provided that any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86"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notes, securities or other debt which are exchanged for or otherwise replace such Customary Bridge Loans, if any, shall be subject to this clause (b)) and/or Indebtedness with an outstanding principal amount not in excess of the then remaining capacity under the Inside Maturity Basket, Indebtedness resulting from such Refinancing has a final maturity date equal to or later than the final maturity date of, and has a Weighted Average Life to Maturity equal to or greater than the Weighted Average Life to Maturity of, the Indebtedness being modified, refinanced, refunded, renewed or extended, (c) other than with respect to a Permitted Refinancing in respect of Indebtedness permitted pursuant to Sections 6.01(a)(ii), 6.01(a)(v) and 6.01(a)(vii),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Refinancing is subordinated in right of payment or lien priority, as applicable, to the Loan Document Obligations on terms in the aggregate at least as favorable to the Lenders as those contained in the documentation governing the Indebtedness being Refinanced and (e) if the Indebtedness being Refinanced is Indebtedness permitted pursuant to Sections 6.01(a)(ii), 6.01(a)(vii), 6.01(a)(xx) or 6.01(a)(xxi) or is otherwise a Junior Financing, (i) the terms and conditions (including, if applicable, as to collateral but excluding as to subordination, interest rate (including whether such interest is payable in cash or in kind) and redemption premium) of Indebtedness resulting from such Refinancing are not, taken as a whole, materially less favorable to the Loan Parties or the Lenders than the terms and conditions of the Indebtedness being Refinanced as determined by the Borrower in good faith, (ii) the primary obligor in respect of, and the Persons (if any) that Guarantee, Indebtedness resulting from such Refinancing are the primary obligor in respect of, and Persons (if any) that Guaranteed, respectively, the Indebtedness being Refinanced and (iii) if secured, such Indebtedness resulting from such Refinancing shall not be secured by assets that did not secure the Indebtedness being Refinanced (other than assets that would have secured such Indebtedness pursuant to after acquired property clauses). For the avoidance of doubt, it is understood that a Permitted Refinancing may constitute a portion of an issuance of Indebtedness in excess of the amount of such Permitted Refinancing; provided that such excess amount is otherwise permitted to be incurred under Section 6.01. “Permitted Securitization Financing” shall mean one or more transactions pursuant to which (i) Securitization Assets or interests therein are sold or transferred to or financed by one or more Special Purpose Securitization Subsidiaries, and (ii) such Special Purpose Securitization Subsidiaries finance (or refinance) their acquisition of such Securitization Assets or interests therein, or the financing thereof, by selling or borrowing against Securitization Assets and any Swap Agreements entered into in connection with such Securitization Assets; provided, that recourse to Holdings or any Subsidiary (other than the Special Purpose Securitization Subsidiaries) in connection with such transactions shall be limited to the extent customary (as determined by the Borrower in good faith) for similar transactions in the applicable jurisdictions (including, to the extent applicable, in a manner consistent with the delivery of a “true sale”/“absolute transfer” opinion with respect to any transfer by the Borrower or any Subsidiary (other than a Special Purpose Securitization Subsidiary)).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7"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Tax Distributions”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 (II) 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 (II) the Assumed Tax Rate over (B) the aggregate amount of any Permitted Tax Distributions under clause (i) made with respect to the Tax Estimation Periods in such Taxable Year; provided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 (x) all such members are corporations (other than with respect to the Assumed Tax Rate) and Section 6655(e)(2)(C)(ii) is in effect, (y) such members’ only income is from Holdings (determined without regard to any adjustments under Code Sections 743(b) or 704(c)) and (z) the Assumed Tax Rate applies), Holdings shall be permitted to pay an additional amount with respect to such estimated payment date equal to the excess of such aggregate required annualized installment over the amount permitted under clause (i). “Permitted Unsecured Refinancing Debt” means unsecured Indebtedness incurred by any Loan Party in the form of one or more series of senior unsecured notes or loans; provided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or any Restricted Subsidiary. Permitted Unsecured Refinancing Debt will include any Registered Equivalent Notes issued in exchange therefor. “Person” means any natural person, corporation, limited liability company, trust, joint venture, association, company, partnership, Governmental Authority or other entity. “Plan”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 “Platform” has the meaning assigned to such term in Section 5.01. “Post-Transaction Period” has the meaning assigned to such term in the definition of “Pro Forma Adjustment.”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88"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Prepayment Event” means: (a) any sale, transfer or other disposition (including (x) pursuant to a sale and leaseback transaction, (y) by way of merger or consolidation and (z) any casualty or other insured damage to, or any taking under power of eminent domain or by condemnation or similar proceeding) of any property or asset of Holdings or any of its Restricted Subsidiaries permitted by Section 6.05(f), (j), (k), (m) or (n) other than dispositions resulting in aggregate Net Proceeds not exceeding the greater of $20,000,000 or 2% of Consolidated EBITDA in the case of any single transaction or series of related transactions; or (b) 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 Refinancing Indebtedness”) or permitted by the Required Lenders pursuant to Section 9.02. “primary obligor” has the meaning assigned to such term in the definition of “Guarantor.” “Prime Rate”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“Pro Forma Adjustment” means, for any Test Period, the amount of “run rate” net cost savings, synergies and operating expense reductions projected by Holdings in good faith to result from (x) the Transactions or other acquisitions or dispositions, in each case no later than 24 months after the Closing Date or the date of such other acquisition or disposition (the “Post-Transaction Period”) or (y) actions in respect of restructurings of, or business optimization projects and other operational changes and initiatives with respect to, the business of Holdings or any of its Restricted Subsidiaries that have been or are expected to be taken within 24 months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(and reflected in Consolidated Net Income for such period); provided that the aggregate amount of such cost savings, operating expense reductions and synergies pursuant to clause (y) above for any period shall not exceed an amount equal to 20.0% of Consolidated EBITDA for such period (calculated prior to giving effect to such Pro Forma Adjustment); provided, further, that such cost savings,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9"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 reductions and synergies are reasonably identifiable and factually supportable and described in reasonable detail by a Financial Officer in an officer’s certificate delivered to the Administrative Agent (it being understood and agreed that “run rate” means the full recurring benefit for a period that is associated with any action taken, committed to be taken or with respect to which substantial steps have been taken or are expected to be taken). “Pro Forma Basis,” “Pro Forma Compliance” and “Pro Forma Effect” means, with respect to compliance with any test or covenant hereunder required by the terms of this Agreement to be made on a Pro Forma Basis, that (a) to the extent applicable, the Pro Forma Adjustment shall have been made and (b) all Specified Transactions and the following transactions in connection therewith that occur subsequent to the commencement of a period for which the financial effect of such events is being calculated shall be deemed to have occurred as of the first day of the applicable period of measurement in such test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or any of its Restricted Subsidiaries, shall be excluded and (B) in the case of a Permitted Acquisition or Investment described in the definition of “Specified Transaction,” shall be included, (ii) any retirement of Indebtedness, and (iii) 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provided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or any of its Restricted Subsidiaries and (z) factually supportable or (ii) otherwise consistent with the definition of “Pro Forma Adjustment”. “Pro Forma Disposal Adjustment” means, for any Test Period that includes all or a portion of a fiscal quarter included in any Post-Transaction Period with respect to any Sold Entity or Business or Converted Unrestricted Subsidiary, the pro forma increase or decrease in Consolidated EBITDA projected by Holdings in good faith as a result of contractual arrangements between Holdings or any Restricted Subsidiary, entered into with such Sold Entity or Business or Converted Unrestricted Subsidiary at the time 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 “Pro Forma Entity” has the meaning assigned to such term in the definition of “Acquired EBITDA.”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0"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Proceeding” means any claim, litigation, investigation, action, suit, arbitration or administrative, judicial or regulatory action or proceeding in any jurisdiction. “Proposed Change” has the meaning assigned to such term in Section 9.02(c). “PTE” means a prohibited transaction class exemption issued by the U.S. Department of Labor, as any such exemption may be amended from time to time. “Public Lender” has the meaning assigned to such term in Section 5.01. “QFC” has the meaning assigned to such term in Section 9.21(b). “QFC Credit Support” has the meaning assigned to such term in Section 9.21. “Qualified Equity Interests” means Equity Interests of a Person other than Disqualified Equity Interests of such Person. “Qualifying Lender” has the meaning assigned to such term in Section 2.09(a)(ii)(D)(3). “Receivables Assets” shall mean accounts receivable (including any bills of exchange) and related assets and property from time to time originated, acquired or otherwise owned by the Borrower or any Subsidiary. “Reference Time” with respect to any setting of the then-current Benchmark means (1) if such Benchmark is the Term SOFR Rate, 5:00 a.m., Chicago time, on the day that is two Business Days preceding the date of such setting or (2) if such Benchmark is not the Term SOFR Rate, the time determined by the Administrative Agent in its reasonable discretion. “Refinance” shall have the meaning assigned to such term in the definition of the term “Permitted Refinancing,” and “Refinanced” and “Refinancings” shall have a meaning correlative thereto. “Refinanced Debt” has the meaning assigned to such term in the definition of “Credit Agreement Refinancing Indebtedness.” “Refinancing Amendment” means an amendment to this Agreement in form and substance reasonably satisfactory to the Administrative Agent and the Borrower executed by each of (a) the Borrower and Holdings (and to the extent reasonably requested by the Administrative Agent, each other Loan Party), (b) the Administrative Agent and (c) each Additional Lender and Lender that agrees to provide any portion of the Credit Agreement Refinancing Indebtedness being incurred pursuant thereto, in accordance with Section 2.19. “Register” has the meaning assigned to such term in Section 9.04(b)(iv). “Registered Equivalent Notes” means, with respect to any notes originally issued in a Rule 144A or other private placement transaction under the Securities Act of 1933, substantially identical notes (having the same Guarantees) issued in a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1"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dollar-for-dollar exchange therefor pursuant to an exchange offer registered with the SEC. “Regulated Bank”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of the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“Regulated Subsidiary” means any Broker-Dealer Subsidiary, any subsidiary of a Broker-Dealer Subsidiary or other Subsidiary subject to regulation of capital adequacy. “Regulatory Supervising Organization” means any of (a) the SEC, (b) the Financial Industry Regulatory Authority, (c) the Chicago Stock Exchange, (d) 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 “Reimbursement Obligation” means the obligation of the Borrower to reimburse the Issuing Banks pursuant to Section 2.22(d) for amounts drawn under Letters of Credit. “Related Parties” means, with respect to any specified Person, such Person’s Affiliates and the partners, directors, officers, employees, trustees, agents, controlling persons, advisors and other representatives of such Person and of each of such Person’s Affiliates and permitted successors and assigns. “Release”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 “Released Subsidiary” has the meaning assigned to such term in Section 9.14(b). “Relevant Governmental Body” means the Federal Reserve Board and/or the NYFRB, the CME Term SOFR Administrator, as applicable, or a committee officially endorsed or convened by the Federal Reserve Board and/or the NYFRB or, in each case, any successor thereto. “Repo Agreement” means any of the following: repurchase agreements, reverse repurchase agreements, sell buy backs and buy sell backs agreements, securities lending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2"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borrowing agreements and any other agreement or transaction similar to those referred to above in this definition. “Repricing Transaction” means the prepayment or refinancing of all or a portion of the Term B-2 Loans with the incurrence by any Loan Party of any Indebtedness in the form of long term bank debt financing in the form of term loans denominated in United States dollars that are broadly syndicated to banks and other institutional investors incurred for the primary purpose of repaying, refinancing, substituting or replacing the Term B-2 Loans and having an effective All-In Yield (as determined by the Administrative Agent consistent with generally accepted financial practice) that is less than the All-In Yield (as determined by the Administrative Agent on the same basis) of the Term B-2 Loans (other than, for the avoidance of doubt, securitizations), including without limitation, as may be effected through any amendment to this Agreement relating to the All-In Yield of such Term B-2 Loans, except for any such Indebtedness incurred or amendment effected in connection with a Change in Control or a Transformative Acquisition. “Required Lenders” means, at any time, Lenders having Revolving Exposures, Term Loans and unused Commitments (other than Swingline Commitments) representing more than 50% of the aggregate Revolving Exposures, outstanding Term Loans and unused Commitments (other than Swingline Commitments) at such time; provided that to the extent set forth in Section 9.02, (a) the Revolving Exposures, Term Loans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Required Lenders. “Required Revolving Lenders” means, at any time, Revolving Lenders having Revolving Exposures and unused Revolving Commitments (exclusive of Swingline Commitments) representing more than 50% of the sum of the aggregate Revolving Exposures and the aggregate unused Revolving Commitments (exclusive of Swingline Commitments) at such time; provided that to the extent set forth in Section 9.02, (a) the Revolving Exposures and unused Revolving Commitments of any Affiliate of the Borrower and (b) whenever there are one or more Defaulting Lenders, the total outstanding Revolving Exposures of, and the unused Revolving Commitments of, each Defaulting Lender shall in each case be excluded for purposes of making a determination of Required Revolving Lenders. “Requirements of Law”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 “Resolution Authority” means an EEA Resolution Authority or, with respect to any UK Financial Institution, a UK Resolution Authority.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3"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Responsible Officer” means the chief executive officer, chief operating officer, president, vice president, chief financial officer, treasurer or assistant treasurer, or other similar officer, manager or a director of a Loan Party and with respect to certain limited liability companies or partnerships that do not have officers, any manager, sole member, managing member or general partner thereof, and as to any document delivered on the Closing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“Restricted Payment”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 “Restricted Subsidiary” means any Subsidiary other than an Unrestricted Subsidiary. “Retained Asset Sale Proceeds” means that portion of Net Proceeds of a Prepayment Event pursuant to clause (a) of the definition thereof that is not required to be applied to prepay Term B-2 Loans pursuant to Section 2.09(b) solely as a result of the Asset Sale Percentage being less than 100%. “Revolving Availability Period” means the period from and including the First Amendment Effective Date to but excluding the earlier of (a) the Revolving Maturity Date and (b) the date of the termination of the Revolving Commitments. “Revolving Commitment” means, with respect to each Lender, the commitment, if any, of such Lender to make Revolving Loans and to acquire participations in Swingline Loans and Letters of Credit hereunder, expressed as an amount representing the maximum possible aggregate amount of such Lender’s Revolving Exposure hereunder, as such commitment may be (a) reduced from time to time pursuant to Section 2.06 and (b) reduced or increased from time to time pursuant to (i) assignments by or to such Lender pursuant to an Assignment and Assumption or (ii) a Refinancing Amendment. The initial amount of each Lender’s Revolving Commitment is set forth on Schedule I to the First Amendment, in the Assignment and Assumption or in the Refinancing Amendment pursuant to which such Lender shall have assumed its Revolving Commitment, as the case may be. The initial aggregate amount of the Lenders’ Revolving Commitments as of the First Amendment Effective Date is $300,000,000.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94"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Revolving Commitment Increase Lender” has the meaning assigned to such term in Section 2.18(c)(i). “Revolving Exposure” means, with respect to any Lender at any time, the sum of (i) the outstanding principal amount of such Lender’s Revolving Loans then outstanding, (ii) such Lender’s LC Exposure at such time and (iii) such Lender’s Swingline Exposure at such time. “Revolving Facility” means the Revolving Commitments and Revolving Loans hereunder. “Revolving Lender” means a Lender with a Revolving Commitment or, if the Revolving Commitments have terminated or expired, a Lender with Revolving Exposure. “Revolving Loan” means a Loan made pursuant to clause (b) of Section 2.01. “Revolving Maturity Date” means June 21, 2027. “S&amp;P” means Standard &amp; Poor’s Ratings Services, a division of The McGraw-Hill Companies, Inc., and any successor to its rating agency business. “Sanctions” means economic sanctions administered or enforced by the United States Government (including without limitation, sanctions enforced by OFAC), the United Nations Security Council, the European Union or His Majesty’s Treasury. “SDN List” has the meaning assigned to such term in Section 3.19(d)(i). “SEC” means the Securities and Exchange Commission or any Governmental Authority succeeding to any of its principal functions. “Second Amendment” means that certain Amendment No. 2, dated as of the Second Amendment Effective Date, to this Agreement. “Second Amendment Consenting Lender” means each Lender with Term B-1 Loans that provided the Administrative Agent with a counterpart to the Second Amendment executed by such Lender prior to the Second Amendment Effective Date. “Second Amendment Effective Date” means February 19, 2025. “Secured Leverage Incurrence Ratio” has the meaning assigned to such term in the definition of “Incremental Cap.” “Secured Obligations” has the meaning assigned to such term in the Collateral Agreement. “Secured Notes” means the $500,000,000 in aggregate principal amount of 7.50% Senior Secured Notes due 2031 issued by the Borrower and Valor Co-Issuer, Inc. pursuant to the Secured Notes Indenture. “Secured Notes Documents” means the Secured Notes Indenture and all other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5"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agreements, instruments and other documents (including collateral documents with respect thereto) pursuant to which the Secured Notes have been issued. “Secured Notes Indenture” means the Indenture, dated as of June 21, 2024, among Holdings, the Borrower, Valor Co-Issuer, the subsidiary guarantors party thereto from time to time and the Secured Notes Trustee, governing the Secured Notes, as the same may be amended, supplemented, waived or otherwise modified from time to time. “Secured Notes Trustee” means U.S. Bank Trust Company, National Association, in its capacity as trustee and collateral agent under the Secured Notes Indenture, and any successor in such capacity. “Secured Parties” has the meaning assigned to such term in the Collateral Agreement. “Securitization Assets” shall mean any of the following assets (or interests therein) from time to time originated, acquired or otherwise owned by the Borrower or any Subsidiary or in which the Borrower or any Subsidiary has any rights or interests, in each case, without regard to where such assets or interests are located: (a) Receivables Assets, (b) revenues related to distribution and licensing of the products of the Borrower or any Subsidiary, (c) Intellectual Property rights relating to the generation of any of the types of assets listed in this definition, (d) any Equity Interests of any Special Purpose Securitization Subsidiary or any Subsidiary of a Special Purpose Securitization Subsidiary and any rights under any limited liability company agreement, trust agreement, shareholders agreement, organization or formation documents or other agreement entered into in furtherance of the organization of such entity and (e) other assets and property (or proceeds of such assets or property) to the extent customarily included in securitization transactions of the relevant type in the applicable jurisdictions (as determined by the Borrower in good faith). “Security Documents” means the Collateral Agreement, the Mortgages and each other security agreement or pledge agreement executed and delivered pursuant to the Collateral and Guarantee Requirement, Section 5.11 or 5.12 to secure any of the Secured Obligations. “Senior Representative” means, (i) with respect to the Secured Notes, U.S. Bank Trust Company, National Association, as the Secured Notes Trustee, and (ii) with respect to any series of Permitted First Priority Refinancing Debt, Permitted Junior Lien Refinancing Debt, Indebtedness permitted to be secured (to the extent secured by Collateral) pursuant to Section 6.01(a)(viii) or Section 6.01(a)(ix) or Incremental Equivalent Debt incurred under Section 6.01(a)(xxii), the trustee, administrative agent, collateral agent, security agent or similar agent under the indenture or agreement pursuant to which such Indebtedness is issued, incurred or otherwise obtained, as the case may be, and, in each case under clauses (i) and (ii), each of their successors in such capacities. “Similar Business” means any business, the majority of whose revenues are derived from (i) business or activities conducted by the Borrower and its Subsidiaries on the First Amendment Effective Date, (ii) any business that is a natural outgrowth or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96"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 “SOFR” means a rate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Determination Date” has the meaning assigned to such term in the definition of “Daily Simple SOFR”. “SOFR Rate Day” has the mean specified in the definition of “Daily Simple SOFR”. “Sold Entity or Business” has the meaning assigned to such term in the definition of the term “Consolidated EBITDA.” “Solicited Discount Proration” has the meaning assigned to such term in Section 2.09(a)(ii)(D)(3). “Solicited Discounted Prepayment Amount” has the meaning assigned to such term in Section 2.09(a)(ii)(D)(1)(II). “Solicited Discounted Prepayment Notice” means an irrevocable written notice of a Borrower Solicitation of Discounted Prepayment Offers made pursuant to Section 2.09(a)(ii)(D) substantially in the form of Exhibit M. “Solicited Discounted Prepayment Offer” means the irrevocable written offer by each Term Lender, substantially in the form of Exhibit N, submitted following the Administrative Agent’s receipt of a Solicited Discounted Prepayment Notice. “Solicited Discounted Prepayment Response Date” has the meaning assigned to such term in Section 2.09(a)(ii)(D)(1). “Special Purpose Securitization Subsidiary” shall mean (i) a direct or indirect Subsidiary of the Borrower established in connection with a Permitted Securitization Financing for the acquisition of Securitization Assets or interests therein, and which is organized in a manner (as determined by the Borrower in good faith) intended to reduce the likelihood that it would be substantively consolidated with Holdings or any of the Subsidiaries (other than Special Purpose Securitization Subsidiaries) in the event Holdings or any such Subsidiary becomes subject to a proceeding under the Bankruptcy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7"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(or other insolvency law) and (ii) any subsidiary of a Special Purpose Securitization Subsidiary. “Specified Discount” has the meaning assigned to such term in Section 2.09(a)(ii)(B)(1)(II). “Specified Discount Prepayment Amount” has the meaning assigned to such term in Section 2.09(a)(ii)(B)(1)(II). “Specified Discount Prepayment Notice” means an irrevocable written notice of a Borrower Offer of Specified Discount Prepayment made pursuant to Section 2.09(a)(ii)(B) substantially in the form of Exhibit I. “Specified Discount Prepayment Response” means the irrevocable written response by each Term Lender, substantially in the form of Exhibit J, to a Specified Discount Prepayment Notice. “Specified Discount Prepayment Response Date” has the meaning assigned to such term in Section 2.09(a)(ii)(B)(1). “Specified Discount Proration” has the meaning assigned to such term in Section 2.09(a)(ii)(B)(3). “Specified Dividend Amount” means, as of any date of declaration, (a) prior to any share splits, reverse share splits and/or share recapitalizations of the common stock of VFI following the Closing Date, an amount equal to $0.24 per share of common stock of VFI then issued and outstanding and (b) in the event of any share split, reverse share split and/or share recapitalization of the common stock of VFI following the Closing Date, an amount adjusted in a manner reasonably determined by the Borrower such that the aggregate amount of the Specified Dividend Amount as calculated (i) with respect to the issued and outstanding common stock of VFI immediately prior to such event and (ii) the issued and outstanding common stock of VFI immediately after such event, remains the same. “Specified Event of Default” means an Event of Default under Section 7.01(a), (b), (h) or (i). “Specified Representations” means the representations and warranties set forth in Section 3.01 (limited to the Loan Parties as to existence and corporate power and authority to enter into the Loan Documents), Section 3.02, Section 3.03(b)(i) (limited to the Organizational Documents of the Loan Parties), Section 3.08, Section 3.14, Section 3.16, Section 3.19(a), Section 3.19(b), Section 3.19(c) and Section 3.02(b) of the Collateral Agreement (subject to modifications as may be agreed by the lenders providing the applicable Incremental Facility). “Specified Transaction” means, with respect to any period, any Permitted Acquisition, Investment, sale, transfer or other disposition of assets, incurrence, assumption, retirement or repayment of Indebtedness, Restricted Payment, subsidiary designation or other event that by the terms of the Loan Documents requires “Pro Forma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98"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Compliance” with a test or covenant hereunder or requires such test or covenant to be calculated on a “Pro Forma Basis”; provided that for purposes of this definition, any Revolving Commitment shall be deemed to be fully drawn. “Submitted Amount” has the meaning assigned to such term in Section 2.09(a)(ii)(C)(1). “Submitted Discount” has the meaning assigned to such term in Section 2.09(a)(ii)(C)(1). “Subordinated Indebtedness” means any Indebtedness that is subordinated in right of payment to the Loan Document Obligations. “subsidiary”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“Subsidiary” means, unless otherwise specified, any subsidiary of Holdings. “Subsidiary Loan Party” means each Subsidiary of Holdings that is a party to the Guarantee Agreement (other than any Intermediate Parent or the Borrower). “Successor Borrower” has the meaning assigned to such term in Section 6.03(a)(iv)(B). “Successor Holdings” has the meaning assigned to such term in Section 6.03(a)(v)(B). “Supported QFC” has the meaning assigned to such term in Section 9.21. “Swap Agreement”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Holdings, any Intermediate Parent, the Borrower or the other Subsidiaries shall be a Swap Agreement. “Swingline Commitment” means the commitment of the Swingline Lender to make Swingline Loans pursuant to Section 2.23. The Swingline Commitment is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9"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$20,000,000. The Swingline Commitment is part of and not in addition to the Revolving Commitment. “Swingline Exposure” means, at any time, the aggregate principal amount at such time of all outstanding Swingline Loans. The Swingline Exposure of any Revolving Lender at any time shall equal its Applicable Percentage of the aggregate Swingline Exposure at such time. “Swingline Lender” means JPMorgan Chase Bank, N.A. (or any of its designated branch offices or affiliates), in its capacity as lender of Swingline Loans hereunder or any replacement or successor thereto. “Swingline Loans” has the meaning assigned to such term in Section 2.01(c). “Tax Estimation Period” means each period (determined without regard to any prior periods) for which an estimate of corporate federal income tax liability is required to be made under the Code. “Taxable Year” means Holdings’ taxable year ending on the last day of each calendar year (or part thereof, in the case of Holdings’ last taxable year), or such other year as is (i) required by Section 706 of the Code or (ii) determined by the Board of Managers of Holdings. “Taxable Year Income Amount”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 “Taxes” means any and all present or future taxes, levies, imposts, duties, deductions, charges or withholdings imposed by any Governmental Authority, including any interest, additions to tax or penalties applicable thereto. “Term B-1 Loans” means all of the Term Loans outstanding under this Agreement immediately prior to the Second Amendment Effective Date. “Term B-2 Loans” has the meaning specified in Section 2.01(d). Immediately after giving effect to the SecondThird Amendment, the aggregate amount of outstanding Term B-2 Loans on the SecondThird Amendment Effective Date is $1,245,000,0001,545,000,000. “Term Benchmark” when used in reference to any Loan or Borrowing, refers to whether such Loan, or the Loans comprising such Borrowing, are bearing interest at a rate determined by reference to the Adjusted Term SOFR Rate. “Term Commitment” means, with respect to the AdditionalIncremental Term B-2 Lender, such Term B-2 Lender’s AdditionalIncremental Term B-2 Commitment and, with respect to any other Term Lender, the obligation of such other Term Lender with respect to any other series of Term Loans to make a Term Loan of such series.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00"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Term Lender” means a Lender with a Term Commitment or an outstanding Term Loan. “Term Loans” means the Initial Term Loans, Other Term Loans, loans made pursuant to an Incremental Term Facility, from and after the First Amendment Effective Date, the Term B-1 Loans, and, from and after the Second Amendment Effective Date, the Term B-2 Loans, as the context requires. “Term Maturity Date” means June 21, 2031. “Term SOFR Determination Day” has the meaning assigned to such term in the definition of “Term SOFR Reference Rate.” “Term SOFR Rate”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“Term SOFR Reference Rate” means, for any day and time (such day, the “Term SOFR Determination Day”), with respect to any Term Benchmark Borrowing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“Termination Date” means the date on which (a) all Commitments shall have been terminated or expired, (b) the principal of and interest on each Loan, all fees and all other expenses or amounts payable under any Loan Document shall have been paid in full (other than in respect of contingent indemnification and expense reimbursement claims not then due) and (c) all Letters of Credit (other than those that have been cash collateralized or backstopped in a manner satisfactory to the applicable Issuing Bank) have been cancelled or have expired with no pending drawings and all LC Disbursements shall have been reimbursed in full. “Test Period” means, as of any date of determination, the period of four consecutive fiscal quarters of the Borrower then most recently ended for which financial statements have been (or were required to be) delivered pursuant to Section 5.01(a) or (b)) (or, if indicated and if later, for which financial statements are available); provided that prior to the first date on which financial statements have been delivered pursuant to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01"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5.01(a) or (b), the Test Period in effect shall be the four fiscal quarter period ended September 30, 2021. “Third Amendment” means that certain Amendment No. 3, dated as of the Third Amendment Effective Date, to this Agreement. “Third Amendment Effective Date” means September 23, 2025. “Third Party Funds” shall mean any segregated accounts or funds, or any portion thereof, received by Borrower or any of its Subsidiaries as agent on behalf of third parties (other than the Loan Parties) in accordance with a written agreement that imposes a duty upon Borrower or one or more of its Subsidiaries to collect and remit those funds to such third parties. “Total Leverage Incurrence Ratio” has the meaning assigned to such term in the definition of “Incremental Cap.” “Total Revolving Commitments” means, at any time, the aggregate amount of the Revolving Commitments then in effect. “Trading Debt” means any margin facility or other margin-related Indebtedness or any other Indebtedness incurred exclusively to finance the securities, derivatives, commodities or futures trading positions and related assets and liabilities of Holdings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 “Transaction Costs” means all fees, costs and expenses incurred or payable by Holdings, the Borrower or any other Subsidiary in connection with the Transactions. “Transactions” means, collectively, (i) the Financing Transactions, (ii) the Existing Credit Agreement Refinancing and (iii) the payment of the Transaction Costs in connection with the foregoing. “Transformative Acquisition” means any acquisition or Investment by Holdings, any Intermediate Parent, Borrower or any Restricted Subsidiary that either (a) is not permitted by the terms of the Loan Documents immediately prior to the consummation of such acquisition or Investment or (b) if permitted by the terms of the Loan Documents immediately prior to the consummation of such acquisition or Investment, would not provide the Borrower and the Restricted Subsidiaries with adequate flexibility under the Loan Documents for the continuation and/or expansion of their combined operations following such consummation, as determined by the Borrower acting in good faith. “Type,” when used in reference to any Loan or Borrowing, refers to whether the rate of interest on such Loan, or on the Loans comprising such Borrowing, is determined by reference to the Adjusted Term SOFR Rate or the Alternate Base Rate.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02"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“Unaudited Financial Statements” means the unaudited consolidated balance sheet of Holdings for the fiscal quarters ended March 31, 2021, June 30, 2021 and September 30, 2021 and the related consolidated statements of income, changes in equity and cash flows of Holdings, including the notes thereto. “United States Tax Compliance Certificate” has the meaning assigned to such term in Section 2.15(e)(ii)(C). “Unrestricted Subsidiary” means (a) any of (i) RFQ-hub Holdings LLC, a Delaware limited liability company, (ii) RFQ-hub Europe BV, a private company with limited liability organized under the laws of the Netherlands, (iii) RFQ-hub International Limited, a limited company organized under the laws of Ireland, (iv) RFQ-hub Americas LLC, a Delaware limited liability company, (v) RFQ-hub Asia-Pacific Private Limited, a private limited company organized under the laws of Singapore and (vi) RFQ-hub Software Solutions (France) SAS (formerly known as Virtu ITG Software Solutions (France) SAS), a simplified stock company organized under the laws of France, each of which is designated as an “Unrestricted Subsidiary” on the First Amendment Effective Date and (b) any other Subsidiary (other than an Intermediate Parent or the Borrower) designated by the Borrower as an Unrestricted Subsidiary pursuant to Section 5.13 subsequent to the First Amendment Effective Date. “Unsecured Leverage Test” has the meaning assigned to such term in the definition of “Incremental Cap.” “U.S. Person” means any United States citizen, lawful permanent resident, entity organized under the laws of the United States or any jurisdiction within the United States, including any foreign branch of any such entity, or any person in the United States.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03"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U.S. Special Resolution Regimes” has the meaning assigned to such term in Section 9.21. “USA Patriot Act” means the Uniting and Strengthening America by Providing Appropriate Tools Required to Intercept and Obstruct Terrorism Act of 2001, as amended from time to time. “VFI” means Virtu Financial, Inc., a Delaware corporation. “Voting Stock” of any specified Person as of any date means the Equity Interests of such Person that is at the time entitled to vote in an election of the Board of Directors of Holdings or such Person. “VV Holders” means (i) Vincent Viola, (ii) TJMT Holdings LLC (f/k/a Virtu Holdings LLC), (iii) any immediate family member of Vincent Viola, a trust, family-partnership or estate-planning vehicle solely for the benefit of Vincent Viola and/or any of his immediate family members (including siblings of Vincent Viola and Teresa Viola), (iv) Virtu Employee Holdco LLC and (v) any other Affiliate of any of the foregoing. “Weighted Average Life to Maturity”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“Wholly Owned Restricted Subsidiary” means any Restricted Subsidiary that is a Wholly Owned Subsidiary of Holdings. “Wholly Owned Subsidiary”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 “Withdrawal Liability” means liability to a Multiemployer Plan as a result of a complete or partial withdrawal from such Multiemployer Plan, as such terms are defined in Part I of Subtitle E of Title IV of ERISA.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04"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Classification of Loans and Borrowings. For purposes of this Agreement, Loans and Borrowings may be classified and referred to by Class (e.g., a “Term Loan” or “Revolving Loan”) or by Type (e.g., a “Term Benchmark Loan”) or by Class and Type (e.g., a “Term Benchmark Term Loan” or “ABR Revolving Loan”). Borrowings also may be classified and referred to by Class (e.g., a “Term Borrowing” or “Revolving Borrowing”) or by Type (e.g., a “Term Benchmark Borrowing”) or by Class and Type (e.g., a “Term Benchmark Term Borrowing” or “ABR Revolving Borrowing”). 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 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Section 1.04. Accounting Terms; GAAP. Except as otherwise expressly provided herein, all terms of an accounting or financial nature shall be construed in accordance with GAAP, as in effect from time to time; provided, however, that if the Borrower notifies the Administrative Agent that the Borrower requests an amendment to any provision (including any definitions)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05"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Accounting Standards Codification No. 825, “Financial Instruments”, or any successor thereto (including pursuant to the Accounting Standards Codification), to value any Indebtedness of Holdings,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Section 1.05. Effectuation of Transactions. All references herein to Holdings, the Borrower and the other Subsidiaries 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Closing Date, unless the context otherwise requires. Section 1.06. Currency Translation. Notwithstanding the foregoing, for purposes of any determination under Article 5, Article 6 (other than the Financial Performance Covenant) or Article 7 or any determination under any other provision of this Agreement expressly requiring the use of a currency exchange rate, all amounts incurred, outstanding or proposed to be incurred or outstanding in currencies other than dollars shall be translated into dollars at currency exchange rates in effect on the date of such determination; provided, however, that for purposes of determining compliance with Article 6 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provided, further, that if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principal amount, as applicable, of such Indebtedness being refinanced plus (ii) the aggregate amount of unpaid accrued interest and premium thereon plus other amounts paid, and fees and expenses incurred, in connection with such refinancing; provided, further, that, for the avoidance of doubt, the foregoing provisions of this Section 1.06 shall otherwise apply to such Sections, including with respect to determining whether any Indebtedness or Investment may be incurred or Disposition or Restricted Payment made at any time under such Sections. For purposes of the Financial Performance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06"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Covenant, amounts in currencies other than dollars shall be translated into dollars at the currency exchange rates used in preparing the most recently delivered financial statements pursuant to Section 5.01(a) or (b). Section 1.07.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1.08. Limited Condition Transactions. Notwithstanding anything to the contrary contained herein, for purposes of (a)(i) measuring the relevant ratios and baskets, (ii) determining whether a Default or Event of Default (other than any Specified Event of Default) exists or would be caused thereby and (iii) determining the accuracy of any representation or warranty, in each case solely with respect to the incurrence of any Incremental Facility or Indebtedness under Section 6.01 for the purpose of financing a Limited Condition Transaction, or (b) determining whether the Limited Condition Transaction is permitted under this Agreement, compliance with any such ratio, basket or other test hereunder on a Pro Forma Basis with respect to the incurrence of any such Indebtedness or the consummation of such Limited Condition Transaction may be determined, at the option of the Borrower, either (i) at the time of entry into the applicable acquisition agreement or (ii) at the time of incurrence of such Indebtedness or the consummation of such Limited Condition Transaction; provided that if the Borrower elects to have such determination occur at the time of entry into the applicable acquisition agreement, such Indebtedness to be incurred shall be deemed incurred at the time of such determination and outstanding thereafter, and such Limited Condition Transaction will be deemed to have been consummated for four complete fiscal quarters, and be given pro forma effect, for purposes of determining compliance on a Pro Forma Basis with any applicable ratio, basket or other test with respect thereto and in connection with the incurrence of any other Indebtedness (other than under such Incremental Facility or such other Indebtedness, which shall remain subject to the terms thereof with respect to the impact, if any, of a Limited Condition Transaction) or Liens, or the making of any other Investments, Dispositions or fundamental changes (A) until such time as such acquisition agreement is terminated without actually consummating such Limited Condition Transaction, in which case such Incremental Facility or other applicable Indebtedness will not be treated as having been incurred and such Limited Condition Transaction will not be treated as having occurred or (B) until such time as such Limited Condition Transaction is consummated, in which case the actual Incremental Facility or other applicable Indebtedness shall be deemed incurred and outstanding and such acquisition will be deemed to be consummated for purposes of determining compliance on a Pro Forma Basis with any applicable ratio, test or other basket. Section 1.09. Interest Rates; Benchmark Notification. The interest rate on a Loan may be derived from an interest rate benchmark that may be discontinued or is, or may in the future become, the subject of regulatory reform. Upon the occurrence of a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0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Benchmark Transition Event, Section 2.12(b)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1.10. Letter of Credit Amounts. Unless otherwise specified herein, the amount of a Letter of Credit at any time shall be deemed to be the amount of such Letter of Credit available at such time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during the remaining life thereof. ARTICLE 2 THE CREDITS Section 2.01. Commitments. Subject to the terms and conditions set forth herein: (a) [Reserved]. (b) Each Revolving Lender agrees to make Revolving Loans to the Borrower from time to time during the Revolving Availability Period in an aggregate principal amount which will not result in such Lender’s Revolving Exposure exceeding such Lender’s Revolving Commitment. (c) The Swingline Lender agrees to make Loans (the “Swingline Loans”) to the Borrower from time to time during the Revolving Availability Period in accordance with Section 2.23.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0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 The Additional Term B-2 Lender agrees to make Term Loans (together with each loan converted from a Converted Term B-1 Loan pursuant to clause (ii) below, a “Term B-2 Loan”) on the Second Amendment Effective Date to the Borrower equal to the Additional Term B-2 Commitment and (ii) each Converted Term B-1 Loan of each Second Amendment Consenting Lender shall be converted into a Term B-2 Loan of such Lender effective as of the Second Amendment Effective Date in a principal amount equal to the principal amount of such Lender’s Converted Term B-1 Loan immediately prior to such conversion; provided that the Term B-2 Loans shall initially consist of Term SOFR Loans with an Interest Period commencing on the Second Amendment Effective Date and ending on February 28, 2025. (e) The Incremental Term B-2 Lender agrees to make an additional Term B-2 Loan on the Third Amendment Effective to the Borrower equal to the Incremental Term B-2 Commitment. (f) (e) Within the foregoing limits and subject to the terms and conditions set forth herein, the Borrower may borrow, prepay and reborrow Revolving Loans. Amounts repaid or prepaid in respect of Term Loans may not be reborrowed. Section 2.02. Loans and Borrowings.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hereby. (b) Subject to Section 2.12, each Borrowing shall be comprised entirely of ABR Loans or Term Benchmark Loans as the Borrower may request in accordance herewith; provided, that each Swingline Loan shall be an ABR Loan. Each Lender at its option may make any Loan by causing any domestic or foreign branch or Affiliate of such Lender to make such Loan; provided that any exercise of such option shall not affect the obligation of the Borrower to repay such Loan in accordance with the terms of this Agreement. (c) At the commencement of each Interest Period for any Term Benchmark Borrowing, such Borrowing shall be in an aggregate amount that is an integral multiple of $1,000,000 and not less than $5,000,000; provided that a Term Benchmark Borrowing that results from a continuation of an outstanding Term Benchmark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provided that there shall not at any time be more than a total of six Term Benchmark Borrowings outstanding. Notwithstanding anything to the contrary herein, an ABR Revolving Borrowing (including a Borrowing of Swingline Loans) may be in an aggregate amount which is equal to the entire unused balance of the Total Revolving Commitments (and/or the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Swingline Commitments, as applicable) or that is required to finance the reimbursement of an LC Disbursement as contemplated by Section 2.22. Section 2.03. Requests for Borrowings. To request a Borrowing, the Borrower shall notify the Administrative Agent of such request by telephone (a) in the case of a Term Benchmark Borrowing, not later than 11:00 a.m., New York City time, three Business Days before the date of the proposed Borrowing (or, in the case of any Term Benchmark Borrowing to be made on the Second Amendment Effective Date or Third Amendment Effective Date, such shorter period of time as may be agreed to by the Administrative Agent), (b) (i) in the case of an ABR Term Borrowing, not later than 2:00 p.m., New York City time, one Business Day before the date of the proposed Borrowing and (ii) in the case of an ABR Revolving Borrowing, not later than 2:00 p.m., New York City time, on the date of the proposed Borrowing or (c) in the case of a Borrowing of Swingline Loans, in accordance with Section 2.23. Each such telephonic Borrowing Request shall be irrevocable and shall be confirmed promptly by hand delivery or facsimile to the Administrative Agent of a written Borrowing Request signed by the Borrower substantially in the form of Exhibit T. Each such telephonic and written Borrowing Request shall specify the following information: (i) the Class of such Borrowing; (ii) the aggregate amount of such Borrowing; (iii) the date of such Borrowing, which shall be a Business Day; (iv) whether such Borrowing is to be an ABR Borrowing or (except for Borrowings of Swingline Loans) a Term Benchmark Borrowing; (v) in the case of a Term Benchmark Borrowing, the initial Interest Period to be applicable thereto, which shall be a period contemplated by the definition of the term “Interest Period”; (vi) the location and number of the Borrower’s account to which funds are to be disbursed, which shall comply with the requirements of Section 2.04, or, in the case of any ABR Revolving Borrowing or Swingline Loan requested to finance the reimbursement of an LC Disbursement as provided in Section 2.22, the identity of the Issuing Bank that made such LC Disbursement; and (vii) that as of the date of such Borrowing, all applicable conditions set forth in Section 4.02(a), Section 4.02(b) and Section 4.02(c) are satisfied. If no election as to the Type of Borrowing is specified as to any Borrowing,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2.03, the Administrative Agent shall advise each Lender of the applicable Class of the details thereof and of the amount of such Lender’s Loan to be made as part of the requested Borrowing.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1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2.04. Funding of Borrowings. (a) Each Lender shall make each Loan to be made by it hereunder on the proposed date thereof by wire transfer of immediately available funds in dollars by 12:00 p.m., New York City time or, solely in the case of an ABR Revolving Borrowing with respect to which the Borrowing Request is made on the date of the proposed Borrowing, 4:00 p.m., New York City time, to the Applicable Account of the Administrative Agent most recently designated by it for such purpose by notice to the Lenders; provided that Swingline Loans shall be made as provided in Section 2.23. The Administrative Agent will make such Loans available to the Borrower by promptly crediting the amounts so received, in like funds, to an account designated by the Borrower in the applicable Borrowing Request; provided that ABR Revolving Loans or Swingline Loans made to finance the reimbursement of an LC Disbursement as provided in Section 2.22 shall be remitted by the Administrative Agent to the applicable Issuing Bank or, to the extent that Revolving Lenders have made payments pursuant to Section 2.22 to reimburse such Issuing Bank, then to such Lenders and such Issuing Bank as their interests may appear. (b)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2.04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 (c) The obligations of the Lenders hereunder to make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1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2.05. Interest Elections. (a) Each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2.05 shall not apply to Swingline Loans, which may not be converted or continued. (b) 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the Borrower. (c) Each written Interest Election Request shall specify the following information in compliance with Section 2.03: (i)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(ii) the effective date of the election made pursuant to such Interest Election Request, which shall be a Business Day; (iii) whether the resulting Borrowing is to be an ABR Borrowing or a Term Benchmark Borrowing; and (iv) if the resulting Borrowing is to be a Term Benchmark Borrowing, the Interest Period to be applicable thereto after giving effect to such election, which shall be a period contemplated by the definition of the term “Interest Period.” If any such Interest Election Request requests a Term Benchmark Borrowing but does not specify an Interest Period, then the Borrower shall be deemed to have selected an Interest Period of one month’s duration. (d) Promptly following receipt of an Interest Election Request in accordance with this Section, the Administrative Agent shall advise each Lender of the applicable Class of the details thereof and of such Lender’s portion of each resulting Borrowing. (e) If the Borrower fails to deliver a timely Interest Election Request with respect to a Term Benchmark Borrowing prior to the end of the Interest Period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1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at the end of the Interest Period applicable thereto. Section 2.06. Termination and Reduction of Commitments. (a) Unless previously terminated, (i) the Additional Term B-2 Commitments outstanding on the Second Amendment Effective Date shall terminate at 5:00 p.m., New York City time, on the Second Amendment Effective Date, and (ii) the Revolving Commitments shall automatically terminate on the Revolving Maturity Date., and (iii) the Incremental Term B-2 Commitments outstanding on the Third Amendment Effective Date shall terminate at 5:00 p.m., New York City time, on the Third Amendment Effective Date. (b) The Borrower may at any time terminate, or from time to time reduce, the Commitments of any Class, provided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Section 2.11, the aggregate Revolving Exposures would exceed the Total Revolving Commitments. (c) 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2.06 shall be irrevocable; provided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 Section 2.07. Repayment of Loans; Evidence of Debt. (a) The Borrower hereby unconditionally promises to pay (i) to the Administrative Agent for the account of each Lender the then unpaid principal amount of each Revolving Loan of such Lender on the Revolving Maturity Date, (ii) to the Administrative Agent for the account of each Lender the then unpaid principal amount of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13"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Term Loan of such Lender as provided in Section 2.08 and (iii) to the Swingline Lender the then unpaid principal amount of each Swingline Loan made by the Swingline Lender on the earlier to occur of (A) the date that is ten (10) Business Days after such Loan is made and (B) the Revolving Maturity Date; provided that on each date that a Revolving Borrowing is made, the Borrower shall repay all Swingline Loans that were outstanding on the date such Borrowing was requested. (b)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(c)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(d) The entries made in the accounts maintained pursuant to paragraph (b) or (c) of this Section shall be prima facie evidence of the existence and amounts of the obligations recorded therein, provided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2.07, the accounts maintained by the Administrative Agent pursuant to paragraph (c) of this Section 2.07 shall control. (e) Any Lender may request through the Administrative Agent that Loans of any Class made by it be evidenced by a Note. In such event, the Borrower shall execute and deliver to such Lender a Note payable to the order of such Lender (or, if requested by such Lender, to such Lender and its registered assigns). Section 2.08. Amortization of Term Loans. (a) Subject to adjustment pursuant to paragraph (c) of this Section 2.08, the Borrower shall repay the Term B-2 Loans on each anniversary of the Second Amendment Effective Date in an aggregate principal amount of Term B-2 Loans equal to 1.00% of the sum of (x) the original aggregate principal amount of the Term B-2 Loans made on the Second Amendment Effective Date and (y) the original aggregate principal amount of the Term B-2 Loans made on the Third Amendment Effective Date; provided that if any such date is not a Business Day, such payment shall be due on the next preceding Business Day. (b) To the extent not previously paid, all Term B-2 Loans shall be due and payable on the Term Maturity Date.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14"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Any prepayment of a Term Borrowing of any Class (i) pursuant to Section 2.09(a)(i) shall be applied to reduce the subsequent scheduled and outstanding repayments of the Term Borrowing of such Class to be made pursuant to this Section as directed by the Borrower (and absent such direction in direct order of maturity), (ii) pursuant to Section 2.09(a)(ii) shall be applied as set forth in Section 2.09(a)(ii)(F) and (iii)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 (d) 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Days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2.14. Each repayment of a Borrowing shall be applied ratably to the Loans included in the repaid Borrowing. Repayments of Term Borrowings shall be accompanied by accrued interest on the amount repaid. Section 2.09. Prepayment of Loans. (a) (i) The Borrower shall have the right at any time and from time to time to prepay any Borrowing in whole or in part, subject to the requirements of this Section 2.09; provided that in the event that, on or prior to the date that is six months following the Second Amendment Effective Date, the Borrower (x) makes any prepayment of Term B-2 Loans in connection with any Repricing Transaction, or (y) effects any amendment of this Agreement resulting in a Repricing Transaction, the Borrower shall pay to the Administrative Agent, for the ratable account of each of the applicable Term Lenders, (I) in the case of clause (x), a prepayment premium of 1.00% of the principal amount of the Term B-2 Loans being prepaid and (II) in the case of clause (y), a payment equal to 1.00% of the aggregate principal amount of the Term B-2 Loans outstanding immediately prior to such amendment. (ii) Notwithstanding anything in any Loan Document to the contrary, so long as no Default or Event of Default has occurred and is continuing, the Borrower may prepay the outstanding Term Loans on the following basis: (A) The Borrower shall have the right to make a voluntary prepayment of Term Loans at a discount to par (such prepayment, the “Discounted Term Loan Prepayment”) pursuant to a Borrower Offer of Specified Discount Prepayment, Borrower Solicitation of Discount Range Prepayment Offers or Borrower Solicitation of Discounted Prepayment Offers, in each case made in accordance with this Section 2.09(a)(ii); provided that (x) the Borrower shall not make any Borrowing of Revolving Loans, Swingline Loans or borrowing of loans under any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15"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Revolving Facility to fund any Discounted Term Loan 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 (B) (1) Subject to the proviso to subsection (A) above, the Borrower may from time to time offer to make a Discounted Term Loan Prepayment by providing the Auction Agent with four (4) Business Days’ notice in the form of a Specified Discount Prepayment Notice; provided that (I) any such offer shall be made available, at the sole discretion of the Borrower, to each Term Lender and/or each Lender with respect to any Class of Term Loans on an individual tranche basis, (II) any such offer shall specify the aggregate principal amount offered to be prepaid (the “Specified Discount Prepayment Amount”) with respect to each applicable tranche, the tranche or tranches of Term Loans subject to such offer and the specific percentage discount to par (the “Specified Discount”)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2.09),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“Specified Discount Prepayment Response Date”). (2)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“Discount Prepayment Accepting Lender”), the amount and the tranches of such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16"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 (3) 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above; provided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“Specified Discount Proration”).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tranches to be prepaid, (II) each Term Lender who made a Solicited Discounted Prepayment Offer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 (C) (1) Subject to the proviso to subsection (A) above, the Borrower may from time to time solicit Discount Range Prepayment Offers by providing the Auction Agent with three (3) Business Days’ notice in the form of a Discount Range Prepayment Notice; provided that (I) any such solicitation shall be extended, at the sole discretion of the Borrower, to each Term Lender and/or each Lender with respect to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17"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Class of Loans on an individual tranche basis, (II) any such notice shall specify the maximum aggregate principal amount of the relevant Term Loans (the “Discount Range Prepayment Amount”), the tranche or tranches of Term Loans subject to such offer and the maximum and minimum percentage discounts to par (the “Discount Range”)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2.09),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“Discount Range Prepayment Response Date”). Each relevant Term Lender’s Discount Range Prepayment Offer shall be irrevocable and shall specify a discount to par within the Discount Range (the “Submitted Discount”) at which such Term Lender is willing to allow prepayment of any or all of its then outstanding Term Loans of the applicable tranche or tranches and the maximum aggregate principal amount and tranches of such Lender’s Term Loans (the “Submitted Amount”)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 (2) 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18"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Discount Range being referred to as the “Applicable Discount”)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“Participating Lender”). (3) If there is at least one Participating Lender, the Borrower will prepay the respective outstanding Term Loans of each Participating Lender in the aggregate principal amount and of the tranches specified in such Lender’s Discount Range Prepayment Offer at the Applicable Discount; provided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“Identified Participating Lenders”)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“Discount Range Proration”).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 (D) (1) Subject to the proviso to subsection (A) above, the Borrower may from time to time solicit Solicited Discounted Prepayment Offers by providing the Auction Agent with three (3)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19"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Days’ notice in the form of a Solicited Discounted Prepayment Notice; provided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“Solicited Discounted Prepayment Amount”) and the tranche or tranches of Term Loans the Borrower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2.09),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“Solicited Discounted Prepayment Response Date”). Each Term Lender’s Solicited Discounted Prepayment Offer shall (x) be irrevocable, (y) remain outstanding until the Acceptance Date, and (z) specify both a discount to par (the “Offered Discount”) at which such Term Lender is willing to allow prepayment of its then outstanding Term Loan and the maximum aggregate principal amount and tranches of such Term Loans (the “Offered Amount”)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 (2) 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“Acceptable Discount”), if any. If the Borrower elects to accept any Offered Discount as the Acceptable 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“Acceptance Date”), the Borrower shall submit an Acceptance and Prepayment Notice to the Auction Agent setting forth the Acceptable Discount. If the Auction Agent shall fail to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20"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receive an Acceptance and Prepayment Notice from the Borrower by the Acceptance Date, the Borrower shall be deemed to have rejected all Solicited Discounted Prepayment Offers. (3) Based upon the Acceptable Discount and the Solicited Discounted Prepayment Offers received by the Auction Agent by the Solicited Discounted Prepayment Response Date, within three (3) Business Days after receipt of an Acceptance and Prepayment Notice (the “Discounted Prepayment Determination Date”), the Auction Agent will determine (in consultation with the Borrower and subject to rounding requirements of the Auction Agent made in its sole reasonable discretion) the aggregate principal amount and the tranches of Term Loans (the “Acceptable Prepayment Amount”) to be prepaid by the Borrower at the Acceptable Discount in accordance with this Section 2.09(a)(ii)(D).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“Qualifying Lender”). The Borrower will prepay outstanding Term Loans pursuant to this subsection (D) to each Qualifying Lender in the aggregate principal amount and of the tranches specified in such Lender’s Solicited Discounted Prepayment Offer at the Acceptable Discount; provided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“Identified Qualifying Lenders”) shall be made pro-rata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“Solicited Discount Proration”). On or prior to the Discounted Prepayment Determination Date, the Auction Agent shall promptly notify (I) the Borrower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 (III) each Qualifying Lender of the aggregate principal amount and the tranches of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21"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subsection (F) below (subject to subsection (J) below). (E) In connection with any Discounted Term Loan Prepayment, the Borrower and the Lenders acknowledge and agree that the Auction Agent may require as a condition to any Discounted Term Loan Prepayment, the payment of customary fees and expenses from the Borrower in connection therewith. (F) 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(G) 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 (H) Notwithstanding anything in any Loan Document to the contrary, for purposes of this Section 2.09(a)(ii), each notice or other communication required to be delivered or otherwise provided to the Auction Agent (or its delegate) shall be deemed to have been given upon Auction Agent’s (or its delegate’s) actual receipt during normal business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22"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hours of such notice or communication; provided that any notice or communication actually received outside of normal business hours shall be deemed to have been given as of the opening of business on the next Business Day. (I) Each of the Borrower and the Lenders acknowledges and agrees that the Auction Agent may perform any and all of its duties under this Section 2.09(a)(ii)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2.09(a)(ii) as well as activities of the Auction Agent. (J) 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the Borrower to make any prepayment to a Term Lender, as applicable, pursuant to this Section 2.09(a)(ii) shall not constitute a Default or Event of Default under Section 7.01 or otherwise). (b) In the event and on each occasion that any Net Proceeds are received by or on behalf of Holdings, any Intermediate Parent, the Borrower or any of its Restricted Subsidiaries (i) in respect of any Prepayment Event described in clause (b) of the definition of “Prepayment Event”, the Borrower shall, on the date of such Prepayment Event, prepay Term B-2 Loans in an aggregate amount equal to 100% of the amount of such Net Proceeds, and (ii) in respect of any Prepayment Event described in clause (a) of the definition of “Prepayment Event”, the Borrower shall, within three Business Days after such Net Proceeds are received, prepay Term B-2 Loans in an aggregate amount equal to the Asset Sale Percentage of such Net Proceeds; provided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18 months after receipt of such Net Proceeds in the business of the Borrower and its Restricted Subsidiaries (including in any acquisitions permitted under Section 6.04 and in working capital or trading activities), then no prepayment shall be required pursuant to this paragraph (b)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23"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required in an amount equal to such Net Proceeds that have not been so invested (or committed to be invested). Notwithstanding the foregoing, the Borrower may use a portion of such Net Proceeds of a Prepayment Event described in clause (a) of the definition of “Prepayment Event” to prepay, redeem or repurchase any Other First Lien Debt (provided, that in the case of the prepayment of any revolving Indebtedness, there is a corresponding reduction in commitments), in each case in an amount not to exceed the product of (x) the amount of such Net Proceeds and (y) a fraction, (A) the numerator of which is the outstanding principal amount of such Other First Lien Debt and (B) the denominator of which is the sum of the outstanding principal amount of such Other First Lien Debt and the outstanding principal amount of all Classes of Term B-2 Loans; it being understood and agreed that such portion shall, thereafter, no longer be required to be applied to prepay the Term B-2 Loans. (c) Commencing with the fiscal quarter of Holdings ending June 30, 2025, the Borrower shall apply an aggregate amount equal to (i) the ECF Percentage of Excess Cash Flow for the four fiscal quarter period ending on June 30 of each year (each an “Excess Cash Flow Period”), minus (ii) to the extent not financed using the proceeds of the incurrence of funded long term Indebtedness, the sum of (A) the aggregate amount of any voluntary prepayments, repurchases, redemption or retirements made during such Excess Cash Flow Period (plus, at the Borrower’s election, without duplication of any amounts previously deducted under this clause (i), the amount of any voluntary prepayment, repurchases, redemptions or retirements after the end of such Excess Cash Flow Period but before the date of prepayment under this clause (c) of (x) Term B-2 Loans (it being understood that the amount of any voluntary prepayment, repurchase, redemption or retirement of Term B-2 Loans below par shall be calculated to equal the amount of cash used and not the principal amount deemed prepaid therewith) and (y) Other First Lien Debt (provided, that (1) in the case of the prepayment of any revolving Indebtedness, there was a corresponding reduction in commitments and (2) the maximum amount of each such prepayment, repurchase, redemption or retirement of Other First Lien Debt that may be counted for purposes of this clause (A)(y) shall not exceed the amount that would have been prepaid, repurchased, redeemed or retired in respect of such Other First Lien Debt if such prepayment, repurchase, redemption or retirement had been applied on a ratable basis among the Term B-2 Loans and such Other First Lien Debt (determined based on the aggregate outstanding principal amount of Term B-2 Loans and the aggregate principal amount of such Other First Lien Debt on the date of such prepayment, repurchase, redemption or retirement of such Other First Lien Debt)) and (B) the amount of any permanent voluntary reductions during such Excess Cash Flow Period (plus, without duplication of any amounts previously deducted under this clause (B), the amount of any permanent voluntary reductions after the end of such Excess Cash Flow Period but before the date of prepayment under this clause (c)) of Revolving Commitments to the extent that an equal amount of Revolving Loans was simultaneously repaid to (1) prepay Term B-2 Loans or (2) to prepay Term B-2 Loans and to prepay, repurchase, redeem or retire any Other First Lien Debt so long as the prepayments under this clause (2) are applied in a manner such that the Term B-2 Loans are prepaid on at least a ratable basis with such Other First Lien Debt (determined based on the aggregate outstanding principal amount of Term B-2 Loans and the aggregate outstanding principal amount of such Other First Lien Debt on the date of such prepayment, repurchase, redemption or retirement). Each prepayment pursuant to this paragraph (c) shall be made on or before the date that is five days after the date on which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24"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statements are required to be delivered pursuant to Section 5.01(b) with respect to the last fiscal quarter of the four fiscal quarter period for which Excess Cash Flow is being calculated. (d) Prior to any optional prepayment of Borrowings pursuant to Section 2.09(a)(i), the Borrower shall select the Borrowing or Borrowings to be prepaid and shall specify such selection in the notice of such prepayment pursuant to paragraph (e) of this Section 2.09.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provided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2.09 (other than an optional prepayment pursuant to paragraph (a)(i) of this Section 2.09, which may not be declined), in which case the aggregate amount of the prepayment that would have been applied to prepay Term Loans or Other Term Loans of any such Class but was so declined shall be retained by the Borrower (such amounts, “Declined Proceeds”). Optional prepayments of Term Borrowings shall be allocated among the Classes of Term Borrowings as directed by the Borrower. In the absence of a designation by the Borrower as described in the preceding provisions of this paragraph (d) of the Type of Borrowing of any Class, the Administrative Agent shall make such designation in its reasonable discretion with a view, but no obligation, to minimize breakage costs owing under Section 2.14. (e) The Borrower shall notify the Administrative Agent (and, in the case of prepayment of a Swingline Loan, the Swingline Lender) by telephone (confirmed by facsimile) of any prepayment hereunder (i) in the case of prepayment of a Term Benchmark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 prepaid and, in the case of a mandatory prepayment, a reasonably detailed calculation of the amount of such prepayment; provided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25"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prepayment of a Borrowing shall be applied ratably to the Loans included in the prepaid Borrowing. Prepayments shall be accompanied by accrued interest to the extent required by Section 2.11 and any break funding payments required by Section 2.14. (f) Notwithstanding any other provisions of Section 2.09(b) or (c), (A) to the extent that any of or all the Net Proceeds of any Prepayment Event by a Foreign Subsidiary giving rise to a prepayment pursuant to Section 2.09(b) (a “Foreign Prepayment Event”) or Excess Cash Flow attributable to a Foreign Subsidiary are prohibited, restricted or delayed by applicable local law (e.g., financial assistance, corporate benefit, thin capitalization, capital maintenance and similar legal principles, restrictions on upstreaming cash among the Borrower and its Subsidiaries and the fiduciary and statutory duties of the directors of the relevant Subsidiaries) from being repatriated to the Borrower, the portion of such Net Proceeds or Excess Cash Flow so affected will not be required to be applied to repay Term Loans or Other First Lien Debt at the times provided in Section 2.09(b) or (c), as the case may be, and such amounts may be retained by the applicable Foreign Subsidiary so long, but only so long, as the applicable local law will not permit repatriation to the Borrower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Net Proceeds or Excess Cash Flow will be promptly (and in any event not later than three Business Days after any repatriation of such amounts) applied (net of additional taxes payable or reserved against as a result thereof) to the repayment of the Term Loans and/or Other First Lien Debt pursuant to Section 2.09(b) or (c), as applicable, and (B) 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 (g) 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the Administrative Agent pursuant to Section 2.22) in an aggregate amount necessary to eliminate such excess. (h) Additionally, notwithstanding anything else in this Agreement to the contrary, in the event that any Term Loan of any Lender would otherwise be repaid or prepaid from the proceeds of other Term Loans being funded on the date of such repayment or prepayment, if agreed to by the Borrower and such Lender and notified to the Administrative Agent prior to the date of the applicable repayment or prepayment, all or any portion of such Lender’s Term Loan that would have otherwise been repaid or prepaid in connection therewith may be converted on a “cashless roll” basis into a new Term Loan of the applicable Class.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26"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2.10. Fees. (a) The Borrower agrees to pay to the Administrative Agent and the Lead Arrangers, for their own respective accounts and the account of each applicable Lender, fees in the amounts and at the times set forth in the Engagement Letter. Any upfront fees payable to a Term Lender in respect of its Term B-2 Loan shall be paid out of the proceeds of such Term Lender’s Term B-2 Loan as and when funded on the Second Amendment Effective Date or Third Amendment Effective Date, as applicable, and shall be treated (and reported) by the Borrower and such Term Lender as a reduction in issue price of the applicable Term B-2 Loans for U.S. federal, state and local income tax purposes. (b) The Borrower agrees to pay to the Administrative Agent for the account of each Revolving Lender a commitment fee, which shall accrue at the Commitment Fee Rate per annum on the average daily unused amount of the Revolving Commitment of such Lender during the Revolving Availability Period. Accrued commitment fees shall be payable in arrears on the fifteenth (15th) Business Day following the last day of March, June, September and December of each year and on the date on which the Revolving Commitments terminate, commencing on the first such date to occur after the First Amendment Effective Date. All commitment fees shall be computed on the basis of a year of 360 days and shall be payable for the actual number of days elapsed (including the first day and the last day of each period but excluding the date on which the Commitments terminate). For purposes of computing commitment fees, a Revolving Commitment of a Lender shall be deemed to be used to the extent of the outstanding Revolving Loans and LC Exposure of such Lender, but not to the extent of the outstanding Swingline Loans or Swingline Exposure of such Lender. (c) The Borrower agrees to pay (i) to the Administrative Agent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during the period from and including the First Amendment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amount then available to be drawn under such Letter of Credit during the period from and including the First Amendment Effective Date to and including the later of the date of termination of the Revolving Commitments and the date on which there ceases to be any LC Exposure with respect to Letters of Credit issued by such Issuing Bank, as well as such Issuing Bank’s standard fees with respect to the issuance, amendment, renewal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(15th) Business Day following such last day, commencing on the first such date to occur after the First Amendment Effective Date; provided that all such fees shall be payable on the date on which the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27"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Revolving Commitments terminate and any such fees accruing after the date on which the Revolving Commitments terminate shall be payable on demand. Any other fees payable to an Issuing Bank pursuant to this paragraph (c) shall be payable within 10 days after demand. All participation fees and fronting fees shall be computed on the basis of a year of 360 days and shall be payable for the actual number of days elapsed (including the first day but excluding the last day). (d) The Borrower agrees to pay to the Administrative Agent, for its own account, fees payable in the amounts and at the times separately agreed upon between the Borrower and the Administrative Agent. (e) Notwithstanding the foregoing, and subject to Section 2.21, the Borrower shall not be obligated to pay any amounts to any Defaulting Lender pursuant to this Section 2.10. Section 2.11. Interest. (a) The Loans comprising each ABR Borrowing (including each Swingline Loan) shall bear interest at the Alternate Base Rate plus the Applicable Rate. (b) The Loans comprising each Term Benchmark Borrowing shall bear interest at the Adjusted Term SOFR Rate for the Interest Period in effect for such Borrowing plus the Applicable Rate. (c)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2.11 or (ii) in the case of any other amount, 2.00% per annum plus the rate applicable to ABR Term Loans as provided in paragraph (a) of this Section; provided that no amount shall be payable pursuant to this Section 2.11(c) to a Defaulting Lender so long as such Lender shall be a Defaulting Lender; provided, further, that no amounts shall accrue pursuant to this Section 2.11(c) on any overdue amount, reimbursement obligation in respect of any LC Disbursement or other amount payable to a Defaulting Lender so long as such Lender shall be a Defaulting Lender. (d) Accrued interest on each Loan shall be payable in arrears on each Interest Payment Date for such Loan and, in the case of Revolving Loans, upon termination of the Revolving Commitments, provided that (i) interest accrued pursuant to paragraph (c) of this Section 2.11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28"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Term SOFR Rate shall be determined by the Administrative Agent, and such determination shall be conclusive absent manifest error. Section 2.12. Alternate Rate of Interest. (a) Subject to clauses (b), (c), (d), (e) and (f) of this Section 2.12: (i) 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for such Interest Period; or (ii) the Administrative Agent is advised by the Required Lenders that prior to the commencement of any Interest Period for a Term Benchmark Borrowing or the Adjusted Term SOFR Rate for such Interest Period will not adequately and fairly reflect the cost to such Lenders (or Lender) of making or maintaining their Loans (or its Loan) included in such Borrowing for such Interest Period; 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2.05 or a new Borrowing Request in accordance with the terms of Section 2.03,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an ABR Borrowing. Furthermore, if any Term Benchmark Loan is outstanding on the date of the Borrower’s receipt of the notice from the Administrative Agent referred to in this Section 2.12(a),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2.05 or a new Borrowing Request in accordance with the terms of Section 2.03, (1) any Term Benchmark Loan shall on the last day of the Interest Period applicable to such Loan (or the next succeeding Business Day if such day is not a Business Day), be converted by the Administrative Agent to, and shall constitute, an ABR Loan. (b) Notwithstanding anything to the contrary herein or in any other Loan Document (and any Swap Agreement shall be deemed not to be a “Loan Document” for purposes of this Section 2.12), if a Benchmark Transition Event and its related Benchmark Replacement Date have occurred prior to the Reference Time in respect of any setting of the then-current Benchmark, then (x) if a Benchmark Replacement is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29"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(c) Notwithstanding anything to the contrary herein or in any other Loan Document,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 (e)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administrator of such Benchmark or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30"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either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Section 2.12, (1) any Term Benchmark Loan shall on the last day of the Interest Period applicable to such Loan (or the next succeeding Business Day if such day is not a Business Day), be converted by the Administrative Agent to, and shall constitute, an ABR Loan. Section 2.13. Increased Costs. (a) If any Change in Law shall: (i) 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Term SOFR Rate); or (ii) impose on any Lender or any Issuing Bank or the applicable offshore interbank market any other condition, cost or expense affecting this Agreement or Loans made by such Lender or any Letter of Credit or participation therein (in each case, other than any (A) Excluded Taxes, (B) Indemnified Taxes or (C) Other Taxes); and the result of any of the foregoing shall be to increase the cost to such Lender of making or maintaining any Loan (or of maintaining its obligation to make any such Loan or to increase the cost of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31"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 to such Lender or Issuing Bank, as the case may be, such additional amount or amounts as will compensate such Lender or Issuing Bank, as the case may be, for such increased costs actually incurred or reduction actually suffered. (b)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 (c) A certificate of a Lender or an Issuing Bank setting forth the amount or amounts necessary to compensate such Lender or Issuing Bank or its holding company in reasonable detail, as the case may be, as specified in paragraph (a) or (b) of this Section 2.13 delivered to the Borrower shall be conclusive absent manifest error. The Borrower shall pay such Lender or Issuing Bank, as the case may be, the amount shown as due on any such certificate within 15 days after receipt thereof. (d) Failure or delay on the part of any Lender or Issuing Bank to demand compensation pursuant to this Section 2.13 shall not constitute a waiver of such Lender’s or Issuing Bank’s right to demand such compensation, provided that the Borrower shall not be required to compensate a Lender or Issuing Bank pursuant to this Section 2.13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provided, further, that, if the Change in Law giving rise to such increased costs or reductions is retroactive, then the 180-day period referred to above shall be extended to include the period of retroactive effect thereof. Section 2.14. Break Funding Payments.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2.09(e) and is revoked in accordance therewith), (iv) the assignment of any Term Benchmark Loan other than on the last day of the Interest Period applicable thereto as a result of a request by the Borrower pursuant to Section 2.17 or (v) the failure by the Borrower to make any payment of any Loan or drawing under any Letter of Credit (or interest due thereof) on its scheduled due date or any payment thereof in a different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32"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15 days after receipt thereof. This Section 2.14 shall not apply with respect to Taxes other than any Taxes arising from any non-Tax claim. Section 2.15. Taxes. (a) Any and all payments by or on account of any obligation of any Loan Party under any Loan Document shall be made free and clear of and without deduction or withholding for any Indemnified Taxes or Other Taxes, provided that if the applicable withholding agent shall be required by applicable Requirements of Law (as determined in the good faith discretion of the applicable withholding agent) to deduct any Indemnified Taxes or Other Taxes from such payments, then (i) the amount payable by the applicable Loan Party shall be increased as necessary so that after all required deductions have been made (including deductions applicable to additional amounts payable under this Section 2.15) the applicable Lender (or, in the case of any amount received by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 (b) Without limiting the provisions of paragraph (a) above, the Borrower shall timely pay any Other Taxes to the relevant Governmental Authority in accordance with Requirements of Law. (c) 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 (d) 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33"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Each Lender shall, at such times as are reasonably requested by Borrower or the Administrative Agent, provide Borrower and the Administrative Agent with any properly completed and executed documentation prescribed by applicable Requirements 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 Without limiting the generality of the foregoing: (i) 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 (ii) 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 (A) two duly completed copies of Internal Revenue Service Form W-8BEN or W-8BEN-E (or any successor forms) claiming eligibility for benefits of an income tax treaty to which the United States of America is a party, (B) two duly completed copies of Internal Revenue Service Form W-8ECI (or any successor forms), (C) in the case of a Lender claiming the benefits of the exemption for portfolio interest under Section 881(c) of the Code, (x) a certificate, in substantially the form of Exhibit P (any such certificate a “United States Tax Compliance Certificate”), or any other form approved by the Administrative Agent, to the effect that such Lender is not (1) a “bank” within the meaning of Section 881(c)(3)(A) of the Code, (2) a “10 percent shareholder” of a Borrower within the meaning of Section 881(c)(3)(B) of the Code, or (3) a “controlled foreign corporation” described in Section 881(c)(3)(C) of the Code, and that no payments in connection with the Loan Documents are effectively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34"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connected with such Lender’s conduct of a U.S. trade or business and (y) two duly completed copies of Internal Revenue Service Form W-8BEN or W-8BEN-E (or any successor forms), (D) 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or W-8BEN-E, United States Tax Compliance Certificate, Form W-9, Form W-8IMY (or other successor forms) or any other required information from each beneficial owner, as applicable (provided that, if the Lender is a partnership (and not a participating Lender) and one or more beneficial owners are claiming the portfolio interest exemption, the United States Tax Compliance Certificate shall be provided by such Lender on behalf of such beneficial owner(s)), or (E) 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 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 Agent (in such number of copies as shall be requested by the recipient) renewals, amendments or additional or successor forms, properly completed and duly executed by such Lender, together with any other certificate or statement of exemption (including any new documentation reasonably requested by the applicable withholding agent) required in order to confirm or establish such Lender’s status or that such Lender is entitled to an exemption from or reduction in U.S. federal withholding tax or (2) notify Administrative Agent and Borrower of its inability to deliver any such forms, certificates or other evidence. Notwithstanding any other provision of this clause (e), a Lender shall not be required to deliver any form that such Lender is not legally eligible to deliver. Each Lender hereby authorizes the Administrative Agent to deliver to the Loan Parties and to any successor Administrative Agent any documentation provided by such Lender to the Administrative Agent pursuant to this clause (e). (f) 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provided that (a) the Administrative Agent or such Lender determines in its reasonable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35"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The Administrative Agent or a Lender shall claim any refund of any Taxes for which indemnification has been demanded hereunder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provided that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(provided that the Administrative Agent or such Lender may delete any information therein that the Administrative Agent or such Lender deems confidential). Notwithstanding anything to the contrary, this Section 2.15 shall not be construed to require the Administrative Agent or any Lender to make available its tax returns (or any other information relating to taxes which it deems confidential). (g) The agreements in this Section 2.15 shall survive the termination of this Agreement and the payment of the Loans and all other amounts payable hereunder. (h) For purposes of this Section 2.15, the term “Lender” shall include any Issuing Bank and the Swingline Lender. Section 2.16. Payments Generally; Pro Rata Treatment; Sharing of Setoffs. (a) The Borrower shall make each payment or prepayment required to be made by it under any Loan Document (whether of principal, interest, fees or reimbursement of LC Disbursements, or of amounts payable under Section 2.13, 2.14 or 2.15, or otherwise) prior to the time expressly required hereunder or under such other Loan Document for such payment (or, if no such time is expressly required, prior to 2:00 p.m., New York City time), on the date when due or the date fixed for any prepayment hereunder,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36"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except payments to be made directly to any Issuing Bank or the Swingline Lender shall be made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In the case of any payment of principal pursuant to the preceding sentence, interest thereon shall be payable at the then applicable rate for the period of such extension. All payments under each Loan Document shall be made in dollars. (b) If at any time insufficient funds are received by and available to the Administrative Agent to pay fully all amounts of principal, unreimbursed LC Disbursements, interest and fees then due hereunder, such funds shall be applied first, towards payment of interest and fees then due hereunder, ratably among the parties entitled thereto in accordance with the amounts of interest and fees then due to such parties, and second, towards payment of principal and unreimbursed LC Disbursements then due hereunder, ratably among the parties entitled thereto in accordance with the amounts of principal and unreimbursed LC Disbursements then due to such parties. (c) If any Lender shall, by exercising any right of setoff or counterclaim or otherwise, obtain payment in respect of any principal of or interest on any Class of its Loans or participations in LC Disbursements or Swingline Loans resulting in such Lender receiving payment of a greater proportion of the aggregate amount of its Loans of such Class and participations in LC Disbursements and Swingline Loans and accrued interest thereon than the proportion received by any other Lender, then the Lender receiving such greater proportion shall purchase (for cash at face value) participations in the Loans of such Class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of such Class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(c)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37"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to such participation as fully as if such Lender were a direct creditor of the Borrower in the amount of such participation. (d) 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to the Administrative Agent pursuant to Section 2.09(b)), notice from the Borrower that the Borrower will not make such payment or prepayment,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Section 2.17. Mitigation Obligations; Replacement of Lenders. (a) 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2.13 or 2.15,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 (b) If (i) any Lender requests compensation under Section 2.13, (ii) the Borrower is required to pay any additional amount to any Lender or to any Governmental Authority for the account of any Lender pursuant to Section 2.15 or (iii) any Lender is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provided that (A) 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38"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 (D)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Section 2.18. Incremental Credit Extensions. (a) (i) At any time and from time to time after the First Amendment Effective Date, subject to the terms and conditions set forth herein, the Borrower may, by notice to the Administrative Agent (whereupon the Administrative Agent shall promptly make available such notice to each of the Lenders), request to effect one or more additional revolving credit facility tranches hereunder (or an increase of the Revolving Commitments hereunder) (“Incremental Revolving Facilities”) from Additional Revolving Lenders; provided that (A) at the time of each such request and upon the effectiveness of each Incremental Revolving Facility Amendment, no Default shall have occurred and be continuing or shall result therefrom (or, in the case of the incurrence or provision of any Incremental Revolving Facility in connection with a Limited Condition Acquisition, no Specified Event of Default shall have occurred and be continuing or shall result therefrom), (B) the Borrower shall have delivered a certificate of a Financial Officer certifying as to clause (A) above and setting forth the applicable clause(s) of the definition of “Incremental Cap” utilized for such Incremental Revolving Facility, together with, to the extent utilizing clause (b) of the definition of “Incremental Cap,” reasonably detailed calculations demonstrating compliance with such clause (b) (which calculations shall, if made as of the last day of any fiscal quarter of the Borrower for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39"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such Incremental Revolving Facility (x) shall be secured solely by Collateral on a pari passu basis with or junior basis to the Initial Revolving Loans (provided that to the extent such Incremental Revolving Facility is secured by junior Liens, the applicable parties shall have entered into the Junior Lien Intercreditor Agreement) or shall otherwise be unsecured and (y) shall not be guaranteed by any Persons other than Loan Parties, (D) except as set forth in clause (F) below, the interest rate margins, rate floors, fees, premiums and maturity applicable to any Incremental Revolving Facility shall be determined by the Borrower and the Additional Revolving Lenders providing such Incremental Revolving Facility, provided that no Incremental Revolving Facility shall mature prior to the Revolving Maturity Date or require any scheduled amortization or mandatory commitment reductions prior to the Revolving Maturity Date, (E) any Incremental Revolving Facility may be provided in any currency as mutually agreed among the Administrative Agent, the Borrower and the Additional Revolving Lenders, (F) in the case of an increase in the Revolving Commitments hereunder, the maturity date of such increase in the Revolving Commitment shall be the Revolving Maturity Date, such increase in the Revolving Commitment shall require no scheduled amortization or mandatory commitment reduction prior to the Revolving Maturity Date and shall be on the same terms governing the Revolving Commitments pursuant to this Agreement and (G) subject to the express requirements herein, any Incremental Revolving Facility Amendment shall be on the terms and pursuant to documentation to be determined by the Borrower and the Additional Revolving Lenders providing the applicable Incremental Revolving Facilities; provided that to the extent such terms and documentation are not consistent with this Agreement (except to the extent permitted by clause (D) or (E) above), they shall be reasonably satisfactory to the Administrative Agent; provided, further, that no Issuing Bank shall be required to act as “issuing bank” and no Swingline Lender shall be required to act as a “swingline lender” under any such Incremental Revolving Facility without its written consent. Each Incremental Revolving Facility shall be in a minimum principal amount of $10,000,000 and integral multiples of $1,000,000 in excess thereof; provided that such amount may be less than $10,000,000 if such amount represents all the remaining availability under the Incremental Cap. (ii) At any time and from time to time after the First Amendment Effective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or increases (so long as the interest rate margins, rate floors, fees, funding discounts and other terms of any such increase are identical to the Term Loans being increased) in the amount of Term Loans (“Incremental Term Facilities” and, together with any Incremental Revolving Facility, an “Incremental Facility”) from one or more Additional Term Lenders; provided that (A) at the time of each such request and upon the effectiveness of each Incremental Term Facility Amendment, no Default shall have occurred and be continuing or shall result therefrom (or, in the case of the incurrence or provision of any Incremental Term Facility in connection with a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40"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Limited Condition Acquisition, no Specified Event of Default shall have occurred and be continuing or shall result therefrom), (B) the Borrower shall have delivered a certificate of a Financial Officer certifying as to clause (A) above and setting forth the applicable clause(s) of the definition of Incremental Cap utilized for such Incremental Term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the maturity date of any Incremental Term Loans incurred pursuant to any Incremental Term Facility shall not be earlier than the Term Maturity Date and such Incremental Term Facility shall not have a Weighted Average Life to Maturity shorter than the Weighted Average Life to Maturity of the Term Loans); provided, that that this clause (C) shall not apply to any Incremental Term Facilities incurred in the form of Customary Bridge Loans (provided that any loans, notes securities or other debt which are exchanged for or otherwise replace such Customary Bridge Loans, if any, shall be subject to the requirements of this clause (C)) and/or in an aggregate principal amount outstanding that is not in excess of the then remaining capacity under the Inside Maturity Basket, (D) the All-In Yield for any term loans incurred pursuant to any Incremental Term Facility shall be determined by the Borrower and the Additional Term Lenders; provided that in the event that on or prior to the date this is six months after the First Amendment Effective Date in the case of floating rate term loans (other than Customary Bridge Loans (provided that any loans, notes securities or other debt which are exchanged for or otherwise replace such Customary Bridge Loans, if any, shall be subject to the requirements of this clause (D))) that are (w) secured by Liens on the Collateral on a pari passu basis with the Term B-2 Loans, (x) denominated in dollars and (y) broadly syndicated to banks and other institutional investors, if the All-In Yield for such term loans is greater than the All-In Yield for the Term B-2 Loans by more than 50 basis points, then the All-In Yield for the Term B-2 Loans shall be increased to the extent necessary so that the All-In Yield is equal to the All-In Yield for such term loans incurred pursuant to such Incremental Term Facility minus 50 basis points; provided, further, that, in determining the All-In Yield applicable to the term loans incurred pursuant to such Incremental Term Facility and the Term B-2 Loans (x) original issue discount (“OID”) or upfront fees (which shall be deemed to constitute like amounts of OID) payable by Borrower to the Term Lenders or any Additional Term Lenders in the initial primary syndication thereof shall be included (with OID being equated to interest based on assumed four-year life to maturity), (y) customary arrangement or commitment fees payable to the Lead Arrangers (or their respective affiliates) in connection with this Agreement or to one or more arrangers (or their affiliates) of any Incremental Term Facility shall be excluded and (z) if the Incremental Term Facility includes an interest rate floor greater than the interest rate floor applicable to the Term B-2 Loans, such differential in interest rate floors shall be equated to interest margin for purposes of determining whether an increase to the applicable interest margin for the Term B-2 Loans shall be required, but only to the extent an increase in the interest rate floor in the Term B-2 Loans would cause an increase in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41"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interest rate then in effect thereunder, and in such case the interest rate floor (but not the interest rate margin) applicable to the existing Term B-2 Loans shall be increased by such amount (not to exceed the extent of such differential between interest rate floors) as will result in the interest margin applicable to such Incremental Term Facility plus the interest rate floor applicable to such Incremental Term Facility being no greater than the interest rate floor (as so increased) plus the interest rate margin applicable to Term B-2 Loans minus 50 basis points; provided, further, that this clause (D) shall not apply to (1) any Incremental Term Facility that is incurred with a principal amount not in excess of the greater of $300,000,000 and 30% of Consolidated EBITDA calculated on a Pro Forma Basis for the most recently ended Test Period for which financial statements are available, (2) any Incremental Term Facility with a maturity date more than two (2) years after the maturity date of the Term B-2 Loans, or (3) any Incremental Term Facility incurred to finance a Permitted Acquisition, other similar Investment or New Project (this clause (D), the “MFN Protections”) , (E) the Incremental Term Loans incurred pursuant to any Incremental Term Facility (x) shall be secured solely by the Collateral on a pari passu basis with or junior basis to the Term B-2 Loans (provided that to the extent such Incremental Term Facility is secured by junior Liens the applicable parties shall have entered into the Junior Lien Intercreditor Agreement) or shall be unsecured and (y) shall not be guaranteed by any Persons other than Loan Parties, (F) any Incremental Term Facility may be provided in any currency as mutually agreed among the Administrative Agent, the Borrower and the Additional Term Lenders and (G) subject to the express requirements herein, any Incremental Term Facility Amendment shall be on the terms and pursuant to documentation to be determined by the Borrower and the Additional Term Lenders providing the applicable Incremental Term Facilities; provided that to the extent such terms and documentation are not consistent with this Agreement (except to the extent permitted by clause (D), (E) or (F) above), they shall be reasonably satisfactory to the Administrative Agent. Each Incremental Term Facility shall be in a minimum principal amount of $10,000,000 and integral multiples of $1,000,000 in excess thereof; provided that such amount may be less than $10,000,000 if such amount represents all the remaining availability under the Incremental Cap. (iii) Notwithstanding anything to the contrary herein, no Incremental Facility may be established or incurred under this Section 2.18 in an amount that would exceed the Incremental Cap at the time of such establishment or incurrence. Notwithstanding anything herein to the contrary, no existing Lender will be required to participate in any Incremental Revolving Facility or Incremental Term Facility without its consent. (b) (i) Each notice from the Borrower pursuant to this Section shall set forth the requested amount of the relevant Incremental Revolving Facility or Incremental Term Facility. (ii) Commitments in respect of any Incremental Revolving Facility shall become Commitments under this Agreement pursuant to an amendment (an “Incremental Revolving Facility Amendment”) to this Agreement and, as appropriate, the other Loan Documents, executed by the Borrower, the applicable Additional Revolving Lenders and the Administrative Agent. Incremental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42"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Subject to Section 1.08, in the case of an Incremental Revolving Facility incurred to finance a Limited Condition Acquisition, the effectiveness of any Incremental Revolving Facility Amendment shall, unless otherwise agreed to by the Administrative Agent and the Additional Revolving Lenders, be subject to the satisfaction on the date thereof (each, an “Incremental Revolving Facility Closing Date”) of each of the conditions set forth in Section 4.02 (it being understood that all references to “the date of such 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 (iii) Commitments in respect of any Incremental Term Facility shall become Commitments under this Agreement pursuant to an amendment (an “Incremental Term Facility Amendment”) to this Agreement and, as appropriate, 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 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Subject to Section 1.08 in the case of an Incremental Term Facility incurred to finance a Limited Condition Acquisition, the effectiveness of any Incremental Term Facility Amendment shall, unless otherwise agreed to by the Administrative Agent and the Additional Term Lenders, be subject to the satisfaction on the date thereof (each, an “Incremental Term Facility Closing Date”) of each of the conditions set forth in Section 4.02 (it being understood that all references to “the date of such Borrowing” (or other similar reference) in Section 4.02 shall be deemed to refer to the Incremental Term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43"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resulting from a change in law, change in fact or change to counsel’s form of opinion reasonably satisfactory to the Administrative Agent). (c) (i) Upon each increase in the Revolving Commitments pursuant to this Section, each Revolving Lender immediately prior to such increase will automatically and without further act be deemed to have assigned to each Additional Revolving Lender providing a portion of such increase (each a “Revolving Commitment Increase Lender”), and each such Revolving Commitment Increase Lender will automatically and without further act be deemed to have assumed, a portion of such Revolving Lender's participations hereunder in outstanding Letters of Credit such that, after giving effect to such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 If, on the date of such increase, there are any Revolving Loans outstanding, such Revolving Loans shall, upon the effectiveness of the applicable Incremental Revolving Facility, be prepaid from the proceeds of Revolving Loans made under such Incremental Revolving Facility so that Revolving Loans are thereafter held by the Revolving Lenders according to their Applicable Percentage (after giving effect to the increase in Revolving Commitments), which prepayment shall be accompanied by accrued interest on the Revolving Loans being prepaid and any costs incurred by any Revolving Lender in accordance with Section 2.13. The Administrative Agent and the Lenders hereby agree that the minimum borrowing, pro rata borrowing, pro rata payment requirements and notice requirements contained elsewhere in this Agreement shall not apply to the transactions effected pursuant to the immediately preceding sentence. (d) 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 such term loan shall be a “Term Loan” for all purposes of this Agreement and the other Loan Documents. (e) This Section 2.18 shall supersede any provisions in Section 2.16 or Section 9.02 to the contrary. Section 2.19. Refinancing Amendments; Maturity Extension. (a) At any time after the First Amendment Effective Date, the Borrower may obtain, from any Lender or any Additional Lender, Credit Agreement Refinancing Indebtedness in respect of (a) all or any portion of the Term Loans (which for purposes of this sentence will be deemed to include any Incremental Term Loans or Other Term Loans) or (b) all or any portion of the Revolving Loans (or unused Revolving Commitments) then outstanding under this Agreement (which for purposes of this clause (b) will be deemed to include any then outstanding loans under any Incremental Revolving Facility, Incremental Revolving Commitments, Other Revolving Loans and Other Revolving Commitments), in the form of (x) Other Term Loans or Other Term Commitments or (y) Other Revolving Loans or Other Revolving Commitments, as the case may be, in each case pursuant to a Refinancing Amendment; provided that such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44"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Refinancing Indebtedness (i) may be secured by Liens on the Collateral on a pari passu or junior basis with respect to the Liens on the Collateral securing the other Loans and Commitments hereunder (provided that to the extent such term loans are secured by junior Liens the applicable parties shall have entered into a Junior Lien Intercreditor Agreement), (ii) will have such pricing and optional prepayment terms as may be agreed by the Borrower and the Lenders thereof (provided that such Credit Agreement Refinancing Indebtedness may participate on a pro rata basis or on a less than pro rata basis (but not on a greater than pro rata basis) in any voluntary or mandatory prepayments hereunder, as specified in the applicable Refinancing Amendment), (iii) (x) with respect to 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maturity date of, and will have a Weighted Average Life to Maturity that is not shorter than, the Term Loans being refinanced; provided that this clause (y) shall not apply to Indebtedness incurred in the form of Customary Bridge Loans (provided that any loans, notes securities or other debt which are exchanged for or otherwise replace such Customary Bridge Loans, if any, shall be subject to the requirements of this clause (y)) and/or Indebtedness in an aggregate principal amount outstanding that is not in excess of the then remaining capacity under the Inside Maturity Basket, (iv) the proceeds of such Credit Agreement Refinancing Indebtedness shall be applied, substantially concurrently with the incurrence thereof, to the prepayment of outstanding Term Loans or reduction of the Revolving Commitments, the Other Revolving Commitments or the commitments under the Incremental Revolving Facility being so refinanced and (v) subject to clause (ii) above, will have terms and conditions that are substantially identical to, or less favorable (taken as a whole) to the investors providing such Credit Agreement Refinancing Indebtedness than, the Refinanced Debt; provided, further,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provided, further, that in no event shall such Credit Agreement Refinancing Indebtedness be subject to the MFN Protections. 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 Each Class of Credit Agreement Refinancing Indebtedness incurred under this Section 2.19 shall be in an aggregate principal amount that is (x) not less than $25,000,000 in the case of Other Term Loans or $5,000,000 in the case of Other Revolving Loans and (y) an integral multiple of $1,000,000 in excess thereof in each case.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45"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Commitments; provided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Revolving Loans,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provided, however,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(b) At any time after the First Amendment Effective Date, the Borrower and any Lender may agree, by notice to the Administrative Agent (each such notice, an “Extension Notice”), to extend the maturity date of such Lender’s Revolving Commitments and/or Term Loans to the extended maturity date specified in such Extension Notice. (c) This Section 2.19 shall supersede any provisions in Section 2.16 or Section 9.02 to the contrary. Section 2.20. [Reserved]. Section 2.21. Defaulting Lenders. Notwithstanding any provision of this Agreement to the contrary, if any Lender becomes a Defaulting Lender, then the following provisions shall apply for so long as such Lender is a Defaulting Lender: (a) fees shall cease to accrue on the unfunded portion of the Revolving Commitment of such Defaulting Lender pursuant to Section 2.10(b) (it being understood, for the avoidance of doubt, that the Borrower shall have no obligation to retroactively pay such fees after such Lender ceases to be a Defaulting Lender); (b) the Revolving Commitment and Revolving Exposure of such Defaulting Lender shall not be included in determining whether the Required Lenders or the Majority in Interest have taken or may take any action hereunder (including any consent to any amendment, waiver or other modification pursuant to Section 9.02); provided that this clause (b) shall not apply to the vote of a Defaulting Lender in the case of an 122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46"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waiver or other modification requiring the consent of such Lender or each Lender affected thereby; (c) 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Article 8 shall be applied at such time or times as may be determined by the Administrative Agent as follows: first, to the payment of any amounts owing by such Defaulting Lender to the Administrative Agent hereunder; second, as the Borrower may request (so long as no Default or Event of Default exists), to the funding of any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provided that if such payment is a payment of the principal amount of any Loans or LC Disbursements in respect of which such Defaulting Lender has not fully funded its appropriate share, such payment shall be applied solely to pay the Loans of, and LC Disbursements owed to, all non-Defaulting Lenders on a pro rata basis prior to being applied to the payment of any Loans of, or LC Disbursements owed to, such Defaulting Lender until such time as all Loans are held by the Lenders pro rata in accordance with the Revolving Commitments. Any payments, prepayments or other amounts paid or payable to a Defaulting Lender that are applied (or held) to pay amounts owed by a Defaulting Lender or to post cash collateral pursuant to this Section 2.21(c) shall be deemed paid to and redirected by such Defaulting Lender, and each Lender irrevocably consents hereto; (d) if any Swingline Exposure or LC Exposure exists at the time such Lender becomes a Defaulting Lender then: (i) all or any part of the Swingline Exposure and LC Exposure of such Defaulting Lender shall be reallocated among the non-Defaulting Lenders in accordance with their respective Applicable Percentage but only to the extent the sum of all non-Defaulting Lenders’ Revolving Exposure plus such Defaulting Lender’s LC Exposure does not exceed the total of all non-Defaulting Lenders’ Revolving Commitments; provided that each such reallocation shall be given effect only if, at the date the applicable Lender becomes a Defaulting Lender, no Default or Event of Default exists; (ii) if the reallocation described in clause (i) above cannot, or can only partially, be effected, the Borrower shall, without prejudice to any right or remedy 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47"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available to it hereunder or under law, within one Business Day following notice by the Administrative Agent (x) first, prepay such Swingline Exposure and (y) second, cash collateralize for the benefit of the applicable Issuing Bank only the Borrower’s obligations corresponding to such Defaulting Lender’s LC Exposure (after giving effect to any partial reallocation pursuant to clause (i) above) in accordance with the procedures set forth in Section 2.22 for so long as such LC Exposure is outstanding; (iii) if the Borrower cash collateralizes any portion of such Defaulting Lender’s LC Exposure pursuant to clause (ii) above, the Borrower shall not be required to pay any fees to such Defaulting Lender pursuant to Section 2.10(c) with respect to such Defaulting Lender’s LC Exposure during the period such Defaulting Lender’s LC Exposure is cash collateralized; (iv) if the LC Exposure of the non-Defaulting Lenders is reallocated pursuant to clause (i) above, then the fees payable to the Lenders pursuant to Section 2.10(b) and Section 2.10(c) shall be adjusted in accordance with such non-Defaulting Lenders’ Applicable Percentages; and (v) if all or any portion of such Defaulting Lender’s LC Exposure is neither reallocated nor cash collateralized pursuant to clause (i) or (ii) above, then, without prejudice to any rights or remedies of any Issuing Bank or any other Lender hereunder, all fees payable under Section 2.10(c) with respect to such Defaulting Lender’s LC Exposure shall be payable to the applicable Issuing Bank until and to the extent that such LC Exposure is reallocated and/or cash collateralized; and (e) so long as such Lender is a Defaulting Lender, no Swingline Lenders shall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2.21(d), and participating interests in any newly made Swingline Loan or newly issued or increased Letter of Credit shall be allocated among non-Defaulting Lenders in a manner consistent with Section 2.21(d)(i) (and such Defaulting Lender shall not participate therein). If (i) a Bankruptcy Event with respect to a Lender Parent of any Lender shall occur following the Closing Date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Swingline Lenders or the Issuing Banks, as the case may be, shall have entered into arrangements with the Borrower or such Lender, satisfactory to the applicable Issuing Bank to defease any risk to it in respect of such Lender hereunder. In the event that the Administrative Agent, the Borrower, each Swingline Lender and each Issuing Bank each agrees that a Defaulting Lender has adequately remedied all matters that caused such Lender to be a Defaulting Lender, then the Swingline Exposure and LC Exposure of the Lenders shall be readjusted to reflect the inclusion of such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48"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Applicable Percentage. Section 2.22. Letters of Credit. (a) LC Commitment. (i) Subject to the terms and conditions hereof, each Issuing Bank, in reliance on (among other things) the agreements of the other Revolving Lenders set forth in Section 2.22(c), agrees to issue standby letters of credit denominated in dollars (“Letters of Credit”) for the account of the Borrower (or for the account of any Subsidiary so long as the Borrower and such Subsidiary are co-applicants in respect of such Letter of Credit) on any Business Day during the Revolving Availability Period in such form as may be approved from time to time by such Issuing Bank; provided that such Issuing Bank shall have no obligation to issue any Letter of Credit if, after giving effect to such issuance, (i) (x)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its LC Commitment; provided that, upon the request of the Borrower, any Issuing Bank may agree, in its sole discretion, to issue Letters of Credit in excess of such Issuing Bank’s LC Commitment, and the Revolving Lenders shall be obligated to participate in any such Letter of Credit, so long as the LC Exposure does not exceed the Letter of Credit Sublimit and the aggregate Revolving Exposure of all Lenders does not exceed the total LC Commitments, (ii) the LC Exposure shall not exceed the total LC Commitments, (iii) no Lender’s Revolving Exposure shall exceed its Commitment. Each Letter of Credit shall, except as provided in Section 2.22(a)(ii) below, expire no later than the earlier of (A) the first anniversary of its date of issuance and (B) the date that is five Business Days prior to the Revolving Maturity Date; provided that any Letter of Credit with a one-year term may provide for the renewal thereof for additional one-year periods (which shall in no event extend beyond the date referred to in clause (B) above, except as provided in Section 2.22(a)(ii) below). (ii) If requested by the Borrower and if the applicable Issuing Bank agrees, such Issuing Bank may issue one or more Letters of Credit hereunder, with expiry dates that would occur after the fifth Business Day prior to the Revolving Maturity Date, based upon the Borrower’s agreement to cash collateralize the LC Exposure in accordance with Section 2.22(h). If the Borrower fails to cash collateralize the outstanding LC Exposure in accordance with the requirements of Section 2.22(h), each outstanding Letter of Credit shall automatically be deemed to be drawn in full on such date and the reimbursement obligations of the Borrower set forth in Section 2.22(d) shall be deemed to apply and shall be construed such that the reimbursement obligation is to provide cash collateral in accordance with the requirements of Section 2.22(h). (iii) The Borrower shall grant to the Administrative Agent for the benefit of the Issuing Banks and the Lenders, pursuant to a collateral agreement, a security interest in all cash, deposit accounts and all balances therein and all proceeds of the foregoing as required to be deposited pursuant to Section 2.22(a)(ii)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49"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Section 2.22(h). Cash collateral shall be maintained in blocked, interest bearing deposit accounts at the Administrative Agent (or any affiliate thereof) (the “LC Cash Collateral Account”). All interest on such cash collateral shall be paid to the Borrower upon the Borrower’s request, provided that such interest shall first be applied to all outstanding LC Exposure at such time and the balance shall be distributed to the Borrower. (iv) No Issuing Bank shall at any time be obligated to issue any Letter of Credit if such issuance would conflict with, or cause such Issuing Bank or any LC Participant to exceed any limits imposed by, any applicable Requirement of Law. An Issuing Bank shall not be under any obligation to issue any Letter of Credit if: (i)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 or (ii) the issuance of such Letter of Credit would violate one or more policies of such Issuing Bank applicable to letters of credit generally. (b) Procedure for Issuance of Letter of Credit. The Borrower may from time to time request that an Issuing Bank issue a Letter of Credit by delivering to such Issuing Bank at its address for notices specified herein an Application therefor, completed to the satisfaction of such Issuing Bank, and such other certificates, documents and other papers and information as such Issuing Bank may reasonably request. Upon receipt of any Application, such Issuing Bank will process such Application and the certificates, documents and other papers and information delivered to it in connection therewith in accordance with its customary procedures and shall promptly issue the Letter of Credit requested thereby (but in no event shall such Issuing Bank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such Issuing Bank and the Borrower. Such Issuing Bank shall furnish a copy of such Letter of Credit to the Borrower promptly following the issuance thereof. Such Issuing Bank shall promptly furnish to the Administrative Agent, which shall in turn promptly furnish to the Lenders, notice of the issuance of each Letter of Credit (including the amount thereof). (c) LC Participation. (i) Each Issuing Bank irrevocably agrees to grant and hereby grants to each LC Participant, and, to induce each Issuing Bank to issue Letters of Credit, each LC Participant irrevocably agrees to accept and purchase and hereby accepts 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50"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purchases from each Issuing Bank, on the terms and conditions set forth below, for such LC Participant’s own account and risk a participation in such Letter of Credit equal to such LC Participant’s Applicable Percentage in the aggregate amount available to be drawn under such Letter of Credit. Each LC Participant agrees with each Issuing Bank that, if a drawing is paid under any Letter of Credit for which such Issuing Bank is not reimbursed in full by the Borrower in accordance with the terms of this Agreement (or in the event that any reimbursement received by such Issuing Bank shall be required to be returned by it at any time), such LC Participant shall pay to such Issuing Bank upon demand at such Issuing Bank’s address for notices specified herein an amount equal to such LC Participant’s Applicable Percentage of the amount that is not so reimbursed (or is so returned). Each LC Participant’s obligation to pay such amount shall be absolute and unconditional and shall not be affected by any circumstance, including (A) any setoff, counterclaim, recoupment, defense or other right that such LC Participant may have against such Issuing Bank, the Borrower or any other Person for any reason whatsoever, (B) the occurrence or continuance of a Default or an Event of Default or the failure to satisfy any of the other conditions specified in Section 4.02, (C) any adverse change in the condition (financial or otherwise) of the Borrower, (D) any breach of this Agreement or any other Loan Document by the Borrower, any other Loan Party or any other LC Participant or (E) any other circumstance, happening or event whatsoever, whether or not similar to any of the foregoing. (ii) If any amount required to be paid by any LC Participant to any Issuing Bank pursuant to Section 2.22(c) in respect of any unreimbursed portion of any payment made by such Issuing Bank under such Letter of Credit is paid to such Issuing Bank within three Business Days after the date such payment is due, such LC Participant shall pay to such Issuing Bank on demand an amount equal to the product of (A) such amount, times (B) the daily average Federal Funds Effective Rate during the period from and including the date such payment is required to the date on which such payment is immediately available to such Issuing Bank, times (C) a fraction the numerator of which is the number of days that elapse during such period (including the first day but excluding the last day) and the denominator of which is 360. If any such amount required to be paid by any LC Participant pursuant to Section 2.22(c) is not made available to such Issuing Bank by such LC Participant within three Business Days after the date such payment is due, such Issuing Bank shall be entitled to recover from such LC Participant, on demand, such amount with interest thereon calculated from such due date at the Applicable Rate to ABR Revolving Loans. A certificate of the applicable Issuing Bank submitted to any LC Participant with respect to any amounts owing under this Section shall be conclusive in the absence of manifest error. (iii) Whenever, at any time after the applicable Issuing Bank has made payment under any Letter of Credit and has received from any LC Participant its pro rata share of such payment in accordance with Section 2.22(c), such Issuing Bank receives any payment related to such Letter of Credit (whether directly from the Borrower or otherwise, including proceeds of collateral applied thereto by such Issuing Bank), or any payment of interest on account thereof, such Issuing Bank will distribute to such LC Participant its pro rata share thereof; provided, however, that in the event that any such payment received by such Issuing Bank shall be required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51"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be returned by such Issuing Bank, such LC Participant shall return to such Issuing Bank the portion thereof previously distributed by such Issuing Bank to it. (d) Reimbursement Obligations of the Borrower. If any drawing is paid under any Letter of Credit, the Borrower shall reimburse the applicable Issuing Bank for the amount of (x) the drawing so paid and (y) any taxes, fees, charges or other costs or expenses incurred by such Issuing Bank in connection with such payment, not later than 12:00 Noon, New York City time, on the Business Day immediately following the day that the Borrower receives such notice from the relevant Issuing Bank. Each such payment shall be made to such Issuing Bank at its address for notices referred to herein in dollars and in immediately available funds. Interest shall be payable on any such amounts from the date on which the relevant drawing is paid until payment in full at the rate set forth in (x) until the Business Day next succeeding the date of the relevant notice, Section 2.11(b) and (y) thereafter, Section 2.11(c). (e) Obligations Absolute. The Borrower’s obligations under this Section 2.22(e) shall be absolute, unconditional and irrevocable under any and all circumstances and irrespective of any setoff, counterclaim or defense to payment that the Borrower may have or have had against any Issuing Bank, any beneficiary of a Letter of Credit or any other Person. The Borrower also agrees with the Issuing Banks that no Issuing Bank shall be responsible for, and the Borrower’s Reimbursement Obligations under this Section 2.22(e)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payment by the applicable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Borrower’s obligations hereunder. No Issuing Bank shall be liable for any error, omission, interruption or delay in transmission, dispatch or delivery of any message or advice, however transmitted, in connection with any Letter of Credit, except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errors or omissions found by a final and nonappealable decision of a court of competent jurisdiction to have resulted from the gross negligence or willful misconduct of such Issuing Bank. The Borrower agrees that any action taken or omitted by an Issuing Bank under or in connection with any Letter of Credit or the related drafts or documents, if done in the absence of gross negligence or willful misconduct, shall be binding on the Borrower and shall not result in any liability of such Issuing Bank to the Borrower; provided, however, that in no event shall any Issuing Bank have any liability to any other Person for indirect, special, incidental, consequential or punitive damages (as opposed to direct or actual damages).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52"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Letters of Credit Payment. If any draft shall be presented for payment under any Letter of Credit, the applicable Issuing Bank shall promptly notify the Borrower of the date and amount thereof. The responsibility of the applicable Issuing Bank to the Borrower in connection with any compliant drawing presented for payment under any Letter of Credit shall, in addition to any payment obligation expressly provided for in such Letter of Credit, be limited to determining that the documents (including each drawing) delivered under such Letter of Credit in connection with such presentment are substantially in conformity with such Letter of Credit. (g) Applications. To the extent that any provision of any Application or other agreement submitted by the Borrower to, or entered into by the Borrower with, the applicable Issuing Bank related to any Letter of Credit is inconsistent with the provisions of this Agreement, the provisions of this Agreement shall apply. (h) Action in Respect of Letters of Credit. (i) Not later than the date that is ten (10) Business Days prior to the Revolving Maturity Date, or at any time after the Revolving Maturity Date when the aggregate funds on deposit in the LC Cash Collateral Account shall be less than the amounts required herein, the Borrower shall pay to the Administrative Agent in immediately available funds, at the Administrative Agent’s office referred to in Section 9.01, for deposit in the LC Cash Collateral Account described in Section 2.22(a)(ii), the amount required so that, after such payment, the aggregate funds on deposit in the LC Cash Collateral Account are not less than 103% of the sum of all outstanding LC Exposure with an expiration date beyond the Revolving Maturity Date. (ii) The Administrative Agent may, from time to time after funds are deposited in any LC Cash Collateral Account, apply funds then held in such LC Cash Collateral Account to the payment of any amounts, in accordance with the terms herein, as shall have become or shall become due and payable by the Borrower to the Issuing Banks or Lenders in respect of the LC Exposure. The Administrative Agent shall promptly give written notice of any such application; provided, however, that the failure to give such written notice shall not invalidate any such application. (i) Designation of Additional Issuing Banks. The Borrower may, at any time and from time to time, designate as additional Issuing Banks one or more Revolving Lenders that agree, in their sole discretion,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53"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 Termination of an Issuing Bank. The Borrower may terminate the appointment of any 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delivery thereof; provided that no such termination shall become effective unless and until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2.10(c).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 (k) Resignation of the Issuing Banks. Any Issuing Bank may resign at any time by giving 30 days’ prior notice to the Administrative Agent and the Borrower. At the time any such resignation shall become effective, the Borrower shall pay all unpaid fees accrued for the account of the terminated Issuing Bank pursuant to Section 2.10(c). Notwithstanding the effectiveness of any such resignation, the retiring Issuing Bank shall remain a party hereto and shall continue to have all the rights of an Issuing Bank under this Agreement with respect to Letters of Credit issued by it prior to such resignation, but shall not be required to issue additional Letters of Credit or to extend, reinstate, or increase any existing Letter of Credit. (l) 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currency and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Section 2.23. Swingline Loans. (a) Swingline Loans. Subject to the terms and conditions set forth herein, the Swingline Lender, in reliance on the agreements of the Revolving Lenders set forth in this Section, agrees to make Swingline Loans denominated in dollars to the Borrower 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54"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from time to time on any Business Day during the Revolving Availability Period, in an aggregate principal amount at any time outstanding that will not result in (i) unless otherwise agreed by the Swingline Lender in its sole discretion from time to time, the aggregate principal amount of outstanding Swingline Loans, when aggregated with the aggregate principal amount of Revolving Loans made by the Lender acting as Swingline Lender, exceeding such Lender’s Revolving Commitment, (ii) the sum of the total Revolving Exposures exceeding the Total Revolving Commitment or (iii) the aggregate principal amount of outstanding Swingline Loans of the Swingline Lender exceeding its Swingline Commitment; provided, further, that the Swingline Lender shall not be required to make a Swingline Loan to refinance an outstanding Swingline Loan. Within the foregoing limits and subject to the terms and conditions set forth herein, the Borrower may borrow, prepay and reborrow Swingline Loans. (b) Borrowing Procedures for Swingline Loans. Each Borrowing of Swingline Loans shall be made upon the Borrower’s notice to the Swingline Lender and the Administrative Agent. Each such notice shall be given by telephone to the Swingline Lender and the Administrative Agent not later than 2:00 p.m., New York City time, on the date of the requested Borrowing of Swingline Loan, and such notice shall specify (i) the amount to be borrowed, which shall be in a minimum of $100,000 or a larger multiple of $100,000, (ii) the date of such Borrowing of Swingline Loans (which shall be a Business Day), (iii) (other than in the case of Swingline Loans requested to finance the reimbursement of an LC Disbursement, in which case Section 2.03(vi) shall apply)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2.04 and (iv) shall otherwise contain the information required for Borrowing Requests set forth in Section 2.03. Each such telephonic Borrowing Request shall be irrevocable and shall be confirmed promptly by hand delivery or facsimile to the Administrative Agent and the Swingline Lender of a written Borrowing Request signed by the Borrower. Subject to the terms and conditions set forth herein, such Swingline Lender shall make each Swingline Loan available to the Borrower by credit to the Borrower’s account with such Swingline Lender or by wire transfer in accordance with instructions provided to (and reasonably acceptable to) such Swingline Lender (or, in the case of a Swingline Loan made to finance the reimbursement of an LC Disbursement as provided in Section 2.22(d), by remittance to the respective Issuing Bank), not later than 3:00 p.m., New York City time, on the requested date of such Swingline Loan. (c) Participations by Lenders in Swingline Loans. (i) Immediately upon the making of a Swingline Loan by a Swingline Lender, and without any further action on the part of such Swingline Lender or the Revolving Lenders, such Swingline Lender hereby grants to each Revolving Lender, and each Revolving Lender hereby acquires from such Swingline Lender, a participation in such Swingline Loan equal to such Revolving Lender’s Applicable Percentage of the amount of such Swingline Loan. Each Revolving Lender hereby absolutely, unconditionally and irrevocably agrees to pay to the Administrative Agent, for account of the Swingline Lender, such Revolving Lender’s Applicable Percentage of such Swingline Loan or Loans. Each Revolving Lender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55"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acknowledges and agrees that its obligation to acquire and fund participations in Swingline Loans pursuant to this paragraph is absolute, unconditional and irrevocable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and timing as provided in Section 2.04 with respect to Loans made by such Revolving Lender (with references to 12:00 noon, New York City time, in such Section being deemed to be references to 3:00 p.m., New York City time) (and Section 2.04 shall apply, mutatis mutandis, to the payment obligations of the Revolving Lenders pursuant to this paragraph), and the Administrative Agent shall promptly remit to the Swingline Lender the amounts so received by it from the Revolving Lenders. (ii) The Administrative Agent shall notify the Borrower of any participations in any Swingline Loan funded pursuant to the preceding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made by such Swingline Lender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the preceding paragraph and to such Swingline Lender, as their interests may appear, provided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 (iii) If any Revolving Lender fails to make available to the Administrative Agent for the account of the Swingline Lender any amount required to be paid by such Revolving Lender pursuant to the foregoing provisions of this Section 2.23 (including by the time referred to in Section 2.23(c)(i)), the Swingline Lender shall be entitled to recover from such Revolving Lender (acting through the Administrative Agent), on demand, an amount equal to the product of (A) such amount, times (B) the daily average Federal Funds Effective Rate during the period from and including the date such payment is required to the date on which such payment is immediately available to the Swingline Lender, times (C) a fraction the numerator of which is the number of days that elapse during such period (including the first day but excluding the last day) and the denominator of which is 360. If any such amount required to be paid by any Revolving Lender pursuant to this Section 2.23 is not made available to the Swingline Lender by such Revolving Lender within three Business Days after the date such payment is due, the Swingline Lender shall be entitled to recover from such Revolving Lender, on demand, such amount with interest thereon calculated from such due date at the Applicable Rate to ABR Revolving Loans. A certificate of the Swingline Lender submitted to any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56"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Revolving Lender (through the Administrative Agent) with respect to any amounts owing under this clause (iii) shall be conclusive absent manifest error. (d) Resignation of Swingline Lender. Any Swingline Lender may resign at any time by giving 30 days’ prior notice to the Administrative Agent, the Lenders and the Borrower. After the resignation of a Swingline Lender hereunder, the retiring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 ARTICLE 3 REPRESENTATIONS AND WARRANTIES Each of Holdings and the Borrower represents and warrants to the Administrative Agent and each of the Lenders that: Section 3.01. Organization; Powers. Each of Holdings, the Borrower and the Restricted Subsidiaries is duly organized, validly existing and in good standing (to the extent such concept exists in the relevant jurisdictions) under the laws of the jurisdiction of its organization, has the corporate or other organizational power and authority to carry 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 business in, and is in good standing in, every jurisdiction where such qualification is required. Section 3.02. Authorization; Enforceability. The Transactions to be entered into by each Loan Party have been duly authorized by all necessary corporate or other action and, if required, action by the holders of such Loan Party’s Equity Interests.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Section 3.03. Governmental Approvals; No Conflicts. The Transactions (a) do not require any consent or approval of, registration or filing with, or any other action by, any Governmental Authority or Regulatory Supervising Organization, except such as have been obtained or made and are in full force and effect and except filings necessary to perfect Liens created under the Loan Documents, (b) will not violate (i) the Organizational 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57"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 Section 3.04. Financial Condition; No Material Adverse Effect. (a) The Financial Statements (i) were prepared in accordance with GAAP consistently applied throughout the periods covered thereby, except as otherwise expressly noted therein and (ii) fairly present the financial condition of Holdings and its consolidated Subsidiaries as of the date thereof and their results of operations for the periods covered thereby in accordance with GAAP consistently applied throughout the periods covered thereby, except, in the case of the Unaudited Financial Statements, for the absence of notes and for normal year-end adjustments and except as otherwise expressly noted therein. (b) Since December 31, 2020, there has been no Material Adverse Effect. Section 3.05. Properties. (a) Each of Holdings, the Borrower and the Restricted Subsidiaries has good title to, or valid leasehold interests in, all its real and personal property material to its business, if any (including the Mortgaged Properties), (i) free and clear of all Liens except for Liens permitted by Section 6.02 and (ii) except for defects in title that do not 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 (b) As of the First Amendment Effective Date, after giving effect to the Transactions to be consummated on or prior to the First Amendment Effective Date, none of Holdings, the Borrower or any Restricted Subsidiary owns any real property with a fair market value in excess of $10,000,000. Section 3.06. Litigation and Environmental Matters. (a) Except for routine examinations conducted by a Regulatory Supervising Organization or Governmental Authority in the ordinary course of the business of the Borrower and its Subsidiaries, there is no claim, action, suit, investigation or proceeding pending against, or, to the knowledge of Holdings or the Borrower, threatened in writing against or affecting (i) Holdings, the Borrower or any Restricted Subsidiary or (ii) any officer, director or key employee of Holdings, the Borrower or any Restricted Subsidiary in their respective capacities in such positions, in each case, before (or, in the case of material threatened claims, actions, suits, investigations or proceedings, would be before) 134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58"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by any Governmental Authority, Regulatory Supervising Organization or arbitrator that could reasonably be expected, individually or in the aggregate, to result in a Material Adverse Effect. (b) 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 Section 3.07. Compliance with Laws and Agreements. Each of Holdings, the Borrower and its Restricted Subsidiaries is in compliance with (i) its Organizational Documents, (ii) all Requirements of Law applicable to it or its property and (iii) all indentures and other agreements and instruments binding upon it or its property, except, in the case of clauses (ii) and (iii) of this Section, where the failure to do so, individually or in the aggregate, could not reasonably be expected to result in a Material Adverse Effect. Section 3.08. Investment Company Status. No Loan Party is required to be registered as an “investment company” within the meaning of the Investment Company Act of 1940, as amended from time to time. Section 3.09. Taxes. Except as could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provided that Holdings, the Borrower or such Subsidiary, as the case may be, has set aside on its books adequate reserves therefor in accordance with GAAP. There are no audits, assessments, claims or other Tax proceedings against Holdings, the Borrower or any Restricted Subsidiary that could, individually or in the aggregate, reasonably be expected to have a Material Adverse Effect. Section 3.10. ERISA. (a) Except as could not, individually or in the aggregate, reasonably be expected to result in a Material Adverse Effect, each Plan is in compliance with the applicable provisions of ERISA, the Code and other federal or state laws. (b) Except as could not reasonably be expected, individually or in the aggregate, to result in a Material Adverse Effect, (i) no ERISA Event has occurred or is reasonably expected to occur, (ii) neither the Borrower nor any ERISA Affiliate has 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59"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incurred, or reasonably expects to incur, any liability under Title IV of ERISA with respect to any Plan (other than premiums due and not delinquent under Section 4007 of ERISA), (iii)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the Borrower nor any ERISA Affiliate has engaged in a transaction that could be subject to Section 4069 or 4212(c) of ERISA. Section 3.11. Disclosure. (a) Neither (i) the Information Materials as of the First Amendment Effective Date nor (ii)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provided that, with 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First Amendment Effective Date in connection with the transactions consummated on the First Amendment Effective Date, as of the First Amendment Effective Date, it being understood that any such projected financial information may vary from actual results and such variations could be material. (b) If the Borrower has provided a Beneficial Ownership Certification to any Lender in connection with this Agreement on or prior to the First Amendment Effective Date, as of the First Amendment Effective Date, to the best knowledge of the Borrower, the information included in such Beneficial Ownership Certification is true and correct in all respects. Section 3.12. Subsidiaries. As of the First Amendment Effective Date, Schedule 3.12 sets forth the name of, and the ownership interest of Holdings, the Borrower and each Subsidiary in, each Subsidiary. Section 3.13. Intellectual Property; Licenses, Etc. Each of Holdings, the Borrower and the Restricted Subsidiaries owns, licenses or 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 to have a Material Adverse Effect. None of Holdings, the Borrower or any Restricted Subsidiary, in the operation of its business as currently conducted, infringes upon, misappropriates or otherwise violates any Intellectual Property rights held by any Person 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 the Borrower or any Restricted Subsidiary,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60"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which, individually or in the aggregate, could reasonably be expected to have a Material Adverse Effect. Section 3.14. Solvency. Immediately after the consummation of the transactions contemplated by the First Amendment to occur on the First Amendment Effective Date, the Borrower and its Subsidiaries, on a consolidated basis, will not be Insolvent. Section 3.15. Senior Indebtedness. The Loan Document Obligations constitute “Senior Indebtedness” (or any comparable term) under and as defined in the documentation governing any Junior Financing. Section 3.16. Federal Reserve Regulations. No part of the proceeds of the Loans will be used, directly or indirectly, to purchase or carry any margin stock or to refinance any Indebtedness originally incurred for such purpose, in each case, in a manner that entails a violation (including on the part of any Lender) of the provisions of Regulations U or X of the Board of Governors. Section 3.17. Use of Proceeds. (a) The Borrower and its Restricted Subsidiaries will use the proceeds of borrowings under the Revolving Commitment and use the Letters of Credit issued hereunder for general corporate purposes (including, without limitation, for the financing of Permitted Acquisitions and to pay fees and expenses in connection therewith). (b) The Borrower will use the proceeds of the Initial Term Loans received on the Closing Date to consummate the Transactions and for general corporate purposes (including, without limitation, to fund share repurchases). (c) The Borrower will use the proceeds of Term B-1 Loans (i) to repay the Initial Term Loans, (ii) to pay fees and expenses in connection with the First Amendment and (iii) if any proceeds remain thereafter, for general corporate purposes. (d) The Borrower will use the proceeds of Term B-2 Loans borrowed on the Second Amendment Effective Date pursuant to the Additional Term B-2 Commitment (i) to repay the Term B-1 Loans which are not converted into Term B-2 Loans, (ii) to pay fees and expenses in connection with the Second Amendment and (iii) if any proceeds remain thereafter, for general corporate purposes. (e) The Borrower will use the proceeds of Term B-2 Loans borrowed on the Third Amendment Effective Date pursuant to the Incremental Term B-2 Commitment (i) to pay fees and expenses in connection with the Third Amendment and (ii) for general corporate purposes. Section 3.18. Regulatory Status and Memberships Held. (a) Except as set forth on Schedule 3.18, each Broker-Dealer 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61"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qualification is in full force and effect and (ii) registered as a broker-dealer with the SEC under the Exchange Act and is in compliance in all material respects with the applicable provisions of the Exchange Act and all rules and regulations thereunder and applicable state securities laws, including the net capital requirements and customer protection requirements thereof. (b) Each Subsidiary of the Borrower listed on Schedule 3.18 is duly registered with, or a member of, the Regulatory Supervising Organization(s) indicated for such Subsidiary and is in compliance in all material respects with all applicable rules and regulations of such Regulatory Supervising Organization(s). Section 3.19. PATRIOT Act, OFAC and FCPA. (a) Holdings, the Borrower and the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 (b) Holdings, the Borrower and the Restricted Subsidiaries will not use the proceeds of the Loans directly, or, to the knowledge of Holdings,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“FCPA”). (c) Except as could not, individually or in the aggregate, reasonably be expected to result in a Material Adverse Effect, none of Holdings, the Borrower or any Subsidiary has, in the past three years, committed a violation of applicable regulations of the United States Department of the Treasury’s Office of Foreign Assets Control (“OFAC”), Title III of the USA Patriot Act or the FCPA. (d) (i) None of the Loan Parties is an individual or entity currently on OFAC’s list of Specially Designated Nationals and Blocked Persons (the “SDN List”) or is owned 50% or more, directly or indirectly, by one or more parties on the SDN List and (ii) except as would not, individually or in the aggregate, reasonably be expected to result in a Material Adverse Effect, none of the Restricted Subsidiaries that are not Loan Parties or, to the knowledge of Holdings, any director, officer, employee or agent of any Loan Party or other Restricted Subsidiary, in each case, is an individual or entity currently on the SDN List or is owned 50% or more, directly or indirectly, by one or more parties on the SDN List, nor is Holdings, the Borrower or any Restricted Subsidiary located, organized or resident in a country or territory that is the subject of Sanctions. Section 3.20. EEA Financial Institutions. No Loan Party is an EEA Financial Institution.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62"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3.21. Outbound Investment Rules. Neither the Borrower nor any of its Subsidiaries is a “covered foreign person”, as such term is defined in the Outbound Investment Rules. Except where the Borrower or any of its Subsidiaries engage in a “covered transaction” that would be a “notifiable transaction”, as each such term is defined in the Outward Investment Rules, and the Borrower or such Subsidiary complies with the requirements of the Outbound Investment Rules with respect to notifiable transactions and provides advance written notice thereof to the Administrative Agent,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 ARTICLE 4 CONDITIONS Section 4.01. Closing Date. The obligations of the Lenders to make Loans hereunder on the Closing Date shall not become effective until the date on which each of the following conditions shall be satisfied (or waived in accordance with Section 9.02): (a) The Administrative Agent (or its counsel) shall have received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(b) The Administrative Agent shall have received written opinions (addressed to the Administrative Agent and the Lenders and dated the Closing Date) of Paul, Weiss, Rifkind, Wharton &amp; Garrison LLP, New York counsel for the Loan Parties, and Cleary, Gottlieb, Steen &amp; Hamilton LLP, special counsel for the Loan Parties, as to such matters as the Administrative Agent may reasonably request and in form and substance reasonably satisfactory to the Administrative Agent and the Lead Arrangers. Each of Holdings and the Borrower hereby requests such counsels to deliver such opinions. (c) The Administrative Agent shall have received a certificate of each Loan Party, dated the Closing Date, substantially in the form of Exhibit G with appropriate insertions, executed by any Responsible Officer of such Loan Party, and including or attaching the documents referred to in paragraph (d) of this Section. (d) 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63"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performance of the Loan Documents to which it is a party, certified as of the Closing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 (e) The Administrative Agent shall have received all fees and other amounts previously agreed in writing by the Lead Arrangers and the Borrower to be due and payable on or prior to the Closing Date, including, to the extent invoiced at least three Business Days prior to the Closing Date (or such later day as the Borrower may reasonably agree), reimbursement or payment of all out-of-pocket expenses (including reasonable fees, charges and disbursements of counsel) required to be reimbursed or paid by any Loan Party under any Loan Document. (f) The Administrative Agent and the Lead Arrangers shall have received, at least three (3) Business Days prior to the Closing Date, all documentation and other information about the Loan Parties (including a Beneficial Ownership Certification by the Borrower required under the Beneficial Ownership Regulation) as shall have been reasonably requested in writing at least 10 Business Days prior to the Closing Date by the Administrative Agent or the Lead Arrangers that they shall have reasonably determined is required by regulatory authorities under applicable “know your customer” and anti-money laundering rules and regulations, including without limitation the USA Patriot Act and the Beneficial Ownership Regulation. (g) The Administrative Agent shall have received a Borrowing Request requesting the borrowing of the Initial Term Loans. (h) The Existing Credit Agreement Refinancing shall have been consummated or shall substantially concurrently be consummated with the borrowing of the Initial Term Loans. (i) The Collateral and Guarantee Requirement shall have been satisfied and the Administrative Agent shall have received (A) a completed Perfection Certificate dated the Closing Date and signed by a Responsible Officer of the Borrower, together with all attachments contemplated thereby, (B) UCC, tax and judgment lien searches in respect of the Loan Parties; (C) counterparts of each of the Guarantee Agreement and the Collateral Agreement duly executed and delivered by the Loan Parties, (D) certificates evidencing equity interests of the Borrower and its Subsidiaries (in each case, to the extent certificated) evidencing the Equity Interests required to be pledged pursuant to the Collateral and Guarantee Requirement with respect to which a Lien may be perfected by the delivery of a stock or equivalent certificate, (E) “short form” intellectual property security agreements with respect to the Intellectual Property of the Loan Parties that is to be perfected by filing such agreements with the United States Patent and Trademark Office or the United States Copyright Office, duly executed by each Loan Party party thereto and (e) Uniform Commercial Code financing statements with respect to perfection of security interests in assets of the Loan Parties that may be perfected by the filing of a financing statement under the Uniform Commercial Code.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64"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 The Administrative Agent and the Lead Arrangers shall have received the Audited Financial Statements and the Unaudited Financial Statements, in each case which shall be prepared in accordance with GAAP. (k) The Administrative Agent shall have received a solvency certificate from the Borrower’s chief financial officer in substantially the form attached as Exhibit R hereto. (l) The Administrative Agent shall have received a certificate from a Responsible Officer of the Borrower certifying as to the satisfaction of the conditions set forth in clauses (m) and (n) of this Section 4.01. (m) The representations and warranties of each Loan Party set forth in the Loan Documents shall be true in all material respects on and as of the Closing Date;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the date of such credit extension or on such earlier date, as the case may be. (n) As of, and immediately after giving effect to the Borrowings on, the Closing Date, no Default or Event of Default shall have occurred and be continuing. Section 4.02. Each Credit Event. The obligation of each Lender to make a Loan on the occasion of any Borrowing, and of each Issuing Bank to issue, amend, renew or extend any Letter of Credit, is subject to receipt of the request therefor in accordance herewith and to the satisfaction of the following conditions: (a) The representations and warranties of each Loan Party set forth in the Loan Documents shall be true and correct in all material respects on and as of the date of such Borrowing or the date of issuance, amendment, renewal or extension of such Letter of Credit (other than an amendment, extension or renewal of a Letter of Credit without any increase in the available balance of such Letter of Credit), as the case may be;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the date of such credit extension or on such earlier date, as the case may be; provided, further, however, that in the case of any Borrowing under an Incremental Facility, the proceeds of which are to be used to fund a Limited Condition Acquisition, if agreed to by the lenders providing such Incremental Facility, such representations may be limited to the Specified Representations. (b) At the time of and immediately after giving effect to such Borrowing or the issuance, amendment, renewal or extension of such Letter of Credit (other than an amendment, extension or renewal of a Letter of Credit without any increase in the available balance of such Letter of Credit), as the case may be, no Default or Event of Default shall have occurred and be continuing (or, in the case of any Borrowing under an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65"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Facility, the proceeds of which are to be used to fund a Limited Condition Acquisition, if agreed to by the lenders providing such Incremental Facility, no Specified Event of Default shall have occurred and be continuing). (c) The Administrative Agent shall have received a duly completed Borrowing Request or Letter of Credit Application, as applicable. Each Borrowing (provided that a conversion or a continuation of a Borrowing shall not constitute a “Borrowing” for purposes of this Section) and each issuance, amendment, renewal or extension of a Letter of Credit shall be deemed to constitute a representation and warranty by Holdings and the Borrower on the date thereof as to the matters specified in paragraphs (a) and (b) of this Section. ARTICLE 5 AFFIRMATIVE COVENANTS Each of Holdings and the Borrower covenants and agrees with the Administrative Agent and each of the Lenders that, until the Termination Date: Section 5.01. Financial Statements and Other Information. Holdings or the Borrower will furnish to the Administrative Agent, which will furnish to each Lender: (a) on or before the date on which such financial statements are required or permitted to be filed with the SEC (or, if such financial statements are not required to be filed with the SEC, on or before the date that is 90 days after the end of each fiscal year of Holdings), audited consolidated balance sheet and audited consolidated statements of operations and comprehensive income, stockholders’ equity and cash flows of Holdings as of the end of and for such year (commencing with financial statements as of the end of and for the fiscal year ending December 31, 2018),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(i) any potential inability to satisfy the Financial Performance Covenant or any other financial maintenance covenant (whether or not in effect) on a future date or in a future period or (ii) an upcoming maturity date of any Indebtedness) and without any qualification or exception as to the scope of such audit) to the effect that such consolidated financial statements present fairly in all material respects the financial condition as of the end of and for such year and results of operations and cash flows of Holdings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Holdings otherwise reasonably considers to be proprietary or highly sensitive); (b) commencing with the financial statements for the fiscal quarter ending March 31, 2019, on or before the date on which such financial statements are required or permitted to be filed with the SEC with respect to each of the first three fiscal quarters of 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66"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fiscal year of Holdings (or, if such financial statements are not required to be filed with the SEC, on or before the date that is 30 days after the end of each such fiscal 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 (c) simultaneously with the delivery of each set of consolidated financial statements referred to in clauses (a) and (b) above, the related consolidating financial statements reflecting adjustments necessary to eliminate the accounts of Unrestricted Subsidiaries (if any) from such consolidated financial statements; (d) not later than five days after any delivery of financial statements under paragraph (a) or (b) above (and, in any event, not later than five days after the date on which such financial statements were required to have been delivered), a certificate of a Financial Officer (i) certifying as to whether a Default has occurred and, if a Default has occurred, specifying the details thereof and any action taken or proposed to be taken with respect thereto, (ii) setting forth reasonably detailed calculations (A) if the Financial Performance Covenant is in effect with respect to the last day of the applicable fiscal period, demonstrating compliance with the Financial Performance Covenant and (B) in the case of the financial statements delivered under paragraph (b) above for fiscal quarter ending June 30 of each fiscal year, beginning with the fiscal quarter ending June 30, 2023, of Excess Cash Flow for the four fiscal quarter period ending on such date and (iii) in the case of financial statements delivered under paragraph (a) or (b)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 (e) [reserved]; (f) not later than 90 days after the commencement of each fiscal year of Holdings, a detailed consolidated budget for the Borrower and its Subsidiaries for such fiscal year (consisting of projected net revenue by asset class and geography, projected expenses, projected GAAP EBITDA (i.e., earnings before interest, taxes, depreciation and amortization) and projected capital expenditures for such fiscal year and setting forth the material assumptions used for purposes of preparing such budget);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67"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 (h) promptly upon filing with any applicable Regulatory Supervising Organization, a copy of each FOCUS report or similar report relating to the regulatory capital or similar requirements applicable to the Subsidiary filing such report; (i) promptly after the request by the Administrative Agent on behalf of any Lender, all documentation and other information that such Lender reasonably requests in order to comply with its ongoing obligations under applicable “know your customer” and anti-money laundering rules and regulations, including the USA Patriot Act and the Beneficial Ownership Regulation; and (j) 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 Notwithstanding the foregoing, the obligations in paragraphs (a) and (b) of this Section 5.01 may be satisfied with respect to financial information of Holdings and its Subsidiaries by furnishing the Form 10-K or 10-Q (or the equivalent), as applicable, of Holdings (or a parent company thereof) filed with the SEC or any national securities exchange; provided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(other than with respect to, or resulting from, (i) any potential inability to satisfy the Financial Performance Covenant (whether or not in effect) in a future date or period or (ii) an upcoming maturity date of any Indebtedness under this Agreement occurring within 12 months from the time such report is required to be delivered to the Administrative Agent) or any qualification or exception as to the scope of such audit. Documents required to be delivered pursuant to Section 5.01(a), (b) or (f) (to the extent any such documents are included in materials otherwise filed with the SEC) may be delivered electronically and, if so delivered, shall be deemed to have been delivered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68"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the date (i) on which Holdings posts such documents, or provides a link thereto, on the Internet at the website address listed on Schedule 9.01 (or otherwise notified pursuant to Section 9.01(e)); or (ii) on which such documents are posted on Holdings’ behalf on an Internet or intranet website, if any, to which each Lender and the Administrative Agent have access (whether a commercial, third-party website or whether sponsored by the Administrative Agent); provided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 The Borrower hereby acknowledges that (a) the Administrative Agent and/or the Lead Arrangers will make available to the Lenders materials and/or information provided by or on behalf of the Borrower hereunder (collectively, “Borrower Materials”) by posting the Borrower Materials on IntraLinks or another similar electronic system (the “Platform”) and (b) certain of the Lenders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Arrangers and the Lenders to treat such Borrower Materials as not containing any material non-public information (although it may be sensitive and proprietary) with respect to the Borrower or its securities for purposes of United States Federal and state securities laws (provided, however,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provided 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 145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69"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Borrower hereby represents and warrants that each of the Borrower, its controlling Person and each of its subsidiaries,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Sections 5.01(a) and (b) above, along with the Loan Documents, available to Public Lenders and (ii) agrees that at the time such financial statements are provided hereunder, they shall already have been made available to holders of its securities. 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has no outstanding publicly traded securities, including 144A securities. In no event shall the Administrative Agent post compliance certificates or budgets to Public Lenders. Section 5.02. Notices of Material Events. Promptly after any Responsible Officer of Holdings or the Borrower obtains actual knowledge thereof, Holdings or the Borrower will furnish to the Administrative Agent (for distribution to each Lender through the Administrative Agent) written notice of the following: (a) the occurrence of any Default; (b) the filing or commencement of any Proceeding by or before any arbitrator, Governmental Authority or Regulatory Supervising Organization against or, to the knowledge of a Financial Officer, a Responsible Officer or another executive officer of Holdings, any Intermediate Parent, the Borrower or any Subsidiary, affecting Holdings, any Intermediate Parent, the Borrower or any Subsidiary or the receipt of a notice of an Environmental Liability, in each case, that could reasonably be expected to result in a Material Adverse Effect; (c) the commencement of any investigation by any Governmental Authority of or affecting Holdings, the Borrower or any Subsidiary that could reasonably be expected to result in a Material Adverse Effect; (d) the occurrence of any ERISA Event that could reasonably be expected, individually or in the aggregate, to result in a Material Adverse Effect; (e) the appearance of Holdings, the Borrower or any Subsidiary or Vincent Viola on the Specially Designated Nationals and Blocked Person List or other similar lists maintained by OFAC and/or the United States Department of Treasury, or identified in any related executive orders issued by the President of the United States; and (f) if the Borrower has previously provided a Beneficial Ownership Certification to any Lender in connection with this Agreement, any change in the information provided in such Beneficial Ownership Certification that would result in a change to the list of beneficial owners identified in such certification. Each notice delivered under this Section shall be accompanied by a written statement of a Responsible Officer of Holdings or the Borrower setting forth the details of the event 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70"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development requiring such notice and any action taken or proposed to be taken with respect thereto. Section 5.03. Information Regarding Collateral. (a) Holdings or the Borrower will furnish to the Administrative Agent prompt (and in any event within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(b) 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 executed by a Responsible Officer of Holdings or the Borrower (i) setting forth the information required pursuant to Sections 1(a)(i), 1(b), 2, 5, 6 and 8 of the Perfection Certificate or confirming that there has been no change in such information since the date of the Perfection Certificate delivered as of the Closing Date or the date of the most recent certificate delivered pursuant to this Section, (ii) identifying any Wholly Owned Subsidiary that has become, or ceased to be, a Material Subsidiary during the most recently ended fiscal quarter and (iii) certifying that all notices required to be given prior to the date of such certificate by this Section 5.03 have been given. Section 5.04. Existence; Conduct of Business. Each of Holdings and the Borrower will, and will cause each Intermediate Parent and Restricted Subsidiary to, do or cause to be done all things necessary to obtain, preserve, renew and keep in full force and effect its legal existence and the rights, licenses, permits, privileges, franchises (including exchange memberships), Intellectual Property and Governmental Approvals material to the conduct of its business, except to the extent (other than with respect to the preservation of the existence of Holdings and the Borrower) that the failure to do so, individually or in the aggregate, could not reasonably be expected to have a Material Adverse Effect; provided that the foregoing shall not prohibit any merger, consolidation, liquidation or dissolution permitted under Section 6.03 or any Disposition permitted by Section 6.05. Section 5.05. Payment of Taxes, Etc. Each of Holdings and the Borrower will, and will cause each Intermediate Parent and Restricted Subsidiary to, pay its obligations in respect of Tax liabilities, assessments and governmental charges, before the same shall become delinquent or in default, except where the failure to make such payment could not reasonably be expected, individually or in the aggregate, to result in a Material Adverse Effect. Section 5.06. Maintenance of Properties. Each of Holdings and the Borrower will, and will cause each Restricted Subsidiary to, keep and maintain all property material to the conduct of its business in good working order and condition, ordinary 147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71"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wear and tear excepted, except where the failure to do so could not reasonably be expected to have, individually or in the aggregate, a Material Adverse Effect. Section 5.07. Insurance. Each of Holdings and the Borrower will, and will cause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 light of the size and nature of its business, and will furnish to the Lenders, upon written request from the Administrative Agent, information presented in reasonable detail as to the insurance so carried. Each such policy of insurance shall, unless otherwise agreed to by the Administrative Agent,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 Section 5.08. Books and Records; Inspection and Audit Rights; Quarterly Teleconferences. (a) Each of Holdings and the 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provided that, excluding any such visits and inspections during the 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absent the existence of an Event of Default, only one such time shall be at the Borrower’s expense; provided, further, that (i)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 148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72"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Within 10 Business Days after the earlier of (x) the delivery of any financial statements required to be delivered under Section 5.01(a) or (b) and (y) the date on which such financial statements were required to have been delivered, the Borrower shall host a teleconference meeting with the Lenders to discuss the results presented therein or for the applicable period, as applicable, and such other matters reasonably related thereto; provided that a combined teleconference meeting with equityholders of VFI hosted by VFI shall satisfy the requirement of this Section 5.08(b)). Section 5.09. Compliance with Laws. Each of Holdings and the Borrower will, and will cause each Intermediate Parent and Restricted 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 Section 5.10. Use of Proceeds. (a) The Borrower and its Restricted Subsidiaries will use the proceeds of Borrowings of Revolving Loans and Letters of Credit issued hereunder and the proceeds of any Incremental Revolving Facility or any Incremental Term Facility for working capital and other general corporate purposes (including the financing of Permitted Acquisitions). (b) The Borrower will use the proceeds of the Initial Term Loans received on the Closing Date to consummate the Transactions and for general corporate purposes (including, without limitation, to fund share repurchases). (c) The Borrower will use the proceeds of the Term B-1 Loans (i) to repay the Initial Term Loans, (ii) to pay fees and expenses in connection with the First Amendment and (iii) if any proceeds remain thereafter, for general corporate purposes. (d) The Borrower will use the proceeds of Term B-2 Loans borrowed on the Second Amendment Effective Date pursuant to the Additional Term B-2 Commitment (i) to repay the Term B-1 Loans which are not converted into Term B-2 Loans, (ii) to pay fees and expenses in connection with the Second Amendment and (iii) if any proceeds remain thereafter, for general corporate purposes. (e) The Borrower will use the proceeds of Term B-2 Loans borrowed on the Third Amendment Effective Date pursuant to the Incremental Term B-2 Commitment (i) to pay fees and expenses in connection with the Third Amendment and (ii) for general corporate purposes. Section 5.11. Additional Subsidiaries. (a) If (i) any additional Restricted Subsidiary is formed or acquired after the Closing Date or (ii) if any Restricted Subsidiary ceases to be an Excluded Subsidiary, an Immaterial Subsidiary, a Foreign Subsidiary, a Regulated Subsidiary or an Excluded Domestic Subsidiary, Holdings or the Borrower will, within 30 days after such formation, acquisition or cessation, notify the Administrative Agent thereof, and will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73"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cause (x) such Restricted Subsidiary (unless such Restricted Subsidiary is an Excluded Subsidiary, a Foreign Subsidiary, a Regulated Subsidiary or an Excluded Domestic Subsidiary) to satisfy the Collateral and Guarantee Requirement with respect to such Restricted Subsidiary and (y) any Loan Party that owns any Equity Interests in or Indebtedness of any such Restricted Subsidiary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signed by a Responsible Officer, together with all attachments contemplated thereby). (b) 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Section 5.12. Further Assurances. (a) Each of Holdings and the Borrower will, and will cause each Loan Party to, execute any and all further documents, financing statements, agreements and instruments, and take all such further actions (including the filing and recording of financing statements, fixture filings, Mortgages and other documents), that may be required under any applicable law or that the Administrative Agent or the Required Lenders may reasonably request, to cause the Collateral and Guarantee Requirement to be and remain satisfied, all at the expense of the Loan Parties. (b) If, after the Closing Date, any material assets (including any owned (but not leased) real property or improvements thereto or any interest therein with a fair market value in excess of $10,000,000 as reasonably determined in good faith by the applicable Loan Party)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all at the expense of the Loan Parties and subject to the last paragraph of the definition of the term “Collateral and Guarantee Requirement.” Section 5.13. Designation of Subsidiaries. The Borrower may at any time after the First Amendment Effective Date designate any Restricted Subsidiary (other than the Borrower or any Intermediate Parent) as an Unrestricted Subsidiary or any Unrestricted Subsidiary as a Restricted Subsidiary; provided that (a) immediately before and after such designation on a Pro Forma Basis, no Event of Default shall have occurred and be continuing and (b) no Subsidiary may be designated as an Unrestricted Subsidiary or continue as an Unrestricted Subsidiary if it is a “Restricted Subsidiary” for the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74"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purpose of any other Indebtedness of Holdings or the Borrower or if it owns any Material Intellectual Property. The designation of any Subsidiary as an Unrestricted Subsidiary after the First Amendment Effective Date shall constitute an Investment by the Borrower therein at the date of designation (the “Designation Date”)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Designation Date of the Borrower’s or its Subsidiary’s (as applicable) Investment in such Subsidiary. Notwithstanding the foregoing, any Unrestricted Subsidiary that has been re-designated a Restricted Subsidiary may not be subsequently re-designated as an Unrestricted Subsidiary. Section 5.14. Maintenance of Ratings. The Borrower will use commercially reasonable efforts to maintain a corporate credit rating from S&amp;P and a corporate family rating from Moody’s, in each case with respect to the Borrower, and a rating of the Term Loans and (prior to the Revolving Maturity Date, the Revolving Facility) by each of S&amp;P and Moody’s. Section 5.15. Regulatory Matters. The Borrower will, and will cause each of its Regulated Subsidiaries to, comply in all material 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 ARTICLE 6 NEGATIVE COVENANTS Each of Holdings and the Borrower covenants and agrees with the Administrative Agent and each of the Lenders that, until the Termination Date: Section 6.01. Indebtedness; Certain Equity Securities. (a) Holdings and the Borrower will not, and will not permit any Restricted Subsidiary to, create, incur, assume or permit to exist any Indebtedness, except: (i) Indebtedness of Holdings, the Borrower and any of the Restricted Subsidiaries under the Loan Documents (including any Indebtedness incurred pursuant to Section 2.18 or 2.19); (ii) (A) Indebtedness outstanding on the First Amendment Effective Date (provided that any such Indebtedness that is (x) not intercompany Indebtedness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75"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(y) in excess of $2,000,000 shall be listed on Schedule 6.01), (B) Indebtedness in respect of the Existing Yen Bonds, and (C) any Permitted Refinancing of any of the foregoing; (iii) Guarantees by Holdings, the Borrower and the Restricted Subsidiaries in respect of Indebtedness of the Borrower or any Restricted Subsidiary otherwise permitted hereunder; provided that such Guarantee is otherwise permitted by Section 6.04; provided, further, that (A) no Guarantee by any Restricted Subsidiary of any Junior Financing shall be permitted unless such Restricted Subsidiary shall have also provided a Guarantee of the Loan Document Obligations pursuant to the Guarantee Agreement,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 (E) any such Guarantee of Trading Debt shall be unsecured; (iv) Indebtedness of the Borrower owing to any Restricted Subsidiary or of any Restricted Subsidiary owing to any other Restricted Subsidiary or the Borrower or Holdings to the extent permitted by Section 6.04; provided that all such Indebtedness of any Loan Party owing to any Restricted Subsidiary that is not a Loan Party shall be subordinated to the Loan Document Obligations (but only to the extent permitted by applicable law and not giving rise to adverse tax consequences) on terms (i) at least as favorable to the Lenders as those set forth in the form of intercompany note attached as Exhibit H or (ii) otherwise reasonably satisfactory to the Administrative Agent; (v) (A) Indebtedness (including Capital Lease Obligations) of the Borrower or any Restricted Subsidiaries financing the acquisition, construction, repair, replacement or improvement of fixed or capital assets, other than software; provided that such Indebtedness is incurred concurrently with or within 365 days after the applicable acquisition, construction, repair, replacement or improvement, and (B) any Permitted Refinancing thereof; (vi) Indebtedness in respect of Swap Agreements permitted by Section 6.07; (vii) (A) (1) Indebtedness of any Restricted Subsidiary that is not a Loan Party that is acquired by the Borrower or any Restricted Subsidiary after the First Amendment Effective Date or of a Person that is merged, consolidated or amalgamated after the First Amendment Effective Date with a Restricted Subsidiary of the Borrower that is not a Loan Party, in each case, in connection with a Permitted Acquisition or another Investment permitted hereunder and (2) Indebtedness of a Joint Venture existing at the time the initial Investment by the Borrower or a Restricted Subsidiary is made in such Joint Venture; provided that, in 152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76"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case of each of clauses (1) and (2), (x) such Indebtedness is not incurred in contemplation of or in connection with such Permitted Acquisition, other Investment or initial Investment, and (y) such Indebtedness shall not be secured by any assets constituting Collateral; and (B) any Permitted Refinancing of any of the foregoing; (viii) (A) Indebtedness of the Borrower or any of its Restricted Subsidiaries; provided that (1) after giving effect to the incurrence of such Indebtedness and the use of proceeds thereof, (x) in the case of Indebtedness secured by Liens on the Collateral ranking pari passu with the Liens on the Collateral securing the Term B-2 Loans or the Initial Revolving Loans, the Net First Lien Leverage Ratio calculated on a Pro Forma Basis as of the end of the most recent Test Period for which financial statements are available is not greater than the First Lien Incurrence Ratio, (y) in the case of Indebtedness secured by Liens on the Collateral ranking junior to the Liens on the Collateral securing the Term B-2 Loans or the Initial Revolving Loans, the Net Secured Leverage Ratio calculated on a Pro Forma Basis as of the end of the most recent Test Period for which financial statements are available is not greater than the Secured Leverage Incurrence Ratio and (z) in the case of other Indebtedness, either (i) the Net Total Leverage Ratio calculated on a Pro Forma Basis as of the end of the most recent Test Period for which financial statements are available is not greater than the Total Leverage Incurrence Ratio or (ii) the Fixed Charge Coverage Ratio calculated on a Pro Forma Basis as of the end of the most recent Test Period for which financial statements are available is not less than the Fixed Charge Coverage Incurrence Ratio, (2) [reserved], (3) (x) such Indebtedness shall, if incurred by a Loan Party, not be incurred by or subject to any Guarantee by any Person other than a Loan Party or secured by any assets other than Collateral, (y) the security agreements relating to such Indebtedness (to the extent secured) shall be substantially the same as the Security Documents (with any material differences being reasonably satisfactory to the Administrative Agent) and (z) if secured, such Indebtedness and any agent or trustee under the agreements or indenture governing such Indebtedness shall be subject to the First Lien Intercreditor Agreement or the Junior Lien Intercreditor Agreement, as applicable; provided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shall not have any mandatory prepayment provisions (other than provisions related to customary asset sale and change of control offers and amortization up to 1.00% annually) that would result in prepayments of such Indebtedness prior to the Term B-2 Loans; provided, however, that if such Indebtedness is secured by Liens on the Collateral on a pari passu basis with the Term B-2 Loans, such Indebtedness may have mandatory prepayment provisions that provide for pro rata or less than pro rata (but not greater than pro rata) prepayments with the Term B-2 Loans and (5) such Indebtedness shall not mature prior to the Latest Maturity Date and shall not have a Weighted Average Life to Maturity shorter than the Weighted Average Life to Maturity of the Term B-2 Loans; provided, that that this clause (5) shall not apply to Indebtedness incurred in the form of Customary Bridge Loans (provided that any loans, notes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77"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or other debt which are exchanged for or otherwise replace such Customary Bridge Loans, if any, shall be subject to the requirements of this clause (5)) and/or Indebtedness in an aggregate principal amount outstanding that is not in excess of the then remaining capacity under the Inside Maturity Basket; provided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6.01(a)(ix) and Section 6.01(a)(xxi), collectively, shall not exceed the greater of $150,000,000 and 10% of Consolidated EBITDA calculated on a Pro Forma Basis for the most recently ended Test Period for which financial statements are available and (B) any Permitted Refinancing thereof; (ix) (A) Indebtedness of the Borrower or any of its Restricted Subsidiaries incurred to finance, or assumed in connection with, a Permitted Acquisition or other Investment permitted under Section 6.04 or New Project not prohibited hereunder and existing Indebtedness of any Person that becomes a Restricted Subsidiary in connection with such Permitted Acquisition, Investment or New Project; provided that (1) after giving effect to the assumption or incurrence of such Indebtedness and the use of proceeds thereof, (x) in the case of Indebtedness secured by Liens on the Collateral ranking pari passu with the Liens on the Collateral securing the Term B-2 Loans, the Net First Lien Leverage Ratio calculated on a Pro Forma Basis as of the end of the most recent Test Period for which financial statements are available either (I) does not exceed the First Lien Incurrence Ratio or (II) is not greater than the Net First Lien Leverage Ratio immediately prior to such Permitted Acquisition, other Investment or New Project, (y) in the case of Indebtedness secured by Liens on the Collateral ranking junior to the Liens on the Collateral securing the Term B-2 Loans, the Net Secured Leverage Ratio calculated on a Pro Forma Basis as of the end of the most recent Test Period for which financial statements are available either (I) does not exceed the Secured Leverage Incurrence Ratio or (II) is not greater than the Net Secured Leverage Ratio immediately prior to such Permitted Acquisition, other Investment or New Project and (z) in the case of other Indebtedness, if the Unsecured Leverage Test is satisfied; provided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6.01(a)(viii) and Section 6.01(a)(xii), collectively, shall not exceed the greater of $150,000,000 and 10% of Consolidated EBITDA calculated on a Pro Forma Basis for the most recently ended Test Period for which financial statements are available, (2) [reserved], (3)(w) such Indebtedness shall, if incurred by a Loan Party, not be incurred by or subject to any Guarantee by any Person other than a Loan Party or secured by any assets other than Collateral, (x) the security agreements relating to such Indebtedness (to the extent secured by Collateral) shall be substantially the same as the Security Documents (with any material differences being reasonably satisfactory to the Administrative Agent), (y) any Indebtedness incurred by a 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78"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Subsidiary that is not a Loan Party shall only be secured by assets of Restricted Subsidiaries that are not Loan Parties and (z) if such Indebtedness is secured by Collateral, any agent or trustee under the agreements or indenture governing such Indebtedness shall be subject to the First Lien Intercreditor Agreement or the Junior Lien Intercreditor Agreement, as applicable; provided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(other than existing Indebtedness that is assumed (and not incurred) not in contemplation of such Permitted Acquisition or Investment) shall not have any mandatory prepayment provisions (other than provisions related to customary asset sale and change of control offers and amortization up to 1.00% annually) that would result in prepayments of such Indebtedness prior to the Term B-2 Loans; provided, however, that if such Indebtedness is secured by Liens on the Collateral on a pari passu basis with the Term B-2 Loans, such Indebtedness may have mandatory prepayment provisions that provide for pro rata or less than pro rata (but not greater than pro rata) prepayments with the Term B-2 Loans and (5) such Indebtedness (other than existing Indebtedness that is assumed (and not incurred) not in contemplation of such Permitted Acquisition or Investment) shall not have a maturity date earlier than or a Weighted Average Life to Maturity shorter than those applicable to the Term B-2 Loans; provided that this clause (5) shall not apply to Indebtedness incurred in the form of Customary Bridge Loans (provided that any loans, notes securities or other debt which are exchanged for or otherwise replace such Customary Bridge Loans, if any, shall be subject to the requirements of this clause (5)) and/or Indebtedness in an aggregate principal amount outstanding that is not in excess of the then remaining capacity under the Inside Maturity Basket, and (B) and any Permitted Refinancing thereof; (x) the Secured Notes and any Permitted Refinancing thereof; provided that the Secured Notes, and any Permitted Refinancing thereof that is secured by Liens on the Collateral ranking pari passu with the Liens on the Collateral securing the Term B-2 Loans, in each case, are subject to the First Lien Intercreditor Agreement; (xi) Indebtedness representing deferred compensation to employees of Holdings and its Restricted Subsidiaries incurred in the ordinary course of business; (xii) 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 (xiii) Indebtedness constituting indemnification obligations or obligations in respect of purchase price or other similar adjustments incurred in a Permitted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79"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Acquisition, any other Investment or any Disposition, in each case permitted under this Agreement; (xiv) Indebtedness consisting of obligations under deferred compensation or other similar arrangements incurred in connection with any Permitted Acquisition or other Investment permitted hereunder; (xv) Cash Management Obligations and other Indebtedness in respect of netting services, overdraft protections and similar arrangements, in each case, incurred in the ordinary course of business in connection with deposit accounts; (xvi) Indebtedness of Holdings, the Borrower and any of the Restricted Subsidiaries; provided that at the time of the incurrence thereof and after giving Pro Forma Effect thereto and the use of the proceeds thereof, the aggregate principal amount of Indebtedness outstanding in reliance on this clause (xvi) shall not exceed the greater of $400,000,000 and 40% of Consolidated EBITDA calculated on a Pro Forma Basis for the most recently ended Test Period for which financial statements are available; (xvii) Indebtedness consisting of (A) the financing of insurance premiums or (B) take-or-pay obligations contained in supply arrangements, in each case in the ordinary course of business; (xviii) 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 (xix) obligations in respect of performance, bid, appeal and surety bonds and performance and completion guarantees and similar obligations provided by Holdings or any of its Restricted Subsidiaries or obligations in respect of letters of credit, bank guarantees or similar instruments related thereto, in each case in the ordinary course of business or consistent with past practice; (xx) Permitted Unsecured Refinancing Debt, and any Permitted Refinancing thereof; (xxi) Permitted First Priority Refinancing Debt and Permitted Junior Lien Refinancing Debt, and any Permitted Refinancing thereof; (xxii) (A) Indebtedness of the Borrower in respect of one or more series of loans, bonds, notes or debentures that will be unsecured or secured by Liens on the Collateral on a pari passu or junior basis with the Liens on the Collateral securing the Term B-2 Loans and that are issued or made in lieu of Incremental Facilities; provided that at the time of the incurrence thereof and after giving Pro Forma Effect thereto and to the use of the proceeds thereof, the aggregate principal amount incurred shall not exceed the Incremental Cap (the “Incremental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80"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Equivalent Debt”); provided, further, that (i) such Incremental Equivalent Debt is not scheduled to mature prior to the Latest Maturity Date then in effect and such Incremental Equivalent Debt shall not have a Weighted Average Life to Maturity shorter than the Weighted Average Life to Maturity of the Term Loans then in effect; provided, that that this clause (i) shall not apply to Indebtedness incurred in the form of Customary Bridge Loans (provided that any loans, notes securities or other debt which are exchanged for or otherwise replace such Customary Bridge Loans, if any, shall be subject to the requirements of this clause (i)) and/or Indebtedness in an aggregate principal amount outstanding that is not in excess of the then remaining capacity under the Inside Maturity Basket, (ii) such Incremental Equivalent Debt shall not have any mandatory prepayment provisions (other than provisions related to customary asset sale and change of control offers) that would result in prepayments of such Incremental Equivalent Debt prior to the Term Loans then outstanding; provided, however, that if such Indebtedness is secured by Liens on the Collateral on a pari passu basis with any Class of Term Loans, such Indebtedness may have mandatory prepayment provisions that provide for pro rata or less than pro rata (but not greater than pro rata) prepayments with such Class of Term Loans, (iii) [reserved], (iv) at the time when such Incremental Equivalent Debt is issued, the aggregate principal amount issued may not exceed the Incremental Cap, (v) (1) such Incremental Equivalent Debt shall not be Guaranteed by any Person other than a Loan Party, (2) the obligations in respect thereof shall not be secured by any Lien on any asset other than any asset constituting Collateral, (3) the security agreements relating to such Incremental Equivalent Debt shall be substantially the same as the Security Documents (with any material differences being reasonably satisfactory to the Administrative Agent), and (4) if such Incremental Equivalent Debt is secured, such Incremental Equivalent Debt and the trustee, administrative agent or other representative under the agreement governing such Incremental Equivalent Debt shall be subject to the First Lien Intercreditor Agreement or the Junior Lien Intercreditor Agreement, as applicable; provided that if such Incremental Equivalent Debt is issued pursuant to an agreement that has not previously been made subject thereto, then Holdings, the Borrower, the Subsidiary Loan Parties, the Administrative Agent and the Senior Representative for such Incremental Equivalent Debt shall have executed and delivered an appropriate supplement or joinder to the First Lien Intercreditor Agreement or the Junior Lien Intercreditor Agreement, as applicable, and (vi) such Indebtedness shall not have any mandatory prepayment provisions (other than provisions related to customary asset sale and change of control offers) that would result in prepayments of such Indebtedness prior to the Term B-2 Loans; provided, however, that if such Indebtedness is secured on a pari passu basis with the Term B-2 Loans, such Indebtedness may have mandatory prepayment provisions that provide for pro rata or less than pro rata (but not greater than pro rata) prepayments with the Term B-2 Loans; provided that at the time of incurrence thereof, the aggregate outstanding principal amount of Indebtedness (other than Indebtedness constituting any revolving facility) incurred by Restricted Subsidiaries that are not Loan Parties or Regulated Subsidiaries under this Section 6.01(a)(xxii), together with the Indebtedness incurred by Restricted Subsidiaries that are not Loan Parties or Regulated Subsidiaries under clauses (x), (y) and (z) of Section 6.01(a)(viii) and clauses (x), (y) and (z) of Section 6.01(a)(viii), collectively, shall not exceed the greater of $150,000,000 and 10% of Consolidated EBITDA calculated on a Pro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81"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Forma Basis for the most recently ended Test Period for which financial statements are available, and (B) any Permitted Refinancing thereof; (xxiii) Trading Debt incurred in the ordinary course of business or in a manner consistent with past practices; (xxiv) (A) Indebtedness of Joint Ventures and/or Indebtedness incurred on behalf thereof or representing Guarantees of Indebtedness of Joint Ventures; provided that at the time of the incurrence thereof and after giving Pro Forma Effect thereto and the use of proceeds thereof, the aggregate principal amount of Indebtedness outstanding in reliance on this clause (xxiv), together with the aggregate principal amount of Indebtedness outstanding in reliance on clause (xxv) below, shall not exceed the greater of $250,000,000 and 25% of Consolidated EBITDA calculated on a Pro Forma Basis for the most recently ended Test Period for which financial statements are available and (B) any Permitted Refinancing thereof; (xxv) (A) Indebtedness of a Restricted Subsidiary that is not a Loan Party; provided that at the time of the incurrence thereof and after giving Pro Forma Effect thereto and the use of proceeds thereof, the aggregate principal amount of Indebtedness outstanding in reliance on this clause (xxv), together with the aggregate principal amount of Indebtedness outstanding in reliance on clause (xxiv) above, shall not exceed the greater of $300,000,000 and 30% of Consolidated EBITDA calculated on a Pro Forma Basis for the most recently ended Test Period for which financial statements are available and (B) any Permitted Refinancing thereof; (xxvi) additional Indebtedness of Holdings, the Borrower or any Restricted Subsidiary; provided that at the time of the incurrence thereof and after giving Pro Forma Effect thereto and the use of the proceeds thereof, the aggregate principal amount of such Indebtedness incurred shall not exceed the Available RP Capacity Amount at such time; (xxvii) Indebtedness in connection with Permitted Securitization Financings; and (xxviii) all premiums (if any), interest (including post-petition interest and capitalized or paid in kind interest), fees, expenses, charges and additional or contingent interest on obligations described in clauses (i) through (xxvii) above. (b) 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the Borrower or any Restricted Subsidiary, preferred Equity Interests issued to and held by Holdings, the Borrower or any Restricted Subsidiary. For purposes of determining compliance with this Section 6.01, (A) Indebtedness (or portion thereof) need not be permitted solely by reference to one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82"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category of permitted Indebtedness (or any portion thereof) described in Sections 6.01(a)(i) through (a)(xxviii) (including, for the avoidance of doubt, with respect to the clauses set forth in the definition of “Incremental Cap”) but may be permitted in part under any combination thereof, (B) in the event that an item of Indebtedness (or any portion thereof) meets the criteria of one or more of the categories of permitted Indebtedness (or any portion thereof) described in Sections 6.01(a)(i) through (a)(xxvii) (including, for the avoidance of doubt, with respect to the clauses set forth in the definition of “Incremental Cap”), (I) the Borrower may, in its sole discretion, divide, classify or reclassify, or later divide, classify or reclassify (as if incurred at such later time), such item of Indebtedness (or any portion thereof) in any manner that complies with this Section 6.01 and at the time of incurrence, division, classification or reclassification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without giving pro forma effect to such item (or any portion thereof) when calculating the amount of Indebtedness (or any portion thereof) that may be incurred, divided, classified or reclassified pursuant to any other clause (or any portion thereof) at such time (including, for the avoidance of doubt, with respect to the clauses set forth in the definition of “Incremental Cap”) and (II) if such item of Indebtedness could be incurred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Indebtedness shall be automatically reclassified (with retroactive effect) as having been incurred under the applicable provisions; provided, that (x) all Indebtedness outstanding on the First Amendment Effective Date under this Agreement shall at all times be deemed to have been incurred pursuant to clause (a)(i) of this Section 6.01 and (y) all Indebtedness in respect of the Senior Secured Notes and any Permitted Refinancing thereof shall at all times be deemed to have been incurred pursuant to clause (a)(x) of this Section 6.01, (C) in connection with (1) the incurrence of revolving Indebtedness under this Section 6.01 or (2) any commitment or other transaction relating to the incurrence of Indebtedness under this Section 6.01 and the granting of any Lien to secure such Indebtedness, the Borrower may designate the incurrence of such Indebtedness and the granting of such Lien therefor as having occurred on the date of first incurrence of such revolving Indebtedness or commitment or intention to consummate such transaction (such date, the “Deemed Date”), and any related subsequent actual incurrence and the granting of such Lien therefor will be deemed for purposes of this Section 6.01 and Section 6.02 of this Agreement to have been incurred or granted on such Deemed Date, including, without limitation, for purposes of calculating usage of any baskets hereunder (if applicable), the Net Total Leverage Ratio, the Net Secured Leverage Ratio, the Net First Lien Leverage Ratio, the Fixed Charge Coverage Ratio and Consolidated EBITDA (and all such calculations, without duplication, on the Deemed Date and on any subsequent date until such commitment is funded or terminated or such transaction is consummated or abandoned or such election is rescinded shall be made on a Pro Forma Basis after giving effect to the deemed incurrence, the granting of any Lien therefor and related transactions in connection therewith) and (D) for purposes of calculating the Fixed Charge Coverage Ratio, the Net Total Leverage Ratio, the Net Secured Leverage Ratio and the Net First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83"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Lien Leverage Ratio under Section 6.01(a)(viii) and (a)(xxii) on any date of incurrence of Indebtedness pursuant to such Section 6.01(a)(viii) and (a)(xxii), the net cash proceeds funded by financing sources upon the incurrence of such Indebtedness incurred at such time of calculation shall not be netted against the applicable amount of Consolidated Total Debt for purposes of such calculation of the Fixed Charge Coverage Ratio, the Net Total Leverage Ratio, the Net Secured Leverage Ratio or the Net First Lien Leverage Ratio, as applicable, at such time. In addition, with respect to any Indebtedness that was permitted to be incurred hereunder on the date of such incurrence, any Increased Amount of such Indebtedness shall also be permitted hereunder after the date of such incurrence. 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 Section 6.02. Liens. Neither Holdings nor the Borrower will, nor will they permit any Restricted Subsidiary to, create, incur, assume or permit to exist any Lien on any property or asset now owned or hereafter acquired by it, except: (i) Liens created under the Loan Documents; (ii) Permitted Encumbrances; (iii) Liens existing on the First Amendment Effective Date and set forth on Schedule 6.02 and any modifications, replacements, renewals or extensions thereof; provided that (A) such modified, replacement, renewal or extension Lien does not extend to any additional property other than (x) after-acquired property that is affixed or incorporated into the property covered by such Lien and (y) proceeds and products thereof, and (B) the obligations secured or benefited by such modified, replacement, renewal or extension Lien are, if Indebtedness, permitted by Section 6.01 or, if not Indebtedness, not prohibited hereunder; (iv) Liens securing Indebtedness permitted under Section 6.01(a)(v); provided that (A) such Liens attach concurrently with or within 365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provided, further, that individual financings of equipment provided by one lender may be cross collateralized to other financings of equipment provided by such lender; (v) leases, licenses, subleases or sublicenses granted to others that do not (A) interfere in any material respect with the business of Holdings and its Restricted Subsidiaries, taken as a whole, or (B) secure any Indebtedness;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84"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 Liens in favor of customs and revenue authorities arising as a matter of law to secure payment of customs duties in connection with the importation of goods; (vii) 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 (viii) 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 (ix) Liens on property of any Restricted Subsidiary that is neither a Loan Party nor a Regulated Subsidiary, which Liens secure Indebtedness of such Restricted Subsidiary permitted under Section 6.01 or other obligations of such Restricted Subsidiary that are not prohibited hereunder; (x) Liens granted by a Restricted Subsidiary that is not a Loan Party in favor of any Loan Party and Liens granted by a Loan Party in favor of any other Loan Party; (xi) Liens existing on property at the time of its acquisition or existing on the property of any Person at the time such Person becomes a Restricted Subsidiary, in each case after the First Amendment Effective Date (other than Liens on the Equity Interests of any Person that becomes a Restricted Subsidiary); provided that (A) such Lien was not created in contemplation of or in connection with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and that require or include, pursuant to their terms at such time, a pledge of after-acquired property, it being understood that such requirement shall not be permitted to apply to any property to which such requirement would not have applied but for such acquisition), and (C) if the obligations secured thereby constitute Indebtedness, such Indebtedness is permitted under Section 6.01; (xii) any interest or title of a lessor under leases (other than leases constituting Capital Lease Obligations) entered into by Holdings or any Restricted Subsidiaries in the ordinary course of business and Liens on the fee interest or any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85"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superior leasehold interest in property leased by Holdings or any Restricted Subsidiaries; (xiii) Liens arising out of conditional sale, title retention, consignment or similar arrangements for sale of goods by Holdings or any Restricted Subsidiaries in the ordinary course of business; (xiv) Liens deemed to exist in connection with Investments in repurchase agreements under clause (e) of the definition of the term “Permitted Investments”; (xv) (x) Liens incurred in the ordinary course of business (A) encumbering reasonable customary initial deposits and margin deposits and similar Liens attaching to commodity trading accounts or other brokerage accounts, in each case not for speculative purposes or (B) in favor of clearing agencies, clearing firms, settlement banks and similar entities (acting in their capacities as such) involved in the clearance and settlement of transactions in, and custody of, financial assets and (y) Liens on cash collateral accounts securing obligations under Swap Agreements permitted by Section 6.07 and any cash and cash equivalents deposited therein at any such time; provided that the aggregate amount of cash and cash equivalents subject to a Lien pursuant to this clause (xv)(y) shall at no time exceed $100,000,000; (xvi) 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its Restricted Subsidiaries or (C) relating to purchase orders and other agreements entered into with customers of the Holdings or any Restricted Subsidiary in the ordinary course of business; (xvii) ground leases in respect of real property on which facilities owned or leased by Holdings or any of the Restricted Subsidiaries are located; (xviii) Liens on insurance policies and the proceeds thereof securing the financing of the premiums with respect thereto; (xix) Liens on the Collateral securing Permitted First Priority Refinancing Debt, Permitted Junior Lien Refinancing Debt and, to the extent permitted to be secured pursuant to and subject to the requirements thereof, Indebtedness incurred under Sections 6.01(a)(viii), 6.01(a)(ix), 6.01(a)(x) and 6.01(a)(xxii); (xx) Liens securing Trading Debt; provided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86"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property (excluding any Equity Interests of the Borrower or its Subsidiaries), instruments, payment intangibles and other assets,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 (xxi) other Liens; provided that at the time of the granting of and after giving Pro Forma Effect to any such Lien and the obligations secured thereby (including the use of proceeds thereof) the aggregate face amount of obligations secured by Liens existing in reliance on this clause (xxi) shall not exceed the greater of $400,000,000 and 40% of Consolidated EBITDA calculated on a Pro Forma Basis for the most recently ended Test Period for which financial statements are available; and (xxii) Liens securing Indebtedness permitted under Section 6.01(xxiv) and (xxv); provided that the assets or property securing such Liens do not include any assets or property of any Loan Party or Regulated Subsidiary. For purposes of determining compliance with this Section 6.02, (A) a Lien securing an item of Indebtedness (or portion thereof) need not be permitted solely by reference to one category of permitted Liens (or any portion thereof) described in Sections 6.02(i) through (xxii) but may be permitted in part under any combination thereof and (B) in the event that a Lien securing an item of Indebtedness (or any portion thereof) meets the criteria of one or more of the categories of permitted Liens (or any portion thereof) described in Sections 6.02(i) through (xxii), (I) the Borrower may, in its sole discretion, divide, classify or reclassify, or later divide, classify or reclassify (as if incurred at such later time), such Lien securing such item of Indebtedness (or any portion thereof) in any manner that complies with this Section 6.02 and at the time of incurrence, division, classification or reclassification will be entitled to only include the amount and type of such Lien or such item of Indebtedness secured by such Lien (or any portion thereof) in one of the above clauses (or any portion thereof) and such Lien securing such item of Indebtedness (or any portion thereof) will be treated as being incurred or existing pursuant to only such clause or clauses (or any portion thereof) without giving pro forma effect to such item (or any portion thereof) when calculating the amount of Liens or Indebtedness (or any portion thereof) that may be incurred, divided, classified or reclassified pursuant to any other clause (or any portion thereof) at such time and (II) if such Lien could be incurred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Lien shall be automatically reclassified (with retroactive effect) as having been incurred under the applicable provisions. In addition, with respect to any Indebtedness that is designated to be incurred on any Deemed Date pursuant to clause (C) of the penultimate paragraph of Section 6.01, any Lien that does or that shall secure such Indebtedness may also be designated by the Borrower or any 163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87"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to be incurred on such Deemed Date and, in such event, any related subsequent actual incurrence of such Lien shall be deemed for purposes of Section 6.01 and 6.02 of this Agreement, without duplication, to be incurred on such prior date (and on any subsequent date until such commitment is funded or terminated or such election is rescinded or until such time as the related Indebtedness is no longer deemed outstanding pursuant to clause (C) of the penultimate paragraph of Section 6.01), including for purposes of calculating usage of any permitted Lien under Section 6.02. In addition, with respect to any Lien securing Indebtedness that was permitted to secure such Indebtedness at the time of the incurrence of such Indebtedness, such Lien shall also be permitted to secure any Increased Amount of such Indebtedness. Section 6.03. Fundamental Changes. (a) Neither Holdings nor the Borrower will, nor will they permit any other Restricted Subsidiary to, merge into or consolidate with any other Person, or permit any other Person to merge into or consolidate with it, or liquidate or dissolve, except that: (i) any Restricted Subsidiary (other than the Borrower) may merge with (A) the Borrower; provided that the Borrower shall be the continuing or surviving Person, or (B) in the case of any Restricted Subsidiary, any one or more other Restricted Subsidiaries; provided that when any Subsidiary Loan Party is merging with another Restricted Subsidiary (x) the continuing or surviving Person shall be a Subsidiary Loan Party or shall concurrently become a Subsidiary Loan Party or (y) if the continuing or surviving Person is not a Subsidiary Loan Party or will not concurrently become a Subsidiary Loan Party, the acquisition of such Subsidiary Loan Party by such surviving Restricted Subsidiary is otherwise permitted under Section 6.04; (ii) (A)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 (iii) any Restricted Subsidiary (other than an Intermediate Parent or the Borrower) may make a Disposition of all or substantially all of its assets (upon voluntary liquidation or otherwise) to one or more other Restricted Subsidiaries; provided that if the transferor in such a transaction is a Loan Party, then (A) the transferees must be Loan Parties or (B) if a transferee is not a Loan Party, then (1) to the extent such transfer constitutes an Investment, such Investment must be a permitted Investment in a Restricted Subsidiary that is not a Loan Party in accordance with Section 6.04 or (2) to the extent such transfer constitutes a Disposition from a Loan Party to a Restricted Subsidiary that is not a Loan Party, such Disposition is for not less than fair value and any promissory note or other non-cash consideration received in respect thereof is a permitted Investment in a Restricted Subsidiary that is not a Loan Party in accordance with Section 6.04, or to 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88"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extent for less than fair value, the shortfall is permitted as an Investment under Section 6.04; (iv) the Borrower may merge or consolidate with any other Person; provided that (A) the Borrower shall be the continuing or surviving Person or (B) if the Person formed by or surviving any such merger or consolidation is not the Borrower (any such Person, the “Successor Borrower”), (w) the Successor Borrower shall be an entity organized or existing under the laws of the United States, any State thereof or the District of Columbia, (x)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(z) the Borrower shall have delivered to the Administrative Agent a certificate of a Responsible Officer and an opinion of counsel, each stating that such merger or consolidation complies with this Agreement; provided, further, that (1) if such Person is not a Loan Party, no Default exists after giving effect to such merger or consolidation and (2) if the foregoing requirements are satisfied, the Successor Borrower will succeed to, and be substituted for, the Borrower under this Agreement and the other Loan Documents; provided, further, that the Borrower agrees to use commercially reasonable efforts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 (v) Holdings may merge or consolidate with any other Person, so long as no Event of Default exists after giving effect to such merger or consolidation; provided that (A) Holdings shall be the continuing or surviving Person or (B) if the Person formed by or surviving any such merger or consolidation is not Holdings or is a Person into which Holdings has been liquidated (any such Person, the “Successor Holdings”), (w) the Successor Holdings shall expressly assume all the obligations of Holdings under this Agreement and the other Loan 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165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89"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Agreement; provided, further, that if the foregoing requirements are satisfied, the Successor Holdings will succeed to, and be substituted for, Holdings under this Agreement and the other Loan Documents; provided, further, that the Borrower agrees to use commercially reasonable efforts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 (vi) any Restricted Subsidiary (other than the Borrower) may merge, consolidate or amalgamate with any other Person in order to effect an Investment permitted pursuant to Section 6.04; provided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 and (vii) any Restricted Subsidiary (other than the Borrower) may effect a merger, dissolution, liquidation, consolidation or amalgamation to effect a Disposition permitted pursuant to Section 6.05; provided that if the other party to such transaction is not a Loan Party, no Default exists after giving effect to the transaction. (b) The Borrower will not, and Holdings and the Borrower will not permit any Restricted Subsidiary to, engage to any material extent in any business other than businesses of the type conducted by the Borrower and the Restricted Subsidiaries on the First Amendment Effective Date or any Similar Business, and in the case of a Special Purpose Securitization Subsidiary, Permitted Securitization Financings. (c) Holdings and any Intermediate Parent will not conduct, transact or otherwise engage in any business or operations other than (i) the ownership and/or acquisition of the Equity Interests of the Borrower and any Intermediate Parent, (ii) the maintenance of its legal existence, including the ability to incur fees, costs and expenses relating to such maintenance, (iii) participating in tax, accounting and other administrative matters, (iv) the performance of its obligations under and in connection with the Loan Documents, any documentation governing any Indebtedness or Guarantee permitted to be incurred or made by it under this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this Article 6 (including, but not limited to, the making of any Restricted Payment permitted by Section 6.08 or holding of any cash or Permitted Investments received in connection with Restricted Payments made in 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166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90"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professional fees for legal, tax and accounting issues and paying taxes, (viii) providing indemnification to officers and directors and as otherwise permitted by Section 6.09, (ix) activities incidental to the consummation of the Transactions and (x) activities incidental to the businesses or activities described in clauses (i) to (ix) of this paragraph. (d) Holdings and any Intermediate Parent will not own or acquire any assets (other than Equity Interests as referred to in paragraph (c)(i) above, cash, Permitted Investments, loans and advances made by Holdings or any Intermediate Parent under Section 6.04(b), intercompany Investments permitted to be made by it under Section 6.04 and other assets incidental to its existence and business and activities permitted by this Agreement) or incur any liabilities (other than liabilities as referred to in paragraph (c) above, liabilities imposed by law, including tax liabilities, and other liabilities incidental to its existence and business and activities permitted by this Agreement). (e) Notwithstanding anything to the contrary in this Section 6.03, the Transactions shall be permitted. Section 6.04. Investments, Loans, Advances, Guarantees and Acquisitions. Neither Holdings nor the Borrower will, nor will they permit any Restricted Subsidiary or Intermediate Parent to, make or hold any Investment, except: (a) Permitted Investments; (b) 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or any Employee Holding Vehicle) (provided that the amount of such loans and advances made in cash to such Person shall be contributed to the Borrower in cash as common equity or Qualified Equity Interests) and (iii) for purposes not described in the foregoing clauses (i) and (ii), in an aggregate principal amount outstanding at any time not to exceed $5,000,000; (c) Investments (i) by Holdings, the Borrower or any Restricted Subsidiary in any Loan Party (excluding any new Restricted Subsidiary that becomes a Loan Party pursuant to such Investment), (ii) by any Restricted Subsidiary that is not a Loan Party in any other Restricted Subsidiary that is also not a Loan Party, (iii) by Holdings or any Restricted Subsidiary (A) in any Restricted Subsidiary, provided that at the time such Investment is made in a Restricted Subsidiary that is not a Loan Party, the aggregate outstanding amount of such Investments made by Loan Parties in Restricted Subsidiaries that are not Loan Parties in reliance on this clause (iii)(A), together with the aggregate outstanding amount of Investments made pursuant to Section 6.04(m) (including any such Investments deemed to have been made pursuant to Section 9.14), in each case, after the First Amendment Effective Date, shall not exceed the Non-Loan Party Investment Amount at such time, (B) in any Regulated Subsidiary in the form of short-term intercompany advances and Indebtedness, in each case made in the ordinary course of business to provide for working capital and other operational requirements of such Regulated Subsidiary, (C) in any Restricted Subsidiary that is not a Loan Party, constituting an exchange of Equity Interests of such Restricted Subsidiary for 167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91"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Indebtedness of such Subsidiary, (D) constituting Guarantees of Indebtedness or other monetary obligations of Restricted Subsidiaries that are not Loan Parties owing to any Loan Party or (E) constituting unsecured Guarantees of Trading Debt to the extent such Guarantees are permitted under Section 6.01(a)(iii), (iv)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(v) by Holdings, the Borrower or any Restricted Subsidiary in any Restricted Subsidiary that is not a Loan Party, consisting of the contribution of Equity Interests of any other Restricted Subsidiary that is not a Loan Party so long as the Equity Interests of the transferee Restricted Subsidiary is pledged to secure the Secured Obligations; (d) Investments consisting of extensions of trade credit in the ordinary course of business; (e) Investments (i) existing or contemplated on the First Amendment Effective Date and set forth on Schedule 6.04(e) and any modification, replacement, renewal, reinvestment or extension thereof and (ii) existing on the First Amendment Effective Date by Holdings, the Borrower or any Restricted Subsidiary in the Borrower or any Restricted Subsidiary and any modification, renewal or extension thereof; provided that in each case the amount of the original Investment is not increased except by the terms of such Investment to the extent as set forth on Schedule 6.04(e) or as otherwise permitted by this Section 6.04; (f) Investments in Swap Agreements permitted under Section 6.07; (g) promissory notes and other non-cash consideration received in connection with Dispositions permitted by Section 6.05; (h) Permitted Acquisitions; (i) Investments in the ordinary course of business consisting of Uniform Commercial Code Article 3 endorsements for collection or deposit and Uniform Commercial Code Article 4 customary trade arrangements with customers consistent with past practices; (j) 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 (k) loans and advances to Holdings (or any direct or indirect parent thereof) or any Intermediate Parent in lieu of, and not in excess of the amount of (after giving effect to any other loans, advances or Restricted Payments in respect thereof), Restricted 168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92"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Payments to the extent permitted to be made to Holdings (or such parent) in accordance with Section 6.08(a)(iv), (v), (vi), (vii) or (viii); (l) additional Investments and acquisitions so long as (i) immediately after giving effect to any such Investment or acquisition no Event of Default shall have occurred and be continuing and (ii) after giving to such Investment or acquisition, the Net First Lien Leverage Ratio calculated on a Pro Forma Basis as of the end of the most recent Test Period for which financial statements are available is less than or equal to 3.25 to 1.00; (m) additional Investments in Restricted Subsidiaries that are not Loan Parties and in Unrestricted Subsidiaries so long as (i) immediately after giving effect to any such Investment or acquisition, no Event of Default shall have occurred and be continuing and (ii) at the time any such Investment is made, the aggregate outstanding amount of Investments made after the First Amendment Effective Date in reliance on this clause (m) (including any such Investments deemed to have been made pursuant to Section 9.14), together with the aggregate outstanding amount of Investments made after the First Amendment Effective Date in Subsidiaries that are not Loan Parties pursuant to Section 6.04(c)(iii)(A), shall not exceed the Non-Loan Party Investment Amount at such time; (n) other Investments in an amount not exceed (i) the greater of $400,000,000 and 40% of Consolidated EBITDA calculated on a Pro Forma Basis for the most recently ended Test Period for which financial statements are available, plus (ii) the Cumulative Credit at the time of any such Investment; (o) advances of payroll payments to employees in the ordinary course of business; (p) Investments and other acquisitions to the extent that payment for such Investments is made solely with Qualified Equity Interests (excluding Cure Amounts) of Holdings (or any direct or indirect parent thereof); (q) Investments of a Subsidiary acquired after the First Amendment Effective Date or of a Person merged or consolidated with any Subsidiary in accordance with this Section and Section 6.03 after the First Amendment Effective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 (r) Investments made or acquired in the ordinary course trading activities of the Borrower and its Restricted Subsidiaries; (s) non-cash Investments in connection with tax planning and reorganization activities; provided that after giving effect to any such activities, the security interests of the Lenders in the Collateral, taken as a whole, would not be materially impaired;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93"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to the extent constituting Investments, any purchase, acquisition, license or lease of Intellectual Property in each case in the ordinary course of business; (u) Investments in any Foreign Subsidiary made for the purposes of providing such Foreign Subsidiary the necessary capital to comply with any capital or margin requirements of a Regulatory Supervising Organization; provided that the aggregate outstanding amount of Investments made pursuant to this clause shall not exceed $25,000,000 at any time; (v) [reserved]; (w) Investments in Joint Ventures in an amount not exceed the greater of $250,000,000 and 25% of Consolidated EBITDA calculated on a Pro Forma Basis for the most recently ended Test Period for which financial statements are available; (x) Investments in market structure companies, including securities exchanges, venues and clearing firms, in the ordinary course of business; provided that the aggregate amount of Investments at any one time outstanding under this clause (x) in any such market structure company shall not exceed $50,000,000; (y) Investments consisting of Securitization Assets or arising as a result of Permitted Securitization Financings; and (z) Investments by the Borrower and its Subsidiaries, including loans to any direct or indirect parent of the Borrower, if the Borrower or any other Subsidiary would otherwise be permitted to make a Restricted Payment in such amount (valued at the time of the making thereof, and without giving effect to any subsequent changes in value) pursuant to Sections 6.08(a)(iv), (v), (vii) (provided, that the outstanding amount of any such Investment shall also be deemed to be a Restricted Payment under the appropriate clause of Section 6.06 solely for purposes of determining capacity thereunder). For purposes of determining compliance with this covenant, (A) an Investment need not be permitted solely by reference to one category of permitted Investments (or portion thereof) described in the above clauses but may be permitted in part under any combination thereof, (B) in the event that an Investment (or any portion thereof) meets the criteria of one or more of the categories of permitted Investments (or any portion thereof) described in the above clauses, the Borrower may, in its sole discretion, classify or reclassify, or later divide, classify or reclassify, such permitted Investment (or any portion thereof) in any manner that complies with this covenant and at the time of classification or reclassification will be entitled to only include the amount and type of such Investment (or any portion thereof) in one of the categories of permitted Investments (or any portion thereof) described in the above clauses, (C) if such Investment could have been made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Investment shall be automatically reclassified (with retroactive effect) as having been incurred under the applicable provisions and (D) the amount of any Investment shall be the amount actually invested, 170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94"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without adjustment for subsequent increases or decreases in the value of such Investment, but in each case, without duplication of any adjustments to the amount of Investments permitted under Section 6.04 (other than Section 6.04(l)), net of any return in respect thereof, including dividends, interest, distributions, returns of principal, profits on sale, repayments, income and similar amounts. Section 6.05. Asset Sales. Neither Holdings nor the Borrower will, nor will they permit any Restricted Subsidiary to, sell, transfer, lease 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“Disposition”), except: (a) Dispositions of obsolete or worn out property, whether now owned or hereafter acquired, in the ordinary course of business and Dispositions of property (including abandonment of Intellectual Property) no longer used or useful in the conduct of the business of Holdings, any Intermediate Parent, the Borrower and its Restricted Subsidiaries; (b) Dispositions of inventory and other assets in the ordinary course of business; (c) Dispositions of property to the extent that (i) such property is exchanged for credit against the purchase price of similar replacement property or (ii) the proceeds of such Disposition are promptly applied to the purchase price of such replacement property; (d) Dispositions of property to the Borrower or a Restricted Subsidiary; provided that if the transferor in such a transaction is a Loan Party, then (i) the transferee must be a Loan Party or (ii) if the transferee is not a Loan Party, then (A) to the extent constituting an Investment, such Investment must be a permitted Investment in a Restricted Subsidiary that is not a Loan Party in accordance with Section 6.04 or (B) to the extent constituting a Disposition, such Disposition is for fair value and any promissory note or other non-cash consideration received in respect thereof is a permitted investment in a Restricted Subsidiary that is not a Loan Party in accordance with Section 6.04; (e) Dispositions permitted by Section 6.03 (other than Section 6.03(a)(vii)), Investments permitted by Section 6.04, Restricted Payments permitted by Section 6.08 and Liens permitted by Section 6.02; (f) the Disposition (including by capital contribution) of (i) Securitization Assets including pursuant to Permitted Securitization Financings, (ii) any other Securitization Assets subject to Liens securing Permitted Securitization Financing and (iii) receivables in connection with a receivables financing; 171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95"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Dispositions of Permitted Investments; (h) Dispositions of accounts receivable in connection with the collection or compromise thereof; (i) 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 (j) transfers of property subject to Casualty Events upon receipt of the Net Proceeds of such Casualty Event; (k) Dispositions of property to Persons other than Restricted Subsidiaries (including the sale or issuance of Equity Interests of a Restricted Subsidiary) not otherwise permitted under this Section 6.05; provided that (i) no Event of Default shall exist at the time of, or would result from, such Disposition (other than any such Disposition made pursuant to a legally binding commitment entered into at a time when no Event of Default existed or would have resulted from such Disposition) and (ii) with respect to any Disposition pursuant to this clause (k) for a purchase price in excess of the greater of $20,000,000 and 2% of Consolidated EBITDA calculated on a Pro Forma Basis for the most recently ended Test Period for which financial statements are available, Holdings, the Borrower or a Restricted Subsidiary shall receive not less than 75% of such consideration in the form of cash or Permitted Investments; provided, however, that for the purposes of this clause (ii), (A) any liabilities (as shown on the most recent balance sheet of Holdings provided 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 after the First Amendment Effective Date that is at that time outstanding, not in excess of the greater of $100,000,000 and 10% of Consolidated EBITDA calculated on a Pro Forma Basis for the most recently ended Test Period for which financial statements are available at the time of the receipt of such Designated Non-Cash Consideration, with the fair market value of each item of Designated Non-Cash Consideration being measured at the time received and without giving effect to subsequent changes in value, shall be deemed to be cash; 172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96"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 Dispositions of Investments in Joint Ventures to the extent required by, or made pursuant to customary buy/sell arrangements between, the joint venture parties set forth in joint venture arrangements and similar binding arrangements; (m) Dispositions of assets listed on Schedule 6.05; (n) Dispositions of non-core assets acquired in a Permitted Acquisition or other similar Investment; provided that (A) such assets were identified to the Administrative Agent in writing as non-core assets within thirty days of the time that the applicable Permitted Acquisition was consummated and (B) such Disposition is consummated within two years after the date on which the applicable Permitted Acquisition was consummated; (o) Dispositions of securities, Swap Agreements and other financial instruments as part of the ordinary course trading business of the Borrower and its Restricted Subsidiaries; and (p) Dispositions of non-core assets made or acquired after the First Amendment Effective Date with an aggregate value not in excess of the greater of $100,000,000 and 10% of Consolidated EBITDA calculated on a Pro Forma Basis for the most recently ended Test Period for which financial statements are available; provided that any Disposition of any property pursuant to clauses (k), (m), (n) or (p) of this Section 6.05 shall be for no less than the fair market value (as determined in good faith by the Borrower) of such property at the time of such Disposition. Section 6.06. Material Intellectual Property. Notwithstanding any provision to the contrary contained in this Agreement, neither Holdings nor the Borrower will, nor will they permit any Restricted Subsidiary to, consummate any transaction that results in the transfer by Holdings or any Restricted Subsidiary of Material Intellectual Property (whether by Investment, Restricted Payment, or any sale, lease or disposition, and whether in a single transaction or a series of related transactions, but excluding any non-exclusive license) to any Unrestricted Subsidiary. Section 6.07. Swap Agreements. Neither Holdings nor the Borrower will, nor will they permit any Restricted Subsidiary or Intermediate Parent to, enter into any Swap Agreement, except (a) (i) Swap Agreements entered into to hedge or mitigate risks to which Holdings, the Borrower or any Restricted Subsidiary has actual exposure (other than those in respect of shares of capital stock or other Equity Interests of Holdings,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the Borrower or any Restricted Subsidiary; provided that any Swap Agreement entered into pursuant to this clause (a) shall be entered into in the ordinary course of business and not for speculative purposes and (b) Swap Agreements entered into in the ordinary course trading business of the Borrower or any Restricted Subsidiary. 173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97"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6.08. Restricted Payments; Certain Payments of Indebtedness. (a) Neither Holdings nor the Borrower will, nor will they permit any Restricted Subsidiary to declare or make, or agree to pay or make, directly or indirectly, any Restricted Payment, except: (i) each Restricted Subsidiary may make Restricted Payments to the Borrower or any other Restricted Subsidiary; (ii) Holdings, the Borrower and each Restricted Subsidiary may declare and make dividend payments or other distributions payable solely in the Equity Interests of such Person; provided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 (iii) so long as no Specified Event of Default has occurred and is continuing or would be caused thereby, the payment of quarterly distributions or dividends in an amount not to exceed the Specified Dividend Amount during any fiscal quarter, commencing with the fiscal quarter in which the First Amendment Effective Date occurs; provided that for the avoidance of doubt, unused amounts with respect to any such fiscal quarter shall not be available in any other fiscal quarter; (iv) 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 (v) Holdings may redeem, acquire, retire or repurchase its Equity Interests (or any options or warrants or stock appreciation rights issued with respect to any of such Equity Interests) (or make Restricted Payments to allow any of Holdings’ direct or indirect parent companies or any Employee Holding Vehicle to so redeem, retire, acquire or repurchase Equity Interests of Holdings or such entity) 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First Amendment Effective Date together with the aggregate amount of loans and advances to Holdings made pursuant to Section 6.04(k) in lieu of Restricted Payments permitted by this clause (v) not to exceed $30,000,000 in calendar year 174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98"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2021 and $15,000,000 in any calendar year thereafter, with unused amounts in any calendar year being carried over to succeeding calendar years subject to a maximum of $45,000,000 in any calendar year (without giving effect to the following proviso); provided that such amount in any calendar year may be increased by an amount not to exceed the cash proceeds of key man life insurance policies received by the Borrower or its Restricted Subsidiaries after the First Amendment Effective Date and not previously applied pursuant to this clause (v); (vi) for any Taxable Year for which the Borrower and Holdings are each treated as a pass-through or disregarded entity (a “Flow-Through Entity”) for U.S. federal and state income tax purposes, Borrower may make distributions to Holdings and Holdings may make distributions to its members for Permitted Tax Distributions at such times and with respect to such periods as Tax Distributions (as defined in the Holdings LLC Agreement) are required to be made or designated pursuant to the Holdings LLC Agreement; provided that for any Taxable Year for which Holdings is not a Flow-Through Entity and the Borrower is a Flow-Through Entity, the Borrower may make Permitted Tax Distributions to Holdings on a quarterly basis and at the end of a Taxable Year (with the determination of the Permitted Tax Distributions to be made by substituting the Borrower for Holdings in the applicable definitions); provided, further, that Restricted Payments under this clause (vi) in respect of any taxes attributable to the income of any Unrestricted Subsidiaries of the Borrower may be made only to the extent that such Unrestricted Subsidiaries have made cash payments for such purpose to the Borrower or its Restricted Subsidiaries; (vii) any Intermediate Parent, the Borrower and the Restricted Subsidiaries may make Restricted Payments in cash to Holdings and any Intermediate Parent and, where applicable, Holdings and such Intermediate Parent may make Restricted Payments in cash: (A) 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in an aggregate amount together with the aggregate amount of loans and advances to Holdings made pursuant to Section 6.04(k) in lieu of Restricted Payments permitted by this clause (a)(vii)(A) not to exceed $20,000,000 in any fiscal year, plus any reasonable and customary indemnification claims made by directors or officers of Holdings (or any parent thereof) attributable to the ownership or operations of Holdings and the Restricted Subsidiaries or otherwise payable by Holdings pursuant to the Holdings LLC Agreement and (2) fees and expenses (x) due and payable by any of the Restricted Subsidiaries and (y) otherwise permitted to be paid (but not paid) by such Restricted Subsidiary under this Agreement; 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99"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proceeds of which shall be used by Holdings or any Intermediate Parent to pay franchise taxes, and other fees and expenses, required to maintain its organizational existence; (C) the proceeds of which shall be used by Holdings to make Restricted Payments permitted by Section 6.08(a)(iv) or Section 6.08(a)(v); (D) to finance any Investment permitted to be made pursuant to Section 6.04; provided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 5.12; (E) the proceeds of which shall be used to pay (or to make Restricted Payments to allow any direct or indirect parent thereof to pay) fees and expenses related to any equity or debt offering permitted by this Agreement; and (F) the proceeds of which shall be used to make payments permitted by clause (b)(iv) of this Section 6.08; (viii) in addition to the foregoing Restricted Payments, the Borrower may make additional Restricted Payments in an aggregate amount not to exceed the Cumulative Credit; provided, that clause (b) of the definition of “Cumulative Credit” may only be used if no Specified Event of Default shall have occurred and be continuing or would result therefrom; (ix) redemptions in whole or in part of any of its Equity Interests for another class of its Equity Interests or with proceeds from substantially concurrent equity contributions or issuances of new Equity Interests; provided that such new Equity Interests contain terms and provisions at least as advantageous to the Lenders in all respects material to their interests as those contained in the Equity Interests redeemed thereby; (x) so long as no Specified Event of Default has occurred and is continuing or would be caused thereby, Holdings, the Borrower and each Restricted Subsidiary may make additional Restricted Payments; provided that after giving effect to any such Restricted Payment, the aggregate amount of Restricted Payments made in reliance on this clause (x) after the First Amendment Effective Date shall not exceed the greater of $300,000,000 and 30% of Consolidated EBITDA 176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00"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calculated on a Pro Forma Basis for the Test Period most recently ended for which financial statements are available prior to the making of such Restricted Payment; (xi) so long as no Specified Event of Default has occurred and is continuing or would be caused thereby, Holdings, the Borrower and each Restricted Subsidiary may make unlimited Restricted Payments; provided that after giving effect to any such Restricted Payment, the Net First Lien Leverage Ratio calculated on a Pro Forma Basis as of the end of the most recent Test Period for which financial statements are available does not exceed 2.00 to 1.00; and (xii) any consideration, payment, dividend, distribution or other transfer in connection with a Permitted Securitization Financing or a receivables financing may be made. (b) Neither Holdings nor the Borrower will, nor will they permit any Restricted Subsidiary to, make or agree to pay or make, directly or indirectly, any payment or other distribution (whether in cash, securities or other property) of or in respect of principal of or interest on any Junior Financing constituting Material Indebtedness more than six (6) months prior to the maturity thereof, or any payment or other distribution (whether in cash, securities or other property), including any sinking fund or similar deposit, on account of the purchase, redemption, retirement, acquisition, cancellation or termination of any Junior Financing constituting Material Indebtedness, in each case, more than six (6) months prior to the maturity thereof, or any other payment (including the application of any payment received under any Swap Agreement in respect of any Junior Financing) that has a substantially similar effect to any of the foregoing, except: (i) payment of regularly scheduled interest and principal payments (including, for the avoidance of doubt, regularly scheduled payments pursuant to any Swap Agreement) as and when due in respect of any Indebtedness, any mandatory prepayments of principal, interest and fees thereunder, scheduled payments thereon necessary to avoid the Junior Financing from constituting “applicable high yield discount obligations” within the meaning of Section 163(i)(l) of the Code, other than, in each case, payments in respect of any Junior Financing prohibited by the subordination provisions thereof; (ii) refinancings of Indebtedness to the extent permitted by Section 6.01; (iii) the conversion of any Junior Financing to, or the exchange of any Junior Financing for, Equity Interests (other than Disqualified Equity Interests) of Holdings or any of its direct or indirect parent companies or any Intermediate Parent; provided that in the case of any such exchange, such Junior Financing is promptly cancelled; (iv) so long as no Specified Event of Default has occurred and is continuing or would be caused thereby, prepayments, redemptions, purchases, defeasances and other payments in respect of Junior Financings prior to their scheduled maturity (including, for the avoidance of doubt, prepayments, 177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01"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redemptions, purchases, defeasances and other payments resulting from the termination of any Swap Agreement) (“Junior Financing Prepayments”) in an amount not to exceed the Cumulative Credit at the time when such Junior Financing Prepayment is made; (v) so long as no Specified Event of Default has occurred and is continuing or would be caused thereby, additional Junior Financing Prepayments; provided that after giving effect to any such Junior Financing Prepayment, the aggregate amount of Junior Financing Prepayments made in reliance on this clause (v) after the First Amendment Effective Date shall not exceed the greater of $250,000,000 and 25% of Consolidated EBITDA calculated on a Pro Forma Basis for the Test Period most recently ended for which financial statements are available prior to the making of such Junior Financing Prepayment; and (vi) so long as no Specified Event of Default has occurred and is continuing or would be caused thereby, Holdings, the Borrower and the Restricted Subsidiaries may make unlimited Junior Financing Prepayments; provided that after giving effect to any such Junior Financing Prepayment, the Net First Lien Leverage Ratio calculated on a Pro Forma Basis as of the end of the most recent Test Period for which financial statements are available does not exceed 2.25 to 1.00. Section 6.09. Transactions with Affiliates. Neither Holdings nor the Borrower will, nor will they permit any Restricted Subsidiary to, sell, lease or otherwise transfer any property or assets to, or purchase, lease or otherwise acquire any property or assets from, or otherwise engage in any other transactions with, any of its Affiliates involving aggregate consideration (or payments) in excess of the greater of $25,000,000 and 2.5% of Consolidated EBITDA calculated on a Pro Forma Basis for the Test Period most recently ended for which financial statements are available, except (a) transactions with Holdings, the Borrower or any Restricted Subsidiary or any Person that becomes a Restricted Subsidiary as a result of such transaction, (b) on terms substantially as favorable to Holdings, the Borrower or such Restricted Subsidiary as would be obtainable by such Person at the time in a comparable arm’s-length transaction with a Person other than an Affiliate as determined by the Borrower in good faith, (c) Holdings, the Borrower or any Restricted Subsidiary shall be permitted to enter any underwriting agreements, stock purchase agreements or other similar agreements in connection with offerings of securities and provide customary representations, warranties, covenants and indemnities in respect of Virtu Financial, Inc., its subsidiaries and such offering in connection therewith, (d) issuances of Equity Interests of Holdings to the extent otherwise permitted by this Agreement, (e) employment and severance arrangements between Holdings, the Borrower and the Restricted Subsidiaries and their respective officers and employees in the ordinary course of business (including loans and advances pursuant to Sections 6.04(b) and 6.04(o)), (f) 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Tax Distributions, (g) the payment of customary fees and reasonable out-of-pocket costs to, and indemnities provided on behalf of, directors, officers and employees of Holdings, the Borrower and the Restricted Subsidiaries in the ordinary 178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02"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course of business to the extent attributable to the ownership or operation of Holdings, the Borrower and the Restricted Subsidiaries, (h) transactions pursuant to any permitted agreements in existence or contemplated on the First Amendment Effective Date and set forth on Schedule 6.09 or any amendment thereto to the extent such an amendment is not adverse to the Lenders in any material respect, (i) Restricted Payments permitted under Section 6.08, (j) Investments, loans or advances that are permitted to be made in lieu of Restricted Payments pursuant to Section 6.04, (k) transactions pursuant to any Permitted Securitization Financing or a receivables sale or financing and (l) any transaction in respect of which the Borrower delivers to the Administrative Agent a letter addressed to the sole member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when taken as a whole, to the Borrower or the applicable Subsidiary, as applicable, than would be obtained in a comparable arm’s-length transaction with a person that is not an Affiliate or (ii) such transaction is fair, when taken as a whole, to the Borrower or the applicable Subsidiary, as applicable, from a financial point of view. Section 6.10. Restrictive Agreements. Neither Holdings nor the Borrower will, nor will they permit any Restricted Subsidiary to, directly or indirectly, enter into, incur or permit to exist any agreement or other arrangement that prohibits, restricts or imposes any condition upon (a) the ability of Holdings, the Borrower or any other Subsidiary Loan Party to create, incur or permit to exist any Lien upon any of its property or assets to secure the Secured Obligations or (b) the ability of any Restricted Subsidiary that is not a Loan Party to pay dividends or other distributions with respect to any of its Equity Interests or to make or repay loans or advances to any Restricted Subsidiary or to Guarantee Indebtedness of any Restricted Subsidiary; provided that the foregoing clauses (a) and (b) shall not apply to any such restrictions that (i)(x) exist on the First Amendment Effective Date and (to the extent not otherwise permitted by this Section 6.10) are listed on Schedule 6.10 and (y) any renewal, extension, amendment, modification or replacement of a restriction permitted by clause (i)(x) or any agreement evidencing such restriction so long as such renewal, extension, amendment, modification or replacement does not materially expand the scope of such restrictions (as determined in good faith by the Borrower); (ii)(x) are binding on a Subsidiary at the time such Subsidiary first becomes a Subsidiary, so long as such restrictions were not entered into solely in contemplation of such Person becoming a Subsidiary and (y) any renewal, extension, amendment, modification or replacement of a restriction permitted by clause (ii)(x) or any agreement evidencing such restriction so long as such renewal or extension does not materially expand the scope of such restrictions (as determined in good faith by the Borrower); (iii) represent Indebtedness of a Restricted Subsidiary that is not a Loan Party that is permitted by Section 6.01; 179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03"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are customary restrictions that arise in connection with any Disposition permitted by Section 6.05 applicable pending such Disposition solely to the assets subject to such Disposition; (v) are customary provisions in joint venture agreements and other similar agreements applicable to joint ventures permitted under Section 6.04; (vi) 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 (vii) are imposed by (v) Requirements of Law, (w) any Loan Document, (x) the Secured Notes Documents or any documentation governing Incremental Equivalent Debt and any Permitted Refinancing in respect thereof, (y) any documentation governing Credit Agreement Refinancing Indebtedness and (z) any documentation governing any Permitted First Priority Refinancing Debt, Permitted Junior Lien Refinancing Debt, Permitted Unsecured Refinancing Debt or Permitted Refinancing incurred to refinance any such Indebtedness referenced in clauses (w) through (z) above; (viii) are customary restrictions contained in leases, subleases, licenses or asset sale agreements otherwise permitted hereby so long as such restrictions relate only to the assets subject thereto; (ix) comprise restrictions imposed by any agreement relating to secured Indebtedness permitted pursuant to Section 6.01(a)(v) to the extent that such restrictions apply only to the property or assets securing such Indebtedness; (x) are customary provisions restricting subletting or assignment of any lease governing a leasehold interest of Holdings, any Intermediate Parent, the Borrower or any Restricted Subsidiary; (xi) are customary provisions restricting assignment of any license, lease or other agreement; (xii) are restrictions on cash (or Permitted Investments) or deposits imposed by customers under contracts entered into in the ordinary course of business (or otherwise constituting Permitted Encumbrances on such cash or Permitted Investments or deposits); (xiii) are customary net worth provisions contained in real property leases or licenses of intellectual property entered into by the Borrower or its Subsidiaries, so long as the Borrower has determined in good faith that such net worth provisions could not reasonably be expected to impair the ability of the Borrower and its Restricted Subsidiaries to meet their ongoing obligations under the Loan Documents; 180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04"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(xv) any restriction on a Subsidiary imposed pursuant to an agreement entered into for the sale or disposition of all of the Equity Interests or all or substantially all of the assets of such Subsidiary pending the closing of such sale or disposition; (xvii) customary restrictions and conditions contained in the document relating to any Lien permitted hereunder, so long as (1) such restrictions or conditions relate only to the specific asset subject to such Lien, and (2) such restrictions and conditions are not created for the purpose of avoiding the restrictions imposed by this Section 6.10; (xviii) customary restrictions contained in leases, subleases, licenses or Equity Interests or asset sale agreements otherwise permitted hereby as long as such restrictions relate to the Equity Interests and assets subject thereto; or (xix) arise in connection with Permitted Securitization Financings on the assets and Equity Interests of the applicable Special Purpose Securitization Subsidiary. Section 6.11. Amendment of Junior Financing. Neither Holdings nor the Borrower will, nor will they permit any Restricted Subsidiary or any Intermediate Parent to, amend, modify, waive, terminate or release the documentation governing any Junior Financing, in each case if the effect of such amendment, modification, waiver, termination or release is materially adverse to the Lenders. Section 6.12. Net First Lien Leverage Ratio. The Borrower will not permit the Net First Lien Leverage Ratio as of the last day of any Financial Performance Covenant Test Period to exceed 3.75 to 1.00. Section 6.13. Changes in Fiscal Periods. Neither Holdings nor the Borrower will make any change in fiscal year; provided, however, that Holdings and the Borrower may, upon written notice to the Administrative Agent, change its 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 Section 6.14. Outbound Investment Rules.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 provided, that, notwithstanding the foregoing, the Borrower and its Subsidiaries may engage in a “covered transaction” that would be a “notifiable transaction”, as such term is defined in the Outbound Investment Rules, so long as the Borrower has complied with the requirements of the Outbound Investment Rules with 181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05"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to notifiable transactions and provided advance written notice of such “notifiable transaction” to the Administrative Agent. ARTICLE 7 EVENTS OF DEFAULT Section 7.01. Events of Default. If any of the following events (any such event, an “Event of Default”) shall occur: (a) any Loan Party shall fail to pay any principal of any Loan or any reimbursement obligation in respect of any LC Disbursement when and as the same shall become due and payable, whether at the due date thereof or at a date fixed for prepayment thereof or otherwise; (b) 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 (c) 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for a period of 30 days after notice thereof from the Administrative Agent to the Borrower; (d) 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provided that any Event of Default under the Financial Performance Covenant is subject to the cure period provided in Section 7.02; provided, further, that failure to comply with the Financial Performance Covenant will not constitute an Event of Default with respect to any Term Loans unless and until the Required Revolving Lenders have terminated the Revolving Commitments and demanded payment of, or otherwise accelerated, the Revolving Loans and any other obligations with respect to the Revolving Commitments and Revolving Loans and have not rescinded such demand or acceleration (the “Financial Covenant Standstill”); (e) Holdings, the Borrower or any of its Restricted Subsidiaries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 (f) Holdings, the Borrower or any of its Restricted Subsidiaries shall fail to make any payment (whether of principal or interest and regardless of amount) in respect 182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06"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any Material Indebtedness, when and as the same shall become due and payable (after giving effect to any applicable grace period); (g)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provided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Trading Debt (it being understood that paragraph (f) of this Section will apply to any failure to make any payment in respect of any Trading Debt), (iii) termination events or similar events occurring under any Swap Agreement that constitutes Material Indebtedness (it being understood that paragraph (f) of this Section will apply to any failure to make any payment required as a result of any such termination or similar event) or (iv) Indebtedness with respect to Permitted Securitization Financings; (h) 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 (i) 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 (j) one or more enforceable judgments for the payment of money in an aggregate amount in excess of $50,000,000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183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07"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judgment creditor shall legally attach or levy upon assets of any such Loan Party that are material to the businesses and operations of Holdings, the Borrower and its Restricted Subsidiaries, taken as a whole, to enforce any such judgment; (k) (i) an ERISA Event occurs that has resulted or could reasonably be expected to result in liability of any Loan Party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that has resulted or could reasonably be expected to result in liability of any Loan Party in an aggregate amount that could reasonably be expected to result in a Material Adverse Effect; (l) any Lien purported to be created under any Security Document shall cease to be, or shall be asserted by any Loan Party not to be, a valid and perfected Lien on any material portion of the Collateral, with the priority required by the applicable Security Document, except (i) as a result of the sale or other disposition of the applicable Collateral in a transaction permitted under the Loan Documents, (ii) as a result of (A) the Administrative Agent no longer having possession of any stock certificates, promissory notes or other instruments delivered to it under the Security Documents or (B) as a result of a Uniform Commercial Code filing having lapsed because a Uniform Commercial Code continuation statement was not filed in a timely manner, (iii) as to Collateral consisting of real property to the extent that such losses are covered by a lender’s title insurance policy and such insurer has not denied coverage or (iv) as the direct exclusive result of acts or omissions of the Administrative Agent or any Lender within its sole control; (m) 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 (n) any Guarantee of the Loan Document Obligations by any Loan Party pursuant to the Guarantee Agreement shall cease to be in full force and effect (in each case, other than in accordance with the terms of the Loan Documents); (o) a Change in Control shall occur; (p) 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 (q) any disqualification of the Borrower or Holdings from owning any Regulated Subsidiary which disqualification remains in effect and unwaived for a period of 30 days from receipt of notification thereof by the Borrower or Holdings; provided, however, that if the Borrower or Holdings becomes the subject of a waiver application 184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08"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within such 30 day period, then such disqualification shall not constitute an Event Of Default for so long as such waiver application has not been denied; then, and in every such event (other than (x) an event with respect to Holdings or the Borrower described in paragraph (h) or (i) of this Section 7.01 or (y) any Event of Default arising out of a failure to observe or perform the Financial Performance Covenant), and at any time thereafter during the continuance of such event, the Administrative Agent may, and at the request of the Required Lenders shall, by notice to the Borrower, take any of the following actions, at the same or different times: (i) terminate the Revolving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(iii) require that the Borrower deposit in the LC Cash Collateral Account an additional amount in cash as reasonably requested by the Issuing Banks (not to exceed 105% of the relevant face amount) of the then outstanding LC Exposure (minus the amount then on deposit in the LC Cash Collateral Account); and (A) in the case of any event with respect to Holdings or the Borrower described in paragraph (h) or (i) of this Section 7.01, the Commitments shall automatically terminate and the principal of the Loans then outstanding, together with accrued interest thereon and all fees and other Loan Document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and (B) during the continuance of any Event of Default arising out of a failure to observe or perform the Financial Performance Covenant, (X) upon the request of the Required Revolving Lenders (but not the Required Lenders or any other Lender or group of Lenders), the Administrative Agent shall, by notice to the Borrower, (1) terminate the Revolving Commitments, and thereupon such Revolving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(3) require that the Borrower deposit in the LC Cash Collateral Account an additional amount in cash as reasonably requested by the Issuing Banks (not to exceed 105% of the relevant face amount) of the then outstanding LC Exposure (minus the amount then on deposit in the LC Cash Collateral Account) and (Y) subject to the Financial Covenant Standstill,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185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09"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 Section 7.02. Right to Cure. (a) Notwithstanding anything to the contrary contained in Section 7.01, in the event that the Borrower and the Restricted Subsidiaries fail to comply with the requirements of the Financial Performance Covenant as of the last day of any Financial Performance Covenant Test Period, then at any time after the beginning of such fiscal quarter until the expiration of the 10th day subsequent to the earlier of (i) the date on which a Compliance Certificate with respect to such fiscal 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 5.01(a) or (b) (the “Cure Deadline”),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“Cure Right”), and upon the receipt by the Borrower of the Net Proceeds of such issuance (which Net Proceeds may not be included in the calculation of the Cumulative Credit) (the “Cure Amount”) pursuant to the exercise by Holdings of such Cure Right such Financial Performance Covenant shall be recalculated giving effect to the following pro forma adjustment: (i)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and (ii) 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 186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10"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provided that the Borrower shall have notified the Administrative Agent of the exercise of such Cure Right (a “Cure Notice”) within five (5) Business Days of the issuance of the relevant Qualified Equity Interests for cash or the receipt of the cash contributions by Holdings. (iii) Notwithstanding anything to the contrary, (i) neither the Administrative Agent nor any Lender shall exercise any right to accelerate the Loans or terminate the Revolving Commitments, and none of the Administrative Agent, nor any Lender or Secured Party shall exercise any right to foreclose on or take possession of the Collateral or any other right or remedy under the Loan Documents solely on the basis of the relevant Event of Default under Section 7.01(d); and (ii) no Revolving Lender, Swingline Lender or Issuing Bank shall be required to make any Loans or issue any Letter of Credit from and after such time as the Administrative Agent has received the Cure Notice unless and until the Cure Amount is actually received on or prior to the Cure Deadline; (b) 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 Financial Performance Covenant with respect to the applicable fiscal quarter and any amounts in excess thereof shall not be deemed to be a Cure Amount. Notwithstanding any other provision in this Agreement to the contrary, (x) the Cure Amount received pursuant to any exercise of the Cure Right shall be disregarded for purposes of determining any financial ratio based conditions or any available basket under Article 6 of this Agreement and (y) there shall be no pro forma reduction in Indebtedness with the proceeds of any Cure Amount for determining compliance with the financial maintenance covenants for the fiscal quarter with respect to which such Cure Right is exercised. ARTICLE 8 ADMINISTRATIVE AGENT AND COLLATERAL AGENT Section 8.01. General. Each Lender hereby irrevocably appoints the Administrative Agent its agent and authorizes the Administrative Agent to take such actions on its behalf and to exercise such powers as are delegated to it by the terms of the Loan Documents, together with such actions and powers as are reasonably incidental thereto. The Administrative Agent shall also act as the “collateral agent” under the Loan Documents (and for purposes of this Article 8, the Administrative Agent acting in its capacity as such and acting in its capacity as collateral agent shall be referred to collectively as the “Agent” or the “Agents”),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187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11"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 the “collateral agent” under the Loan Documents) as if set forth in full herein with respect thereto. 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 The institution serving as the Administrative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 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provided that neither Agent shall be required to take any action that, in its opinion or the opinion of its counsel, may expose such Agent to liability or that is contrary to any Loan Document or applicable law, and (c) except as expressly set forth in the Loan Documents, neither Agent shall have any duty to disclose, nor shall it be liable for the failure to disclose, any information relating to Holdings, the Borrower or any of the Subsidiaries that is communicated to or obtained by the bank serving as Administrative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188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12"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 Party or any other Person liable for the payment of any Secured Obligations or as to the use of the proceeds of the Loans, (viii) the properties, books or records of any Loan Party, (ix) the existence or possible existence of any Event of Default or Default or (x) the satisfaction of any condition set forth in Article 4 or elsewhere in any Loan Document, other than to confirm receipt of items expressly required to be delivered to such Agent.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may also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 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 The Administrative Agent may resign at any time by giving 30 days’ prior written notice thereof to the Lenders, the Issuing Banks and the Borrower, whether or not a successor Administrative Agent has been appointed. If the Administrative Agent becomes the subject of a bankruptcy or insolvency proceeding, or has had a receiver, conservator, trustee or custodian appointed for it, or has consented to, approved of or acquiesced in any such proceeding or appointment or has a parent company that has 189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13"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 may be removed as the Administrative Agent hereunder at the request of the Borrower and the Required Lenders. Upon receipt of any such notice of resignation or upon such removal,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or delayed) (provided that no consent of the Borrower shall be required if an Event of Default under Section 7.01(a), (b), (h) or (i)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Notwithstanding the preceding paragraph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continue to be entitled to the rights set forth in such Security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190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14"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8.01,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in clause (i) above. 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Neither Agent shall have any duty or responsibility, either initially or on a continuing basis, to make any investigation or any appraisal on behalf of Lenders or any Issuing Bank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15"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8.01 shall be conclusive, absent manifest error.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Secured Obligations owed by the Borrower or any other Loan Party except, in each case, to the extent such Payment is, and solely with respect to the amount of such Payment that is, comprised of funds received by the Administrative Agent from the Borrower or any other Loan Party for the purpose of making such Payment. Each party’s obligations under this Section 8.01 shall survive the resignation or replacement of the Administrative Agent or any transfer of rights or obligations by, or the replacement of, a Lender, the termination of the Commitments or the repayment, satisfaction or discharge of all Secured Obligations under any Loan Document. 192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16"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outstanding Letters of Credit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2.12 and 9.03)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 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in any such proceeding. 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 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193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17"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 replacement of the Administrative Agent, any assignment of rights by, or the replacement of, a Lender, the termination of this Agreement and the repayment, satisfaction or discharge of all other obligations. Notwithstanding any other provision of this Agreement or any provision of any other Loan Document, each Lead Arranger is named as such for recognition purposes only, and in its capacity as such shall have no duties, responsibilities or liabilities with respect to this Agreement or any other Loan Document; it being understood and agreed that the Lead Arrangers shall be entitled to all indemnification and reimbursement rights in favor of the Agents provided herein and in the other Loan Documents. Without limitation of the foregoing, the Lead Arrangers in their respective capacities as such shall not, by reason of this Agreement or any other Loan Document, have any fiduciary relationship in respect of any Lender, any Loan Party or any other Person. The term “Lender” in this Section 8.01 shall include any Issuing Bank and the Swingline Lender. Section 8.02.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194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18"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ARTICLE 9 MISCELLANEOUS Section 9.01. Notices. (a)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 (i) if to Holdings, the Borrower, the Administrative Agent, the Issuing Banks or the Swingline Lender, to the address, fax number, e-mail address or telephone number specified for such Person on Schedule 9.01; and (ii) if to any Lender, to it at its address (or fax number, telephone number or e-mail address) set forth in its Administrative Questionnaire (including, as appropriate, notices delivered solely to the Person designated by a Lender on its 195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19"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Questionnaire then in effect for the delivery of notices that may contain material non-public information relating to the Borrower). 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(b) Electronic Communications. Notices and other communications to the Lenders, the Issuing Banks and the Swingline Lender hereunder may be delivered or furnished by electronic communication (including e-mail and Internet or intranet websites) pursuant to procedures reasonably approved by the Administrative Agent, provided that the foregoing shall not apply to notices to any Lender, the Issuing Banks or the Swingline Lender pursuant to Article 2 if such Lender, the Issuing Banks or the Swingline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(with the Borrower’s consent),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(c) The Platform. (i) The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“Approved Electronic Platform”). (ii)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196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20"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 (iii)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(iv)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(v) Each of the Lenders, each of the Issuing Banks and the Borrower agrees that the Administrative Agent may, but (except as may be required by applicable law) shall not be obligated to, store the Communications on the 197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21"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Approved Electronic Platform in accordance with the Administrative Agent’s generally applicable document retention procedures and policies. (vi) Nothing herein shall prejudice the right of the Administrative Agent, any Lender or any Issuing Bank to give any notice or other communication pursuant to any Loan Document in any other manner specified in such Loan Document. (d) Public Lenders.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 (e) Change of Address, Etc. Each of Holdings, the Borrower, the Administrative Agent, the Issuing Banks and the Swingline Lender may change its address, electronic mail address, fax or telephone number for notices and other communications or website hereunder by notice to the other parties hereto. Each Lender may change its address, fax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 (f) Reliance by Administrative Agent, Issuing Bank and Lenders. The Administrative Agent, the Issuing Banks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Issuing Bank, each Lender and the Related Parties from all losses, costs, expenses and liabilities resulting from the reliance by such Person on each notice purportedly given by or on behalf of the Borrower to the extent required by Section 9.05. All telephonic notices to and other telephonic communications with the Administrative Agent may be recorded by the Administrative Agent and each of the parties hereto hereby consents to such recording. Section 9.02. Waivers; Amendments. (a)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198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22"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 (b) 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 Refinancing Amendment, Section 6.13 with respect to a change in the fiscal year of Holdings and the Borrower or Section 2.12 with respect to an alternate rate of interest, neither this Agreement nor any Loan 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provided that no such agreement shall (i) increase the Commitment of any Lender without the written consent of such Lender (it being understood that a waiver of any condition precedent set forth in paragraphs (a) and (b) of Section 4.02 or the waiver of any Default, mandatory prepayment or mandatory reduction of the Commitments shall not constitute an extension or increase of any Commitment of any Lender), (ii) reduce the principal amount of any Loan or LC Disbursement or reduce the reimbursement obligations of the Borrower in respect of the LC Exposure or reduce the rate of interest thereon, or reduce any fees payable hereunder, without the written consent of each Lender directly and adversely affected thereby (it being understood that any change to the definition of Net First Lien Leverage Ratio, Net Secured Leverage Ratio, Net Total Leverage Ratio or in the component definitions thereof shall not constitute a reduction of interest or fees); provided that only the consent of the Required Lenders shall be necessary to waive any obligation of the Borrower to pay default interest pursuant to Section 2.11(c) or to amend or waive the MFN Protections, (iii) postpone the maturity of any Loan, or the date of any scheduled amortization payment of the principal amount of any Term Loan under Section 2.08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(x) change Section 2.16(b) or (c) in a manner that would alter the pro rata sharing of payments required thereby or (y) change Section 4.02 of the Collateral Agreement, in 199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23"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case, without the written consent of each Lender (other than a Defaulting Lender), (v) change any of the provisions of this Section without the written consent of each Lender directly and adversely affected thereby, (vi) change the percentage set forth in the definition of “Required Lenders”,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Guarantee Agreement) without the written consent of each Lender (other than a Defaulting Lender) (except as expressly provided in the Security Documents), (viii) release all or substantially all the Collateral from the Liens of the Security Documents, without the written consent of each Lender (other than a Defaulting Lender), (ix) change any provisions of any Loan Document in a manner that by its terms adversely affects the rights in respect of payments due to Lenders holding Loans of any Class differently than those holding Loans of any other Class, without the written consent of Lenders (other than a Defaulting Lender) holding a Majority in Interest of the outstanding Loans and unused Commitments of each affected Class, (x) 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 Class, as applicable or (xi) contractually subordinate the Obligations in right of payment, or contractually subordinate the Liens granted on all or substantially all of the Collateral, in each case to any other Indebtedness for borrowed money, except (A) any “debtor in-possession” facility or use of cash collateral in any insolvency proceeding or (B) any other Indebtedness so long as such Indebtedness is offered ratably (based on the amount of obligations that are adversely affected thereby held by each Lender) to all adversely affected Lenders on the same terms (other than bona fide backstop, agency or arrangement fees and reimbursement of counsel fees and other expenses in connection with the negotiation of the terms of such transaction) as offered to all other providers (or their affiliates) of such other Indebtedness for borrowed money, in each case, without the written consent of each Lender directly and adversely affected thereby; provided, further, that (A) no such agreement shall amend, modify or otherwise affect the rights or duties of the Administrative Agent, the Swingline Lender or any Issuing Bank without the prior written consent of the Administrative Agent, the Swingline Lender or such Issuing Bank, as the case may be,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24"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Documents and (ii) to include appropriately the Lenders holding such credit facilities in any determination of the Required Lenders on substantially the same basis as the Lenders prior to such inclusion and (b) guarantees, collateral 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 Notwithstanding anything to the contrary, only the consent of the Required Revolving Lenders shall be necessary to (1) waive or consent to a waiver of an Event of Default with respect to the Financial Performance Covenant or waive or amend the conditions set forth in Section 4.02 (and Section 4.02 may not be waived or amended in a manner that affects the making of any Revolving Borrowing without the consent of the Required Revolving Lenders) or (2) modify or amend the Financial Performance Covenant (and the Financial Performance Covenant may not be modified or amended without the consent of the Required Revolving Lenders) or Section 7.02 (including, in each case, the related definitions, solely to the extent such definitions are used in such Sections (but not otherwise)) or this sentence. (c) In connection with any proposed amendment, modification, waiver or termination (a “Proposed Change”)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“Non-Consenting Lender”),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provided that (a) the Borrower shall have received the prior written consent of the Administrative Agent to the extent such consent would be required under Section 9.04(b) for an assignment of Loans or Commitments, as applicable (and, if a Revolving Commitment is being assigned, each Issuing Bank and the Swingline Lender), which consent shall not unreasonably be withheld, (b) such Non-Consenting Lender shall have received payment of an amount equal to the outstanding par principal amount of its Loans and participations in LC Disbursements and Swingline Lenders, accrued interest thereon, accrued fees and all other amounts payable to it hereunder (including pursuant to Section 2.09(a)(i)) from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25"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party hereto agrees that an assignment required pursuant to this Section 9.02(c) may be effected pursuant to an Assignment and Assumption executed by the Borrower, the Administrative Agent and the assignee and that the Non-Consenting Lender required to make such assignment need not be a party thereto. (d) Notwithstanding anything in this Agreement or the other Loan Documents to the contrary, (i) the Revolving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the Required Lenders or the Required Revolving Lenders have taken or may take any action hereunder (including any consent to any amendment or waiver pursuant to this Section 9.02); provided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Net Short Lender shall have any right to approve or disapprove any amendment, waiver or consent hereunder or under any of the Loan Documents or given any notice of any Default under any Loan Document and instead shall be deemed to have voted its interest as a Lender as provided in this Section 9.02. (e) Notwithstanding anything to the contrary herein, in connection with any determination as to whether the requisite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(alone or together with its Affiliates (other than Ethically Screened Affiliates) (but subject to clause (vi) below)) (other than any Lender that is a Revolving Lender as of the First Amendment Effective Date or Affiliate of such Lender or any Lender that is a Regulated Bank) that, as a result of its (or its Affiliates (other than Ethically Screened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(in each case unless otherwise agreed to by the Borrower). In connection with any such determination, each Lender (other than (any Lender that is a Regulated Bank) shall promptly notify the Administrative Agent in writing that it is a Net Short Lender, or shall otherwise be deemed to have represented and warranted to the Borrower and the Administrative Agent that it is not a Net Short Lender (it being understood and agreed that (i) the Borrower and the Administrative Agent shall be entitled to rely on each such representation and deemed representation and (ii) the Administrative Agent shall be entitled to the exculpatory provisions of Section 8.01 with respect to each such representation and deemed representation). In respect of any notice of Default, such 202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26"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representation shall be deemed repeated at all times until the resulting Event of Default is cured or otherwise ceases to exist or the Loans are accelerated. For purposes of determining whether a Lender (alone or together with its Affiliates (other than Ethically Screened Affiliates), but subject to clause (vi) below)) has a “net short position” on any date of determination: (i) derivative contracts with respect to the Loans and/or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(other than its Excluded Affiliates or Ethically Screened Affiliates) and (y) the Borrower and other Loan Parties and any instrument issued or guaranteed by any of the Borrower or other Loan Parties, collectively, shall represent less than 5% of the components of such index, (iv) derivative transactions that are documented using the ISDA Definitions shall be deemed to create a short position with respect to the Loans and/or Commitments if such Lender (or any of its Affiliates (other than its Excluded Affiliates or Ethically Screened Affiliates) is a protection buyer or the equivalent thereof for such derivative transaction and (x) the Loans and/or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and/or the Commitments would be a “Deliverable Obligation” under the terms of such derivative transaction or (z) any of the Borrower or other Loan Parties (or any of their successors) is designated as a “Reference Entity” under the terms of such derivative transactions, (v) credit derivative transactions or other derivatives transactions not documented using the ISDA Definitions shall be deemed to create a short position with respect to the Loans and/or Commitments if such transactions are functionally equivalent to a transaction that offers the Lender or its Affiliates (other than Ethically Screened Affiliates) protection in respect of either (1) the Loans and/or the Commitments, or as to the credit quality of any of the Borrower or other Loan Parties other than, in each case, as part of an index so long as (x) such index is not created, designed, administered or requested by such Lender or its Affiliates (other than its Excluded Affiliates and Ethically Screened Affiliates) and (y) the Borrower and other Loan Parties and any instrument issued or guaranteed by any of the Borrower or other Loan Parties, collectively, shall represent less than 5% of the components of such index and (vi) in connection with any such determination, each Lender shall provide a certification or deemed certification to the Administrative Agent and the Borrower that such Lender is not coordinating or acting in concert with any of its Affiliates (other than any Ethically Screened Affiliates or any other Affiliates designated in writing by such Lender whose interests in the Loans and/or Commitments and/or any applicable total return swap, total rate of return swap, credit default swap or other derivative contract shall be included in determining whether such Lender is a Net Short Lender (each, a “Designated Affiliate”)) with respect to its interest in the Loans and/or Commitments and/or any applicable total return swap, total rate of return swap, credit default swap or 203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27"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derivative contract, in which case the interests of the Affiliates (other than any Designated Affiliates) of such Lender in any Loans and/or Commitments and/or any applicable total return swap, total rate of return swap, credit default swap or other derivative contract shall not be included in determining whether such Lender is a Net Short Lender (any such Affiliate in clause (A) or (B) above (other than any Designated Affiliates) whose Loans and/or Commitments and/or any applicable total return swap, total rate of return swap, credit default swap or other derivative contract are not included in determining whether such Lender is a Net Short Lender, an “Excluded Affiliate”). 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Notwithstanding the foregoing, this Section 9.02(e) shall not apply to any Lender that is a Revolving Lender as of the First Amendment Effective Date or any Lender that is a Regulated Bank or any of their respective Affiliates. Section 9.03. Expenses; Limitation of Liability; Indemnity, Etc. (a) The Borrower shall pay (i) all reasonable and documented or invoiced out-of-pocket costs and expenses incurred by the Administrative Agent, the Lead Arrangers, each Issuing Bank, the Swingline Lender, the Lenders and their respective Affiliates (without duplication), including the reasonable fees, charges and disbursements of Latham &amp; Watkins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 (ii) all reasonable and documented or invoiced out-of-pocket costs and expenses incurred by each Issuing Bank in connection with the issuance, amendment, renewal or extension of any Letter of Credit or any demand for payment thereunder and (iii) all reasonable and documented or invoiced out-of-pocket expenses incurred by the Administrative Agent, each Issuing Bank or any Lender, including the fees, charges and disbursements of counsel for the Administrative Agent, the Issuing Banks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 (B) in connection with the Loans made or Letters of Credit issued hereunder, including all such out-of-pocket costs and expenses incurred during any workout, restructuring or negotiations in respect of such Loans or Letters of Credit; provided that such counsel shall be limited to one lead counsel and such local counsel (exclusive of any reasonably necessary special counsel) as may reasonably be deemed necessary by the Administrative Agent in each relevant jurisdiction and, in the case of an actual or reasonably perceived conflict of interest, one additional counsel per affected party, and 204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28"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other counsel retained with the Borrower’s consent (such consent not to be unreasonably withheld or delayed). (b) To the extent permitted by applicable law (i) the Borrower and any Loan Party shall not assert, and the Borrower and each Loan Party hereby waives, any claim against the Administrative Agent, any Arranger, any Issuing Bank and any Lender, and any Related Party of any of the foregoing Persons (each such Person being called a “Lender-Related Person”) for any Liabilities arising from the use by unintended recipients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and each Loan Party of any obligation it may have to indemnify an Indemnitee, as provided in Section 9.03(c), against any special, indirect, consequential or punitive damages asserted against such Indemnitee by a third party. (c) The Borrower shall indemnify the Administrative Agent, each Issuing Bank, each Lender, the Lead Arrangers, and each Related Party of any of the foregoing Persons (each such Person being called an “Indemnitee”) against, and hold each Indemnitee harmless from, any and all Liabilities and reasonable and documented or invoiced out-of-pocket fees and expenses of any counsel for any Indemnitee (provided that such counsel shall be limited to one lead counsel and such local counsel (exclusive of any reasonably necessary special 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(ii) the performance by the parties to the Loan Documents of their respective obligations thereunder or the consummation of the Transactions or any other transactions contemplated thereby, (iii) any action taken in connection with this Agreement, including, but not limited to, the payment of principal, interest and fees, (iv)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(v)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 (vi) any actual or prospective Proceeding relating to any of the foregoing, whether based on contract, tort or any other theory, whether brought by a third party or by the Borrower, Holdings or any Subsidiary and regardless of whether any Indemnitee is a party thereto; provided that such indemnity shall not, as to any Indemnitee, be available to the extent that such Liabilities, costs or related expenses (x) 205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29"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that do not involve an act or omission by Holdings, the Borrower or any Restricted Subsidiary, except that the Administrative Agent and the Lead Arrangers, the Issuing Banks and the Swingline Lender shall be indemnified in their capacities as such with respect to any dispute under this clause (z). (d) Each Lender severally agrees to pay any amount required to be paid by the Borrower under paragraphs (a), (b) or (c) of this Section 9.03 to the Administrative Agent, each Issuing Bank and each Swingline Lender, and each Related Party of any of the foregoing Persons (each, an “Agent-Related Person”)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provided that the unreimbursed expense or Liability or related expense, as the case may be, was incurred by or asserted against such Agent-Related Person in its capacity as such; provided further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 (e) All amounts due under this Section shall be payable not later than ten (10) Business Days after written demand therefor; provided, however, that any Indemnitee shall promptly refund an indemnification payment received hereunder to the extent that there is a final judicial determination that such Indemnitee was not entitled to indemnification with respect to such payment pursuant to this Section 9.03. Section 9.04. Successors and Assigns. (a)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206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30"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Indemnitees and, to the extent expressly contemplated hereby, the Related Parties of each of the Administrative Agent, the Swingline Lender, the Issuing Banks and the Lenders) any legal or equitable right, remedy or claim under or by reason of this Agreement. (b) (i)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provided that (A) the Borrower shall be deemed to have consented to any assignment unless it has objected thereto by written notice to the Administrative Agent within 10 calendar days after receipt of a written request for such consent and (B) no consent of the Borrower shall be required for an assignment (w) solely in the case of Term Loans, to any Lender, an Affiliate of any Lender or an Approved Fund, (x) solely in the case of Revolving Loans and Revolving Commitments, to any Revolving Lender, an Affiliate of any Revolving Lender or an Approved Fund, (y) if an Event of Default under Section 7.01(a), (b), (h) or (i) has occurred and is continuing, or (z) for an assignment by Goldman Sachs to Goldman Sachs Lending Partners LLC at any time; provided, further, that if any such purported assignment is to a Competitor (other than any such assignment to a Lead Arranger (or to any Affiliate of a Lead Arranger) for the purpose of facilitating bona fide trades of Term Loans to entities that are not Disqualified Lenders), the Borrower may unreasonably withhold its consent; and provided, further, 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provided that no consent of the Administrative Agent shall be required (x) for an assignment to any Lender, an Affiliate of any Lender or an Approved Fund and (y) for an assignment by Goldman Sachs to Goldman Sachs Lending Partners LLC at any time and (C) solely in the case of Revolving Loans and Revolving Commitments, each Issuing Bank and the Swingline Lender; provided that, for the avoidance of doubt, no consent of any Issuing Bank or the Swingline Lender shall be required for an assignment of all or any portion of a Term Loan or Term Commitment. Notwithstanding anything in this Section 9.04 to the contrary, if the consent of the Borrower is required by this paragraph with respect to any assignment and the Borrower has not given the Administrative Agent written notice of its objection to such assignment within 10 calendar days after receipt of a written request for such consent, the Borrower shall be deemed to have consented to such assignment. (ii) Assignments shall be subject to the following additional conditions: (A) except in the case of an assignment to a Lender, an Affiliate of a Lender or an 207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31"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or, in the case of a Term Loan $1,000,000, such amounts to be aggregated in respect of each Lender and its Affiliates or Approved Funds, if any, unless the Borrower and the Administrative Agent otherwise consent (such consent not to be unreasonably withheld or delayed); provided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provided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 waived by the Administrative Agent) with a processing and recordation fee of $3,500; provided that the Administrative Agent, in its sole discretion, may elect to waive such processing and recordation fee; provided, further, that assignments made pursuant to Section 2.17(b) or Section 9.02(c) shall not require the signature of the assigning Lender to become effective, (D) the assignee, if it shall not be a Lender, shall deliver to the Administrative Agent any tax forms required by Section 2.15(e)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 2.22(a) by an amount not to exceed the difference between the assignor’s Revolving Commitment prior to such assignment and the assignor’s Revolving Commitment following such assignment; provided that no such consent of the Borrower shall be required if an Event of Default under Section 7.01(a), (b), (h) or (i) has occurred and is continuing. 208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32"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 (iv) 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“Register”).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 (v) 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 (vi)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209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33"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and National Commerce Act, the New York State Electronic Signatures and Records Act or any other similar state laws based on the Uniform Electronic Transactions Act. (c) (i) Any Lender may, without the consent of, or notice to, the Borrower, the Administrative Agent, the Issuing Banks or the Swingline Lender,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“Participant”)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provided that such agreement or instrument may provide that such Lender will not, without the consent of the Participant, agree to any amendment, modification or waiver described in clauses (i), (ii), (iii), (vii) and (viii) of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provided that any forms required to be delivered by any Participant pursuant to Section 2.15(e) shall be provided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provided that such Participant agrees to be subject to Section 2.16(c) as though it were a Lender. (ii)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“Participant Register”); provided that no Lender shall have any obligation to disclose all or any portion of the Participant Register to any Person (including the identity of any Participant or any information relating to a Participant’s interest in any Commitment, Loan, Letter of Credit or other obligation under any Loan Document) except to the extent such disclosure is necessary in connection with an audit or other proceeding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210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34"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participation for all purposes of this Agreement notwithstanding any notice to the contrary. (iii) 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 (d) 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 (e)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(f) Notwithstanding anything to the contrary contained in this Section 9.04 or any other provision of this Agreement each Lender shall have the right at any time to sell, assign or transfer all or a portion of its Term Commitments or Term Loans to Holdings or one of its Subsidiaries on a non pro rata basis through one or more open market purchases; provided that (i) the assigning Lender and the purchaser shall execute and deliver to the Administrative Agent a Borrower Assignment and Assumption (and shall not be required to execute and deliver an Assignment and Assumption pursuant to Section 9.04(b)(v)) which shall include a representation to the assigning Lender at the time of assignment that the it does not possess material non-public information (or, if Holdings or a parent company of Holdings is not at the time a public reporting company, material information of a type that would not reasonably be expected to be publicly available if Holdings or such parent company was a public reporting company) with 211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35"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to Holdings and its Subsidiaries that has not been disclosed to the assigning Lender or the Lenders generally (other than the Lenders that have elected not to receive material non-public information), (ii) any Loans so repurchased shall be immediately canceled, and (iii) no proceeds of Revolving Loans shall be utilized to make such purchases. (g) Notwithstanding anything to the contrary contained herein, if any Loans or Commitments are assigned or participated to (or held by) (x) a Disqualified Lender or (y) a Person without complying with the Borrower consent requirements of this Section 9.04, then: (i) the Borrower may (x) terminate any Commitment of such Person and prepay any applicable outstanding Loans at a price equal to the lesser of (I) par and (II) the amount such Person paid to acquire such Loans or Commitments, in each case, without premium, penalty, prepayment fee or breakage, and/or (y) require such person to assign its rights and obligations to one or more assignees permitted under this Agreement at the price indicated above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(ii) no such Person shall receive any information or reporting provided by the Borrower, the Administrative Agent or any Lender, (iii) for purposes of voting, any Loans or Commitments held by such person shall be deemed not to be outstanding, and such person shall have no voting or consent rights with respect to “Required Lender” or Class votes or consents, (iv) for purposes of any matter requiring the vote or consent of each Lender affected by any amendment or waiver, such person shall be deemed to have voted or consented to approve such amendment or waiver if a majority of the affected Class (giving effect to clause (iii) above) so approves, and (v) such person shall not be entitled to any expense reimbursement or indemnification rights under any Loan Documents (including Section 9.03) and the Borrower expressly reserves all rights against such person under contract, tort or any other theory and such person shall be treated in all other respects as a Defaulting Lender; it being understood and agreed that the foregoing provisions shall not apply to any assignee of a Disqualified Lender that becomes a Lender so long as such assignee is not a Disqualified Lender or an Affiliate thereof. Section 9.05. Survival.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2.13, 2.14, 2.15, 9.03, 9.08 and Article 8 shall survive and remain in full force and effect 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36"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regardless of the consummation of the transactions contemplated hereby and the occurrence of the Termination Date. Section 9.06. Counterparts; Integration; Effectiveness; Electronic Execution of Assignments and Certain Other Documents.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executed counterpart of this Agreement. (b)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213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37"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 Section 9.07.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the Issuing Banks or the Swingline Lender, as applicable, then such provisions shall be deemed to be in effect only to the extent not so limited.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 Section 9.08. Right of Setoff.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any such Issuing Bank or any such Affiliate to or for the credit or the account of the Borrower against any of and all the obligations of the Borrower then due and owing under this Agreement held by such Lender or Issuing Bank, irrespective of whether or not such Lender or Issuing Bank shall 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38"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have made any demand under this Agreement and although (i) such obligations may be contingent or unmatured and (ii) such obligations are owed to a branch or office of such Lender or Issuing Bank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provided that any failure to give or any delay in giving such notice shall not affect the validity of any such setoff and application under this Section. The rights of each Lender, each Issuing Bank and their respective Affiliates under this Section are in addition to other rights and remedies (including other rights of setoff) that such Lender, such Issuing Bank and their respective Affiliates may have. Section 9.09. Governing Law; Jurisdiction; Consent to Service of Process. (a) This Agreement shall be construed in accordance with and governed by the law of the State of New York. (b)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 (c)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 (d) Each party to this Agreement irrevocably consents to service of process in the manner provided for notices in Section 9.01. Nothing in any Loan Document will 215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39"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affect the right of any party to this Agreement to serve process in any other manner permitted by law. Section 9.10. Waiver of Jury Trial.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Section 9.11. Headings. Article and Section headings and the Table of Contents used herein are for convenience of reference only, are not part of this Agreement and shall not affect the construction of, or be taken into consideration in interpreting, this Agreement. Section 9.12. Confidentiality. (a) 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provided that solely to the extent permitted by law and other than in connection with routine audits and reviews by regulatory and self-regulatory authorities, each Lender and the Administrative Agent shall notify the Borrower as promptly as practicable of any such requested or required disclosure in connection with any legal or regulatory proceeding; provided, further, that in no event shall any Lender or the Administrative Agent be obligated or required to return any materials furnished by the Borrower or 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 assignee of or Participant in, or any prospective assignee of or Participant in, any of its rights or obligations under this Agreement, (B) any actual or prospective counterparty (or its advisors) to any Swap Agreement or derivative transaction relating to 216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40"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Loan Party or its Subsidiaries and its obligations under the Loan Documents or (C) any pledgee referred to in Section 9.04(d) (it being understood that each Person identified as a “Disqualified Lender” on Schedule 1.01(a) may be disclosed to any assignee or Participant, or prospective assignee or Participant, in reliance on this clause (v)), (vi) if required by any rating agency; provided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Issuing Bank, any Lender or any of their respective Affiliates on a nonconfidential basis from a source other than Holdings or the Borrower. In addition, the Administrative Agent and the Lead Arrangers may disclose the existence of this Agreement and information about this Agreement (other than any Information) to market data collectors and similar services providers to the lending industry to the extent reasonably required by such market data collectors or service providers to enable such party to receive league table credit for such party’s role in connection with this Agreement and the Transactions. For the purposes hereof, “Information” means all information received from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provided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 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(c) 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41"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WHO MAY RECEIVE INFORMATION THAT MAY CONTAIN MATERIAL NON-PUBLIC INFORMATION IN ACCORDANCE WITH ITS COMPLIANCE PROCEDURES AND APPLICABLE LAW, INCLUDING FEDERAL AND STATE SECURITIES LAWS. Section 9.13. USA Patriot Act.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Section 9.14. Release of Liens and Guarantees. (a) 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designation as an Unrestricted Subsidiary), (2) upon the request of the Borrower in connection with a transaction permitted by this Agreement, as a result of which such Subsidiary Loan Party ceases to be a Wholly Owned Subsidiary (it being understood that, without duplication of any other utilization of Investment capacity in connection therewith, if Holdings or any Restricted Subsidiary shall continue to hold any Investment by a Loan Party in a Restricted Subsidiary that is not a Loan Party in an amount equal to the fair market value of such retained Investment), (3) upon the request of the Borrower, if such Subsidiary Loan Party becomes a Regulated Subsidiary or an Excluded Subsidiary (other than (i) any Subsidiary Loan Party that becomes an Excluded Subsidiary solely as a result of ceasing to be a Wholly Owned Subsidiary and (ii) any Excluded Subsidiary that the Borrower, in its sole discretion, elects to maintain as a Guarantor) or (4) upon the written request of the Borrower to the Administrative Agent, if the Borrower elects to cause any Excluded Subsidiary (other than any Subsidiary Loan Party that is not required to be a Subsidiary Loan Party solely as a result of (i) being a Foreign Subsidiary and/or (ii) not being a Wholly Owned Subsidiary) that the Borrower previously elected to cause to become or remain a Subsidiary Loan Party to no longer be designated as a Subsidiary Loan Party; provided that, for the avoidance of doubt, (i) any such release shall constitute an Investment in such Subsidiary by the Borrower as of the date of such release and (ii) any Indebtedness or Liens of any such Subsidiary existing at the time of such release shall be deemed to be incurred by a Restricted Subsidiary that is not a Subsidiary Loan Party as of the date of such release.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the occurrence of the Termination Date, all obligations 218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42"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the Loan Documents and all security interests created by the Security Documents shall be automatically released. In connection with any termination or release pursuant to this Section or if a Loan Party requests the Administrative Agent to confirm that its Lien granted under the Security Documents does not attach to specified Excluded Assets, the Administrative Agent shall, at such Loan Party’s expense, return any possessory collateral held by it in respect of any Collateral so released, and execute and deliver to any Loan Party all documents and take such other actions that such Loan Party shall reasonably request, to evidence such termination, release or confirmation so long as the Borrower or applicable Loan Party shall have provided the Administrative Agent such certifications or documents as the Administrative Agent shall reasonably request in order to demonstrate compliance with this Agreement or that such assets constitute Excluded Assets. (b) Holdings may notify the Administrative Agent that it wishes to obtain the release of the Guarantee of, and grants of Liens by, any Subsidiary Loan Party under the Security Documents (any Subsidiary in respect of which such a release is given, a “Released Subsidiary”), and the Administrative Agent will, and is hereby authorized to, promptly release such Guarantee and grants of Liens of such Subsidiary Loan Party pursuant to a written notification thereof given to Holdings; provided that (i) no Default has occurred or is continuing on the date of such request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Section 6.04(c) or Section 6.04(m), as designated by Holdings to the Administrative Agent prior to such release, (iv) such Investment is permitted under Section 6.04(c) or Section 6.04(m), (v) after giving effect to such transaction on a Pro Forma Basis, not more than 10% of Consolidated EBITDA for the most recently ended Test Period shall be attributable to such Restricted Subsidiary together with all other Restricted Subsidiaries (or any successors thereto) that were released from being Loan Parties pursuant to the provisions of this Section 9.14 and (vi) the Borrower shall have provided the Administrative Agent such certifications or documents as the Administrative Agent shall reasonably request in order to demonstrate compliance with this Agreement. (c) 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of the type permitted by Section 6.02(iv). (d) Each of the Lenders and the Issuing Banks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219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43"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property, or to release any Loan Party from its obligations under any Loan Document, in each case in accordance with the terms of the Loan Document and this Section 9.14. Section 9.15. No Advisory or Fiduciary Responsibility. In connection with all aspects of each transaction contemplated hereby (including in connection with any amendment, waiver or other modification hereof or of any other Loan Document), each of the Borrower and Holdings acknowledges and agrees that (i) (A) the arranging and other services regarding this Agreement provided by the Administrative Agent, the Lenders and the Lead Arrangers are arm’s-length commercial transactions between the Borrower, Holdings and their respective Affiliates, on the one hand, and the Administrative Agent, the Lenders and the Lead Arrangers,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each of the Administrative Agent, the Lenders and the Lead Arrangers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Lenders and the Lead Arrangers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Arrangers and their respective Affiliates may be engaged in a broad range of transactions that involve interests that differ from those of the Borrower, Holdings and their respective Affiliates, and none of the Administrative Agent, the Lenders and the Lead Arrangers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Arrangers with respect to any breach or alleged breach of agency or fiduciary duty in connection with any aspect of any transaction contemplated hereby. Section 9.16. Interest Rate Limitation. 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Section 9.17. Lender Action. Each Lender and Issuing Bank agrees that it shall not take or institute any actions or proceedings, judicial or otherwise, for any right 220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44"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The provisions of this Section 9.17 are for the sole benefit of the Lenders and the Issuing Banks and shall not afford any right to, or constitute a defense available to, any Loan Party. Section 9.18. Marshalling; Payments Set Aside. Neither the Administrative Agent nor any Lender shall be under any obligation to 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Section 9.19. Margin Stock; Collateral. Each of the Lenders represents to the Administrative Agent and each of the other Lenders that it in good faith is not relying upon any margin stock (within the meaning of Regulation U of the Board of Governors) as collateral in the extension or maintenance of the credit provided in this Agreement. Section 9.20.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to the extent applicable: (i) reduction in full or in part or cancellation of any such liability; (ii) a conversion of all, or a portion of, such liability into shares or other instruments of ownership in such Affected Financial Institution, its parent 221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45"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9.21. Acknowledgement Regarding Any Supported QFCs.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9.21, the following terms have the following meanings: “BHC Act Affiliate” of a party means an “affiliate” (as such term is defined under, and interpreted in accordance with, 12 U.S.C. 1841(k)) of such party. 222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46"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[Signature Pages Intentionally Omitted] 223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3q325.htm"/>
      <w:bookmarkStart w:id="5" w:name="ksexhibit103q325"/>
      <w:bookmarkEnd w:id="4"/>
      <w:bookmarkEnd w:id="5"/>
      <w:r>
        <w:rPr/>
        <w:drawing>
          <wp:inline distT="0" distB="0" distL="0" distR="0">
            <wp:extent cx="10048875" cy="13001625"/>
            <wp:effectExtent l="0" t="0" r="0" b="0"/>
            <wp:docPr id="338"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47"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Virtu Financial Operating LLC 1633 Broadway New York, NY 10019 t: 1 212 418 0100 f: 1 212 418 0123 www.virtu.com Third Amended and Restated Employment Agreement (this “Agreement”), dated as of the date set forth on the signature page hereto to be effective as of August 1, 2025 (the “Effective Date”), between Virtu Financial Operating LLC, a Delaware limited liability company (together with all parents, affiliates and subsidiaries as the “Company”), and Aaron Simons (“Executive”). WHEREAS, the Company and Executive are party to an existing Amended and Restated Employment Agreement dated February 26, 2020, as amended and restated as of December 1, 2022 (the “Existing Agreement”) and desire to amend and restate the Existing Agreement as herein provided; and WHEREAS, Executive’s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 NOW, THEREFORE, in consideration of the mutual agreements, provisions and covenants contained herein, and intending to be legally bound hereby, the parties hereto agree as set forth below: 1. Term. a. The term of Executive’s employment under this Agreement shall continue from the Effective Date until August 1, 2030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two (2) years from the date of such Change in Control, the Term shall automatically be renewed so that the Expiration Date is two (2) years from the effective date of such Change in Control. b. 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48"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Definitions. For purposes of this Agreement, the following terms, as used herein, shall have the definitions set forth below. a. “Affiliate” means, with respect to any specified Person, any other Person that directly or indirectly, through one or more intermediaries, Controls, is Controlled by, or is under common Control with, such specified Person; provided, that in no event shall any entity Controlled by Vincent Viola but in which the Company does not have a direct or indirect ownership interest be treated as an Affiliate of the Company. b. “Cause” means: i. Executive’s willful engagement in illegal conduct or gross misconduct that is materially and demonstrably injurious to the Company, which action is not cured (if curable) within thirty (30) days after a written demand for substantial performance is received by Executive from the Company that specifically identifies in reasonable detail the action(s) that it believes Executive has engaged in and the related effect on the Company; ii. conviction of (by a court of competent jurisdiction), or entry of a plea of guilty or no contest by, Executive with respect to, a felony of which fraud or dishonesty is a material element or which involves a violation of securities laws or the rules and regulations of a self-regulatory organization applicable to Executive in connection with his position at the Company; or iii. the willful and material breach of this Agreement or any Restrictive Covenants (as defined below) by Executive which breach is not cured (if curable) within thirty (30) days after a written notice from the Company that specifically identifies in reasonable detail the willful and material breach. Any act, or failure to act, based upon authority given pursuant to a resolution duly adopted by the Board or upon the instructions of the Board or reasonably based upon the advice of outside counsel for the Company shall be conclusively presumed to be done, or omitted to be done, by Executive in good faith and in the best interests of the Company and, for the purposes of clauses (i) and (iii) of this definition, no act or failure to act on the part of Executive shall be considered “willful,” so long as Executive reasonably believed that such action, or failure to act, was in the best interests of the Company. Cause shall not exist unless and until (A) the Board has delivered to Executive written notice (a “Removal Notice”) that (x) indicates the specific provision of the definition of “Cause” relied upon, (y) sets forth in reasonable detail the facts and circumstances claimed to provide a basis for Cause under the provision so indicated and (z) includes a copy of a resolution duly adopted by a majority of the Board (excluding Executive) at a meeting of the Board called and held for such purpose (after reasonable notice to Executive and an opportunity for Executive, together with counsel, to be heard before the Board), finding that, in the opinion of the Board, Cause has occurred and setting forth in reasonable detail the facts and circumstances thereof and (B) Executive has been afforded the right to cure (if curable) any such action in accordance with clauses (i) or (iii) of the definition of Cause, as applicable. A removal of Executive for Cause shall be effective only if the Board delivers to Executive a Removal Notice within ninety (90) days after the Company first learns of the existence of the circumstances giving rise to Cause if, and only if, a reasonable Person could have determined that Cause exists upon learning of the circumstances that the Company was actually aware of at such time. c. “Change in Control” has the meaning set forth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49"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 “Control”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 e. “Disability” means Executive would be entitled to long-term disability benefits under the Company’s long-term disability plan as in effect from time to time, without regard to any waiting or elimination period under such plan and assuming for the purpose of such determination that Executive is actually participating in such plan at such time. If the Company does not maintain a long-term disability plan, “Disability” means Executive’s inability to perform Executive’s duties and responsibilities hereunder on a full-time basis after taking into account reasonable accommodations, if applicable, for a consecutive period of one hundred eighty (180) days in any three hundred sixty-five (365)-day period due to physical or mental illness or incapacity that is determined to be total and permanent by a physician mutually selected by Executive or his legal representative and the Company or its insurers. f. “Good Reason” means the termination of Executive’s employment at his initiative after, without Executive’s prior written consent, one (1) or more of the following events: i. a reduction in the Base Salary or Target Bonus opportunity, or the uncured failure by the Company (or its successor) to fulfill its obligations under this Agreement or any other material, compensatory agreement with Executive within thirty (30) days after written notice thereof from Executive to the Company; ii. the failure to elect Executive to or the removal of Executive (other than for Cause) from any of the positions described in Section 3; iii. any material diminution or adverse change in the duties, authority, responsibilities, or title of Executive from those contemplated by Section 3(a) (or, with respect to a termination in connection with a Change in Control, relative to Executive’s authority, title, duties or responsibilities immediately prior to the Change in Control) such that he no longer serves as the Chief Executive Officer of the Company (or its successor); iv. the assignment to Executive of duties or responsibilities which are materially inconsistent with or different from those contemplated by Section 3(a) or requiring Executive to report to any Person or entity instead of the Board (which, following a Change in Control shall be as defined in Section 16(b)); v. any attempt to remove Executive from any executive management position in a manner contrary to this Agreement or the Company’s then effective Certificate of Incorporation or By-Laws; vi. required relocation or performance of primary services (other than through routine and reasonable travel) by the Executive more than thirty (30) miles from his current place of employment in order to continue to perform the duties and responsibilities of his position; or vii. the failure of the Company to obtain the assumption in writing of its obligation to perform this Agreement by any successor to all or substantially all of the assets or business of the Company after a merger, consolidation, sale, or similar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50"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Notwithstanding the above, Executive’s termination of employment will not be for Good Reason unless (1) he notifies the Company in writing of the existence of the condition that he believes constitutes Good Reason within 60 days following his knowledge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 g. “Person” means any individual, firm, corporation, partnership, limited liability company, trust, joint venture, association, unincorporated entity or other entity. h. “Plan” means the Virtu Financial, Inc. Amended and Restated 2015 Management Incentive Plan. 3. Duties and Responsibilities. a. The Company hereby employs Executive, and Executive hereby accepts employment, subject to the terms and conditions contained herein, during the Term, as Chief Executive Officer. Executive will report solely to the Board of Directors of Virtu Financial, Inc. (the “Board”).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which approval will not be unreasonably withheld.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Board from time to time. Executive will have the authority customarily exercised by an individual serving as Chief Executive Officer of a corporation of the size and nature of the Company. During the Term, Executive shall serve as a member of the Board, and upon request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 b. During the Term, Executive’s principal place of employment shall be in the Company’s office in Palm Beach, Florida or such other place as is mutually agreed. Executive acknowledges that Executive’s duties and responsibilities shall require Executive to travel on business to the extent reasonably necessary to fully perform Executive’s duties and responsibilities hereunder. 4. Compensation and Related Matters. a. Base Salary. As of the Effective Date, Executive shall receive an annual base salary (“Base Salary”) at an initial rate of $1,200,000 per year, payable in accordance with the Company’s normal payroll procedures and may be increased (but not decreased) by the Board in its sole discretion. References in this Agreement to Base Salary shall be deemed to refer to the most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51"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recently effective annual base salary rate (such salary, as may be increased, the “Base Salary”). For the avoidance of doubt, the position is exempt from any and all overtime laws. b. Inducement Bonus. In addition, the Company shall pay Executive a one-time inducement bonus of $7,500,000.00 (the “Inducement Bonus”). The full amount of the Inducement Bonus shall be paid to Executive within 10 days of the date hereof, subject to applicable deductions and withholdings as required by law. The Inducement Bonus is awarded under the condition of Executive’s continued employment with the Company and is subject to a three-year vesting schedule (“Vesting Schedule”) following the Effective Date. Accordingly, the Inducement Bonus shall vest in equal monthly installments over the three-year period immediately following the Effective Date. In the event Executive voluntarily terminates Executive’s employment hereunder without Good Reason before the completion of the three-year Vesting Schedule, Executive agrees to repay the Company a prorated portion of the Inducement Bonus. Such prorated amount to be repaid shall be equal to the product of (i) the aggregate amount of the Inducement Bonus multiplied by (ii) a fraction, the numerator of which is the number of full months remaining in the Vesting Schedule at the time of such resignation without Good Reason and the denominator of which is 36. Such repayment is to be made by Executive within 30 days of such resignation without Good Reason. Further, in the event Executive’s employment hereunder is terminated by the Company for Cause prior to the third anniversary of the Effective Date, Executive agrees to repay the Company the full amount of the Inducement Bonus. The Company shall have the right to offset any amounts owed to Executive by the Company (including, but not limited to, final wages or any other compensation owed to Executive but excluding any amounts that are considered to be “deferred compensation” subject to Section 409A) against the applicable repayment amount of the Inducement Bonus if such offset is in accordance with applicable laws. For the avoidance of doubt, Executive shall not be required to repay any portion of the Inducement Bonus if Executive’s employment under this Agreement is terminated (i) by the Company without Cause, (ii) due to Executive’s death or Disability, (iii) by Executive for Good Reason, or (iv) due to expiration of the Term on the Expiration Date as a result of the Company delivering a notice of non-renewal as contemplated by Section 1. c. Annual Bonus. During the Term, for each calendar year, Executive shall be eligible to receive an annual bonus (“Annual Bonus”) with a target Annual Bonus amount of $3,000,000 (the “Target Bonus”) and a maximum Annual Bonus amount of $6,000,000 (the “Maximum Bonus”). Fifty percent (50%) of the Annual Bonus shall be based on the achievement of annual quantitative targets established in the sole and absolute discretion of the Board (the “Quantitative Goals”) and the remaining fifty percent (50%) of the Annual Bonus will be based on annual qualitative targets established by the Board (the “Qualitative Goals”). Accordingly, up to $1,500,000 of the Target Bonus and $3,000,000 of the Maximum Bonus may be earned based on the achievement of the Quantitative Goals and up to $1,500,000 of the Target Bonus and $3,000,000 of the Maximum Bonus may be earned based on the achievement of the Qualitative Goals. The Annual Bonus, if any, shall be paid fifty percent (50%) in cash, thirty percent (30%) in the form of restricted shares or restricted share units (“RSUs”), in each case, in respect of Class A common stock of the Company (the “Stock”) that vest in equal annual installments on each of the first three (3) anniversaries of the date of grant, and the remaining twenty percent (20%) shall be paid in the form of fully-vested shares of Stock or fully-vested deferred share units (“DSUs”) in respect of Stock (in each case, in accordance with any applicable timely deferral election made by Executive); provided, that, the form, manner and timing of payment (including vesting of any payment in equity or equity-based awards) with respect to the Annual Bonus is subject to change in the event of (and consistent with) any change to the payout schedule formulations that is made applicable to the senior executives of the Company. The Annual Bonus, if any, shall be payable within the period required by Section 409A of the Code such that it qualifies as a “short-term deferral” pursuant to Section 1.409A-1(b)(4) of the Department of Treasury Regulations (or any successor thereto). The Annual Bonus payable in respect of the 2025 fiscal year shall be determined on a weighted average basis, based on the elapsed time that the Existing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52"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and this Agreement were each in effect during the 2025 fiscal year. d. Equity Awards. Executive shall be eligible to receive an equity award at the beginning of each calendar year during the Term (each such grant, an “Annual Equity Award”). It is the current intention of the Board that beginning with the 2026 calendar year and throughout the Term, such Annual Equity Award will be in the form of 150,000 restricted shares of Stock or RSUs, and that any such award shall be earned and vest in accordance with the terms hereof. With respect to the 2025 calendar year, the Annual Equity Award will be in the form of 106,250 restricted shares of Stock or RSUs, 75,000 of which were previously issued under the Existing Agreement on February 4, 2025, with balance of 31,250 to be issued promptly after the date hereof, in each case which shall be earned and vest in accordance with the terms hereof. i. The number of shares earned with respect to each Annual Equity Award shall be determined based on the percentage of the Company’s budgeted EBITDA achieved in the calendar year to which such award relates in accordance with the following table: Percentage of Budgeted EBITDA Achieved Number of Shares Earned 65% or more 150,000 Less than 65% As determined at the sole discretion of the Compensation Committee of the Board, which may be 0 ii. If the Board determines that the number of shares of Stock subject to the Annual Equity Award will be greater or less than 150,000, then the amounts reflected in the table above shall be adjusted to reflect such number of shares. iii. To the extent any shares of Stock are earned with respect to any Annual Equity Award in accordance with 4(d)(i), 50% of such shares shall vest on the 31st of January following the completion of the calendar year to which such award relates and the remaining 50% shall vest on the 31st of January one year later, subject in all cases to the Executive’s continued employment through the applicable vesting date. e. Benefits and Perquisites. During the Term, Executive shall be entitled to participate in the benefit plans and programs (including, without limitation, four (4) weeks’ vacation per calendar year, health insurance and a 401(k) plan) and receive perquisites, commensurate with Executive’s position, that are provided by the Company from time to time for its senior executives generally, subject to the terms and conditions of such plans and programs. f. Business Expense Reimbursements. During the Term, the Company shall promptly reimburse Executive for Executive’s reasonable and necessary business expenses in accordance with the Company’s then-prevailing policies and procedures for expense reimbursement (which shall include appropriate itemization and substantiation of expenses incurred). g. Indemnification. The Company shall indemnify and hold harmless Executive, to the fullest extent permitted by law and the Company’s governing documents, against all claims, expenses, damages, liabilities and losses incurred by Executive by reason of the fact that Executive is or was, or had agreed to become, a director, officer, employee, agent or fiduciary of the Company or any of its subsidiaries or Affiliates, or is or was serving at the request of the Company as a director, officer, partner, venturer, proprietor, trustee, employee, agent or similar functionary of another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53"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partnership, joint venture, business, person, trust, employee benefit plan or other entity. The indemnification obligations of the Company shall survive from the Effective Date of this Agreement and continue until six (6) years following his cessation of service with the applicable entity or, if longer, one (1) year after the expiration of any applicable statute of limitations for any potential claim. During the Term and for a period of six (6) years thereafter, the Company shall cause Executive to be covered by and named as an insured under any policy or contract of insurance obtained by it to insure its directors and officers against personal liability for acts, errors or omissions in connection with service as an officer or director of the Company or any of its subsidiaries or Affiliates or service in any other capacities at the request of the Company. The coverage provided to Executive shall be of a scope and on terms and conditions at least as favorable as the most favorable coverage provided to any other officer or director of the Company (or any successor). Anything in this Agreement to the contrary notwithstanding, this Section 4(g) shall survive the termination of this Agreement for any reason. Nothing in this Agreement shall limit or reduce any other rights to indemnification that apply to Executive, whether pursuant to contract or otherwise. 5. Termination of Employment. a. 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 b. Following any termination of Executive’s employment under this Agreement, except for as provided for under this Section 5,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for payment of any unreimbursed expenses under Section 4(f), in each case accrued or incurred through the date of termination of employment, payable as soon as practicable and in all events within thirty (30) days following the date of termination of employment, (ii) for payment of any earned but unpaid Annual Bonus, if any, for the calendar year prior to the calendar year in which such termination of employment occurs, (iii) continued indemnification pursuant to Section 4(g), (iv) as explicitly set forth in any other benefit plans, programs or arrangements applicable to terminated employees in which Executive participates, other than severance plans or policies and (v) as otherwise expressly required by applicable law. For the avoidance of doubt, except for as provided for under this Section 5, any unpaid Annual Bonus for the year of termination of employment is forfeited if Executive’s employment is terminated for any reason. c. If Executive’s employment under this Agreement is terminated (i) by the Company without Cause, (ii) due to Executive’s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be entitled to receive the following termination payments and benefits: i. Severance pay in an aggregate amount equal to the greater of (x) the sum of twelve (12) months’ Base Salary, at the rate in effect immediately prior to termination (or, if higher,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54"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highest rate in effect within the preceding six months and in any event prior to any reduction giving rise to a termination for Good Reason) and (y) an amount equal to the total amount of Base Salary that Executive would have been entitled to receive had Executive continued to be employed through the Expiration Date (such amount, the “Severance Amount”), payable in cash in a single lump on the Severance Payment Date. For purposes of this Agreement, the “Severance Payment Date” means the thirtieth (30th) day following Executive’s execution of the Release (defined below); provided, however, that if such thirty (30)-day period or any consideration or revocation period applicable to the Release spans two calendar years, then the Severance Pay Date shall mean the later of (A) the first business day of the second calendar year or (B) the tenth (10th) day following the date the Release has become effective and irrevocable by its terms, subject, in each case, to any required delay of payment pursuant to Section 24; ii. (A) the Executive shall remain eligible to earn restricted shares of Stock or RSUs under his then-current Annual Equity Award in accordance with the criteria set forth in Section 4(d)(i) and, to the extent earned, the product of such earned shares multiplied by a fraction, the numerator of which is the number of calendar days the Executive was employed in the calendar year of termination, and the denominator of which is 365, shall be deemed vested on the last day of the calendar year to which such award relates, (B) any earned but unvested restricted shares of Stock or RSUs under the Annual Equity Award granted in the calendar year prior to the calendar year of the Executive’s termination shall be deemed vested as of the date of termination and (C) the Executive shall receive 150,000 fully-vested shares of Stock or, if Executive has made an applicable and timely deferral election, DSUs (clauses (A), (B) and (C), the “Equity Acceleration”); and iii. continued health, dental, vision and life insurance benefits under the terms of the applicable Company benefit plans for Executive and his spouse and eligible dependents for (x) twelve (12) months or (y) the period from Executive’s termination of employment through the Expiration Date, whichever is longer (the “Benefits Continuation Period”), subject to Executive’s payment of the cost of such benefits to the same extent that active employees of the Company are required to pay for such benefits from time to time; provided, however, that such continuation coverage shall end earlier upon Executive’s becoming eligible for comparable coverage under another employer’s benefit plans; provided, further, that following the expiration of the Benefits Continuation Period (which was not terminated as a result of Executive becoming eligible for comparable coverage under another employer’s benefit plans), Executive shall be eligible to continue his health, dental, vision and life insurance benefits for Executive and his spouse and eligible dependents under the terms of the applicable Company benefit plans until the earlier of (X) Executive’s dependents reaching the age of 26, (Y) Executive or his spouse become eligible for Medicare, or (Z) Executive becoming eligible for comparable coverage under another employer’s benefit plans, subject to Executive’s payment of the full cost of such benefits; and provided, further, that to the extent the provision of such continuation coverage is not permitted under the terms of the Company benefit plans or would result in an adverse tax consequence to the Company, the Company may alternatively provide Executive with a cash payment (the “COBRA Cash Payment”) in an amount equal to the applicable COBRA premium that Executive would otherwise be required to pay to obtain COBRA continuation coverage for such benefits for such period (minus the cost of such benefits to the same extent that active employees of the Company are required to pay for such benefits from time to time); provided, further, that the Company will use reasonable best efforts to continue coverage under the Company benefit plans to the extent legally possible without suffering any adverse consequences to the Company or other participants in such plans (the COBRA Cash Payment, if applicable, shall be paid in cash in a lump sum on the Severance Payment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55"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d. Notwithstanding anything herein to the contrary, if at any time within twenty-four (24) months following a Change in Control (as defined in the Plan as of the date thereof) or within sixty (60) days before a Change of Control or otherwise in anticipation of a Change of Control towards which material steps have been taken at the time of such termination and such Change of Control actually occurs,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in addition to the payments and benefits specified in Section 5(b): i. in lieu of the Severance Amount described in Section 5(c)(i) the Executive shall be entitled to receive two and a half (2.5) times the sum of (x) Executive’s Base Salary at the rate in effect immediately prior to termination (or, if higher, the highest rate in effect within the preceding six months and in any event prior to any reduction giving rise to a termination for Good Reason) and (y) the Target Bonus (including any amounts that would otherwise be deferred or satisfied through the grant of equity awards) if such termination occurs prior to the payment of the Annual Bonus for the 2027 fiscal year or the Annual Bonus (including any amounts that would otherwise be deferred or satisfied through the grant of equity awards) most recently awarded to Executive for the last completed fiscal year of the Company preceding such Change of Control if such termination occurs after the payment of the Annual Bonus for the 2027 fiscal year (the “CIC Severance Amount”), payable in a single lump sum on the Severance Payment Date; ii. in lieu of the Equity Acceleration described in Section 5(c)(ii), (A) the product of the number of shares of Stock under the Executive’s then-current Annual Equity Award multiplied by a fraction, the numerator of which is the number of calendar days the Executive was employed in the calendar year of termination, and the denominator of which is 365, shall be deemed vested as of the date of termination, (B) any earned but unvested restricted shares of Stock or RSUs under the Annual Equity Award granted in the calendar year prior to the calendar year of the Executive’s termination and any earned but unvested restricted shares of Stock or RSUs granted pursuant to any Annual Bonus shall be deemed vested as of the date of termination, and (C) the Executive shall receive 150,000 fully-vested shares of Stock or, if Executive has made an applicable and timely deferral election, DSUs (clauses (A), (B), and (C), the “CIC Equity Acceleration”); provided, that if Executive’s employment is terminated prior to a Change in Control and a Change in Control occurs within sixty (60) days of such termination triggering this Section 5(d), then any amounts paid prior to the Change in Control pursuant to the Equity Acceleration shall reduce the amount required to be paid pursuant to the CIC Equity Acceleration; and iii. the benefits described in Section 5(c)(iii) above, except that the Benefits Continuation Period shall be extended to (x) twenty-four (24) months or (y) the period from Executive’s termination of employment through the Expiration Date, whichever is longer. e. For avoidance of doubt, all payments owed to the Executive under Section 5 of this Agreement will be paid in a single lump sum on the Severance Payment Date. f. In the event Executive’s employment is terminated prior to a Change in Control but material steps have been taken at the time of such termination and such Change of Control actually occurs, in the event that Executive receives the Severance Amount or the Equity Acceleration prior to the occurrence of the Change in Control, then any such amounts paid prior to the Change in Control shall reduce the amount required to be paid pursuant to CIC Severance Amount or the CIC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56"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Acceleration, respectively. g. Executive’s entitlement to the payment and benefits and certain rights set forth in Sections 5(c) and 5(d) shall be conditioned upon Executive having provided an irrevocable waiver and release of claims in favor of the Company, its Affiliates, their respective predecessors and successors, and all of the respective current or former directors, officers, employees, shareholders, partners, members, agents or representatives of any of the foregoing (collectively, the “Released Parties”), substantially in the form attached hereto as Exhibit A (the “Release”), that has become effective in accordance with its terms. h. Upon termination of Executive’s employment for any reason, and regardless of whether Executive continues as a consultant to the Company, upon the Company’s request Executive agrees to resign, as of the date of such termination of employment or such other date requested, from the Board and any committees thereof, and, if applicable, from the board of directors (and any committees thereof) of any Affiliate of the Company to the extent Executive is then serving thereon. i. The payment of any amounts accrued under any benefit plan, program or arrangement in which Executive participates shall be subject to the terms of the applicable plan, program or arrangement, and any elections Executive has made thereunder. The Company’s obligation to make the payments provided for in this Agreement and otherwise to perform its obligations hereunder shall not be affected by any set-off, counterclaim, recoupment, defense, or other claim, right or action that the Company may have against Executive or others. j. Following any termination of Executive’s employment, Executive shall have no obligation to seek other employment or take any other action by way of mitigation of the amounts payable to Executive under any of the provisions of this Agreement. There shall be no offset against amounts due Executive under this agreement on account of any remuneration attributable to later employment, consultancy or other remunerative activity of Executive. 6. 280G Matters. a. If any payment to or in respect of Executive by the Company or any Affiliate, whether pursuant to this Agreement or otherwise (a “Payment”), is determined by the Auditor (as defined below) to be a “parachute payment” as defined in Section 280G(b)(2) of the Code (as defined below) (a “Parachute Payment”) and also to be subject to the excise tax imposed by Section 4999 of the Code, or any interest or penalties are incurred by Executive with respect to such excise tax (such excise tax, together with any such interest and penalties, being herein collectively referred to as the “Excise Tax”), then the aggregate amount of the Parachute Payments otherwise payable to Executive under this Agreement (unless otherwise agreed by Executive) shall be reduced if and to the extent that such reduction would result in Executive retaining a greater net after-tax amount than Executive would have retained had he received the full amount of the Parachute Payments (and paid the applicable Excise Tax), with such reductions coming first from amounts that are exempt from Section 409A and, thereafter, from amounts that are subject to Section 409A, in each case in reverse chronological order of their scheduled distributions. b. All determinations required to be made under this Section 6, including whether an Excise Tax is payable by Executive, the amount of such Excise Tax and the determination of which Parachute Payments shall be reduced, shall be made by the Company’s regular auditor, unless Executive objects to the use of that auditor, in which event the auditor shall be an independent auditor or other independent professional services organization that is a certified public accounting firm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57"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If the Auditor determines that the aggregate Payments to Executive under this Agreement should be reduced in accordance with Section 6(a), the Company shall promptly give Executive notice to that effect and a copy of the detailed calculation thereof. All determinations made by the Auditor under this Section 6 shall be binding upon the Company and Executive and shall be made as soon as reasonably practicable and in no event later than 10 days following the date of Executive’s termination of employment. All fees and expenses of the Auditor shall be borne solely by the Company. c. For purposes of this Agreement, the term “Code” shall mean the Internal Revenue Code of 1986, as amended, including all final regulations promulgated thereunder and any reference to a particular section of the Code shall include any provision that modifies, replaces or supersedes such section. The parties acknowledge that Executive’s continuing agreement to be bound by the Restrictive Covenants are partial consideration for the Company’s entering into this Agreement, and that at the request of Executive, the Company shall cause the Auditor to take into account the value of any reasonable compensation for services to be rendered by Executive before or after a Change in Control, including the Restrictive Covenants, in computing the amount of Parachute Payments under Section 280G of the Code, and the Company shall cooperate with Executive and the Auditor in performing such valuation. 7. Consent to Jurisdiction; Waiver of Jury Trial. a. Except as otherwise specifically provided herein, Executive and the Company each hereby irrevocably submits to the exclusive jurisdiction of the federal courts located within Palm Beach County, Florida (or, if subject matter jurisdiction in such courts are not available, in any state court located within Palm Beach County, Florida) over any dispute arising out of or relating to this Agreement. Except as otherwise specifically provided in this Agreement, the parties undertake not to commence any suit, action or proceeding arising out of or relating to this Agreement in a forum other than a forum described in this Section 7(a); provided, however, that nothing herein shall preclude either party from bringing any suit, action or proceeding in any other court for the purpose of enforcing the provisions of this Section 7 or enforcing any judgment obtained by either party. b. The agreement of the parties to the forum described in Section 7(a) is independent of the law that may be applied in any suit, action, or proceeding and the parties agree to such forum even if such forum may under applicable law choose to apply non-forum law. The parties hereby waive, to the fullest extent permitted by applicable law, any objection which they now or hereafter have to personal jurisdiction or to the laying of venue of any such suit, action or proceeding brought in an applicable court described in Section 7(a), and the parties agree that they shall not attempt to deny or defeat such personal jurisdiction by motion or other request for leave from any such court. The parties agree that, to the fullest extent permitted by applicable law, a final and non-appealable judgment in any suit, action or proceeding brought in any applicable court described in Section 7(a) shall be conclusive and binding upon the parties and may be enforced in any other jurisdiction. c. The parties hereto irrevocably consent to the service of any and all process in any suit, action or proceeding arising out of or relating to this Agreement by the mailing of copies of such process to such party at such party’s address specified in Section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58"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 Each party hereto hereby waives, to the fullest extent permitted by applicable law, any right it may have to a trial by jury 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 (ii) acknowledges that it and the other party hereto has been induced to enter into this Agreement by, among other things, the mutual waiver and certifications in this Section 7(d). e. Each party shall bear its own costs and expenses (including reasonable attorneys’ fees and expenses) incurred in connection with any dispute arising out of or relating to this Agreement, except as provided in the following sentence. The Company agrees to pay as incurred (within ten (10) days following the Company’s receipt of an invoice from Executive), to the fullest extent permitted by law, all legal fees and expenses that Executive may reasonably incur as a result of any contest (regardless of the outcome thereof) by the Company, Executive or others of the validity or enforceability of, or liability under, any provision of this Agreement or any guarantee of performance thereof (including as a result of any contest by Executive about the amount of any payment pursuant to this Agreement) that arises in connection with or following a Change in Control, plus, in each case, interest on any delayed payment at the applicable federal rate provided for in Section 7872(f)(2)(A) of the Code (“Interest”), based on the applicable rate on the date such legal fees and expenses were incurred. 8. Offset and Mitigation. No payments due Executive hereunder shall be subject to any offset for obligations owed by Executive to the Company or its Affiliates (except as required by applicable law). In no event shall Executive be obligated to seek other employment or take any other action by way of mitigation of the amounts payable to Executive under any of the provisions of this Agreement. 9. Restrictive Covenants. Executive acknowledges and agrees that Executive shall continue to be bound by the restrictive covenants to which he is presently bound, including those set forth in the Proprietary Agreement (as defined below) (collectively, the “Restrictive Covenants”), in accordance with the terms and conditions thereof; provided, however,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 10. Return of Property. Executive acknowledges that all notes, memoranda, specifications, devices, formulas, records, files, lists, drawings, 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 with applicable Company employee policies generally, except as may otherwise be agreed by Executive and the Company at the time of termination; provided, that Executive shall be permitted to retain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59"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copy of his contacts/rolodex, including in electronic form. 11. Intellectual Property Rights. a. Executive agrees that the results and proceeds of Executive’s services for the Company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Executive, either alone or jointly with others (collectively, “Inventions”), shall be works-made-for- hire and the Company shall be deemed the sole owner throughout the universe of any and all trade secret, patent, copyright and other intellectual property rights (collectively, “Proprietary Rights”) of whatsoever nature therein, whether or not now or hereafter known, existing, contemplated, recognized or developed, with the right to use the same in perpetuity in any manner the Company determines in its sole discretion, without any further payment to Executive whatsoever. If, for any reason, any of such results and proceeds shall not legally be a work-made-for-hire and/or there are any Proprietary Rights which do not accrue to the Company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and the Company shall have the right to use the same in perpetuity throughout the universe in any manner determined by the Company without any further payment to Executive whatsoever. As to any Invention that Executive is required to assign, Executive shall promptly and fully disclose to the Company all information known to Executive concerning such Invention. b. Executive agrees that, from time to time, as may be requested by the Company and at the Company’s sole cost and expense,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11(b) is subject to and shall not be deemed to limit, restrict or constitute any waiver by the Company of any Proprietary Rights of ownership to which the Company may be entitled by operation of law by virtue of the Company’s being Executive’s employer. Executive further agrees that, from time to time, as may be requested by the Company and at the Company’s sole cost and expense, Executive shall assist the Company in every proper and lawful way to obtain and from time to time enforce Proprietary Rights relating to Inventions in any and all countries.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obligations under this Section 11 shall continue beyond the termination of Executive’s employment with the Company. c. Executive hereby waives and quitclaims to the Company any and all claims, of any nature whatsoever, that Executive now or may hereafter have for infringement of any Proprietary Rights assigned hereunder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60"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12. Remedies and Injunctive Relief. Executive acknowledges that a violation by Executive of any of the covenants contained in Sections 9, 10 or 11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10 or 11 in addition to any other legal or equitable remedies it may have. The preceding sentence shall not be construed as a waiver of the rights that the Company may have for damages under this Agreement or otherwise, and all of the Company’s rights shall be unrestricted. 13. Representations of Executive; Advice of Counsel. a. 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 b. 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 The Company shall reimburse Executive for legal fees reasonably incurred in connection with the preparation and negotiation of this Agreement and related documents, which shall be paid within ten (10) days of presentation, subject to a maximum cap of $25,000. 14. Cooperation. Executive agrees that, upon reasonable notice and without the necessity of the Company obtaining a subpoena or court order, 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 15. Withholding. The Company may deduct and withhold from any amounts payable under this Agreement such Federal, state, local, non-U.S. or other taxes as are required to be withheld pursuant to any applicable law or regulation. 16.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61"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 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16(b). b. 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 c. Executive acknowledges and agrees that all of Executive’s covenants and obligations to the Company, as well as the rights of the Company hereunder, shall run in favor of and shall be enforceable by the Company and its successors and assigns. 17. Governing Law; No Construction Against Drafter. This Agreement shall be deemed to be made in the State of New York, and the validity, 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 18. Amendment; No Waiver; Severability. a. 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 b.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provided, that in the event that any court of competent jurisdiction shall finally hold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62"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in a non-appealable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19. Entire Agreement.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July 8, 2008, and Executive’s joinder agreement to the Amended and Restated Limited Liability Company Agreement of Virtu Employee Holdco LLC shall each continue in full force and effect in accordance with their terms, and any award agreements issued pursuant to the Plan shall continue in full force and effect in accordance with their terms. None of the parties shall be liable or bound to any other party in any manner by any representations and warranties or covenants relating to such subject matter except as specifically set forth herein. 20. Survival. The rights and obligations of the parties under the provisions of this Agreement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 21. Notices.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 If to the Company: Virtu Financial 1633 Broadway, 41st Floor New York, NY 10019 Attn: Legal Department E-mail: Legal @virtu.com If to Executive: At the most recent address on file in the Company’s records With a copy (which shall not constitute notice) to: Cohen &amp; Buckmann, P.C. Attn: Sandra Cohen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63"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17 100 Park Avenue – 16th Floor New York, New York 10017 E-Mail: sandra@cohenbuckmann.com Notices delivered by email shall have the same legal effect as if such notice had been delivered in person. 22. Headings and References.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 23. Counterparts.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 24. Section 409A. a. For purposes of this Agreement, “Section 409A” means Section 409A of the Code,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 b. Notwithstanding anything in this Agreement to the contrary, the following special rule shall apply, if and to the extent required by Section 409A, in the event that (i) Executive is deemed to be a “specified employee” within the meaning of Section 409A(a)(2)(B)(i) (as determined in accordance with the methodology established by the Company as in effect on the date of Executive’s “separation from service” (within the meaning of Treasury Regulations Section 1.409A-1(h))), (ii) amounts or benefits under this Agreement or any other program, plan or arrangement of the Company or a controlled group affiliate thereof are due or payable on account of separation from service and (iii) Executive is employed by a public company or a controlled group affiliate thereof: no payments hereunder that are “deferred compensation” subject to Section 409A shall be made to Executive prior to the date that is six (6) months after the date of Executive’s separation from service or, if earlier, ten (10) days following Executive’s date of death; following any applicable six (6)-month delay, all such delayed payments, plus Interest based on the applicable rate as of the date payment would have been made but for the Section 409A delay, will be paid in a single lump sum on the earliest permissible payment date. c. Any payment or benefit due or payable on account of Executive’s separation from service that represents a “deferral of compensation” within the meaning of Section 409A shall commence to be paid or provided to Executive on the Severance Payment Date, subject to Section 24(b). 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Regulations §§ 1.409A-1(b)(4) (“short-term deferrals”) and (b)(9) (“separation pay plans,” including the exception under subparagraph (iii)) and other applicable provisions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64"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Section 409A, and shall be paid under any such exception to the maximum extent permitted. For purposes of this Agreement, with respect to payments of any amounts that are considered to be “deferred compensation” subject to Section 409A, references to “termination of employment,” “termination,” or words and phrases of similar import, shall be deemed to refer to Executive’s “separation from service” as defined in Section 409A, and shall be interpreted and applied in a manner that is consistent with the requirements of Section 409A. In no event may Executive, directly or indirectly, designate the calendar year of any payment under this Agreement. d. Notwithstanding anything to the contrary in this Agreement, any payment or benefit under this Agreement or otherwise that is eligible for exemption from Section 409A pursuant to Treasury Regulation § 1.409A-1(b)(9)(v)(A) or (C) (relating to certain reimbursements and in-kind benefits) shall be paid or provided to Executive only to the extent that the expenses are not incurred, or the benefits are not provided, beyond the last day of the second calendar year following the calendar year in which Executive’s “separation from service” occurs; and provided further that such expenses are reimbursed no later than the last day of the third calendar year following the calendar year in which Executive’s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(1)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Executive incurred such indemnification payment or expenses, and in no event shall any right to indemnification payment or reimbursement or the provision of any in-kind benefit be subject to liquidation or exchange for another benefit.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65"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This Agreement has been duly executed by the parties as of the date first written above. VIRTU FINANCIAL OPERATING LLC: By: Name: Michael T. Viola Title: Chairman, Virtu Financial, Inc. Date: EXECUTIVE: By: Name: Aaron Simons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66"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EXHIBIT A FORM OF EXECUTIVE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67"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CEO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Aaron Simons,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ending September 30, 2025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83"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606"/>
        <w:gridCol w:w="606"/>
        <w:gridCol w:w="85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Aaron Simons</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Aaron Simons</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9"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CFO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Cindy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ending September 30, 2025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62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23"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588"/>
        <w:gridCol w:w="588"/>
        <w:gridCol w:w="83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60"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Virtu Financial, Inc. (the “Company”) for the period ended September 30, 2025 as filed with the Securities and Exchange Commission on the date hereof (the “Report”), I, Aaron Simons, certify, pursuant to 18 U.S.C. Section 1350, as adopted pursuant to Section 906 of the Sarbanes-Oxley Act of 2002, in my capacity as an officer of the Company that, to my knowledge:</w:t>
      </w:r>
    </w:p>
    <w:p>
      <w:pPr>
        <w:pStyle w:val="TextBody"/>
        <w:bidi w:val="0"/>
        <w:spacing w:before="0" w:after="0"/>
        <w:ind w:left="0" w:right="0" w:firstLine="12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1260"/>
        <w:jc w:val="center"/>
        <w:rPr>
          <w:color w:val="000000"/>
        </w:rPr>
      </w:pPr>
      <w:r>
        <w:rPr>
          <w:color w:val="000000"/>
        </w:rPr>
        <w:t> </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Aaron Simons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Aaron Simons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61"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Virtu Financial, Inc. (the “Company”) for the period ended September 30, 2025 as filed with the Securities and Exchange Commission on the date hereof (the “Report”), I, Cindy Lee, certify, pursuant to 18 U.S.C. Section 1350, as adopted pursuant to Section 906 of the Sarbanes-Oxley Act of 2002, in my capacity as an officer of the Company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82" w:type="dxa"/>
        <w:jc w:val="left"/>
        <w:tblInd w:w="0" w:type="dxa"/>
        <w:tblLayout w:type="fixed"/>
        <w:tblCellMar>
          <w:top w:w="28" w:type="dxa"/>
          <w:left w:w="28" w:type="dxa"/>
          <w:bottom w:w="28" w:type="dxa"/>
          <w:right w:w="28" w:type="dxa"/>
        </w:tblCellMar>
      </w:tblPr>
      <w:tblGrid>
        <w:gridCol w:w="124"/>
        <w:gridCol w:w="109"/>
        <w:gridCol w:w="109"/>
        <w:gridCol w:w="597"/>
        <w:gridCol w:w="597"/>
        <w:gridCol w:w="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2"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2386/000159238623000053/exhibit31q223.htm" TargetMode="External"/><Relationship Id="rId3" Type="http://schemas.openxmlformats.org/officeDocument/2006/relationships/hyperlink" Target="https://www.sec.gov/Archives/edgar/data/1592386/000110465915042100/a15-8228_1ex3d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image" Target="media/image79.jpeg"/><Relationship Id="rId83" Type="http://schemas.openxmlformats.org/officeDocument/2006/relationships/image" Target="media/image80.jpeg"/><Relationship Id="rId84" Type="http://schemas.openxmlformats.org/officeDocument/2006/relationships/image" Target="media/image81.jpeg"/><Relationship Id="rId85" Type="http://schemas.openxmlformats.org/officeDocument/2006/relationships/image" Target="media/image82.jpeg"/><Relationship Id="rId86" Type="http://schemas.openxmlformats.org/officeDocument/2006/relationships/image" Target="media/image83.jpeg"/><Relationship Id="rId87" Type="http://schemas.openxmlformats.org/officeDocument/2006/relationships/image" Target="media/image84.jpeg"/><Relationship Id="rId88" Type="http://schemas.openxmlformats.org/officeDocument/2006/relationships/image" Target="media/image85.jpeg"/><Relationship Id="rId89" Type="http://schemas.openxmlformats.org/officeDocument/2006/relationships/image" Target="media/image86.jpeg"/><Relationship Id="rId90" Type="http://schemas.openxmlformats.org/officeDocument/2006/relationships/image" Target="media/image87.jpeg"/><Relationship Id="rId91" Type="http://schemas.openxmlformats.org/officeDocument/2006/relationships/image" Target="media/image88.jpeg"/><Relationship Id="rId92" Type="http://schemas.openxmlformats.org/officeDocument/2006/relationships/image" Target="media/image89.jpeg"/><Relationship Id="rId93" Type="http://schemas.openxmlformats.org/officeDocument/2006/relationships/image" Target="media/image90.jpeg"/><Relationship Id="rId94" Type="http://schemas.openxmlformats.org/officeDocument/2006/relationships/image" Target="media/image91.jpeg"/><Relationship Id="rId95" Type="http://schemas.openxmlformats.org/officeDocument/2006/relationships/image" Target="media/image92.jpeg"/><Relationship Id="rId96" Type="http://schemas.openxmlformats.org/officeDocument/2006/relationships/image" Target="media/image93.jpeg"/><Relationship Id="rId97" Type="http://schemas.openxmlformats.org/officeDocument/2006/relationships/image" Target="media/image94.jpeg"/><Relationship Id="rId98" Type="http://schemas.openxmlformats.org/officeDocument/2006/relationships/image" Target="media/image95.jpeg"/><Relationship Id="rId99" Type="http://schemas.openxmlformats.org/officeDocument/2006/relationships/image" Target="media/image96.jpeg"/><Relationship Id="rId100" Type="http://schemas.openxmlformats.org/officeDocument/2006/relationships/image" Target="media/image97.jpeg"/><Relationship Id="rId101" Type="http://schemas.openxmlformats.org/officeDocument/2006/relationships/image" Target="media/image98.jpeg"/><Relationship Id="rId102" Type="http://schemas.openxmlformats.org/officeDocument/2006/relationships/image" Target="media/image99.jpeg"/><Relationship Id="rId103" Type="http://schemas.openxmlformats.org/officeDocument/2006/relationships/image" Target="media/image100.jpeg"/><Relationship Id="rId104" Type="http://schemas.openxmlformats.org/officeDocument/2006/relationships/image" Target="media/image101.jpeg"/><Relationship Id="rId105" Type="http://schemas.openxmlformats.org/officeDocument/2006/relationships/image" Target="media/image102.jpeg"/><Relationship Id="rId106" Type="http://schemas.openxmlformats.org/officeDocument/2006/relationships/image" Target="media/image103.jpeg"/><Relationship Id="rId107" Type="http://schemas.openxmlformats.org/officeDocument/2006/relationships/image" Target="media/image104.jpeg"/><Relationship Id="rId108" Type="http://schemas.openxmlformats.org/officeDocument/2006/relationships/image" Target="media/image105.jpeg"/><Relationship Id="rId109" Type="http://schemas.openxmlformats.org/officeDocument/2006/relationships/image" Target="media/image106.jpeg"/><Relationship Id="rId110" Type="http://schemas.openxmlformats.org/officeDocument/2006/relationships/image" Target="media/image107.jpeg"/><Relationship Id="rId111" Type="http://schemas.openxmlformats.org/officeDocument/2006/relationships/image" Target="media/image108.jpeg"/><Relationship Id="rId112" Type="http://schemas.openxmlformats.org/officeDocument/2006/relationships/image" Target="media/image109.jpeg"/><Relationship Id="rId113" Type="http://schemas.openxmlformats.org/officeDocument/2006/relationships/image" Target="media/image110.jpeg"/><Relationship Id="rId114" Type="http://schemas.openxmlformats.org/officeDocument/2006/relationships/image" Target="media/image111.jpeg"/><Relationship Id="rId115" Type="http://schemas.openxmlformats.org/officeDocument/2006/relationships/image" Target="media/image112.jpeg"/><Relationship Id="rId116" Type="http://schemas.openxmlformats.org/officeDocument/2006/relationships/image" Target="media/image113.jpeg"/><Relationship Id="rId117" Type="http://schemas.openxmlformats.org/officeDocument/2006/relationships/image" Target="media/image114.jpeg"/><Relationship Id="rId118" Type="http://schemas.openxmlformats.org/officeDocument/2006/relationships/image" Target="media/image115.jpeg"/><Relationship Id="rId119" Type="http://schemas.openxmlformats.org/officeDocument/2006/relationships/image" Target="media/image116.jpeg"/><Relationship Id="rId120" Type="http://schemas.openxmlformats.org/officeDocument/2006/relationships/image" Target="media/image117.jpeg"/><Relationship Id="rId121" Type="http://schemas.openxmlformats.org/officeDocument/2006/relationships/image" Target="media/image118.jpeg"/><Relationship Id="rId122" Type="http://schemas.openxmlformats.org/officeDocument/2006/relationships/image" Target="media/image119.jpeg"/><Relationship Id="rId123" Type="http://schemas.openxmlformats.org/officeDocument/2006/relationships/image" Target="media/image120.jpeg"/><Relationship Id="rId124" Type="http://schemas.openxmlformats.org/officeDocument/2006/relationships/image" Target="media/image121.jpeg"/><Relationship Id="rId125" Type="http://schemas.openxmlformats.org/officeDocument/2006/relationships/image" Target="media/image122.jpeg"/><Relationship Id="rId126" Type="http://schemas.openxmlformats.org/officeDocument/2006/relationships/image" Target="media/image123.jpeg"/><Relationship Id="rId127" Type="http://schemas.openxmlformats.org/officeDocument/2006/relationships/image" Target="media/image124.jpeg"/><Relationship Id="rId128" Type="http://schemas.openxmlformats.org/officeDocument/2006/relationships/image" Target="media/image125.jpeg"/><Relationship Id="rId129" Type="http://schemas.openxmlformats.org/officeDocument/2006/relationships/image" Target="media/image126.jpeg"/><Relationship Id="rId130" Type="http://schemas.openxmlformats.org/officeDocument/2006/relationships/image" Target="media/image127.jpeg"/><Relationship Id="rId131" Type="http://schemas.openxmlformats.org/officeDocument/2006/relationships/image" Target="media/image128.jpeg"/><Relationship Id="rId132" Type="http://schemas.openxmlformats.org/officeDocument/2006/relationships/image" Target="media/image129.jpeg"/><Relationship Id="rId133" Type="http://schemas.openxmlformats.org/officeDocument/2006/relationships/image" Target="media/image130.jpeg"/><Relationship Id="rId134" Type="http://schemas.openxmlformats.org/officeDocument/2006/relationships/image" Target="media/image131.jpeg"/><Relationship Id="rId135" Type="http://schemas.openxmlformats.org/officeDocument/2006/relationships/image" Target="media/image132.jpeg"/><Relationship Id="rId136" Type="http://schemas.openxmlformats.org/officeDocument/2006/relationships/image" Target="media/image133.jpeg"/><Relationship Id="rId137" Type="http://schemas.openxmlformats.org/officeDocument/2006/relationships/image" Target="media/image134.jpeg"/><Relationship Id="rId138" Type="http://schemas.openxmlformats.org/officeDocument/2006/relationships/image" Target="media/image135.jpeg"/><Relationship Id="rId139" Type="http://schemas.openxmlformats.org/officeDocument/2006/relationships/image" Target="media/image136.jpeg"/><Relationship Id="rId140" Type="http://schemas.openxmlformats.org/officeDocument/2006/relationships/image" Target="media/image137.jpeg"/><Relationship Id="rId141" Type="http://schemas.openxmlformats.org/officeDocument/2006/relationships/image" Target="media/image138.jpeg"/><Relationship Id="rId142" Type="http://schemas.openxmlformats.org/officeDocument/2006/relationships/image" Target="media/image139.jpeg"/><Relationship Id="rId143" Type="http://schemas.openxmlformats.org/officeDocument/2006/relationships/image" Target="media/image140.jpeg"/><Relationship Id="rId144" Type="http://schemas.openxmlformats.org/officeDocument/2006/relationships/image" Target="media/image141.jpeg"/><Relationship Id="rId145" Type="http://schemas.openxmlformats.org/officeDocument/2006/relationships/image" Target="media/image142.jpeg"/><Relationship Id="rId146" Type="http://schemas.openxmlformats.org/officeDocument/2006/relationships/image" Target="media/image143.jpeg"/><Relationship Id="rId147" Type="http://schemas.openxmlformats.org/officeDocument/2006/relationships/image" Target="media/image144.jpeg"/><Relationship Id="rId148" Type="http://schemas.openxmlformats.org/officeDocument/2006/relationships/image" Target="media/image145.jpeg"/><Relationship Id="rId149" Type="http://schemas.openxmlformats.org/officeDocument/2006/relationships/image" Target="media/image146.jpeg"/><Relationship Id="rId150" Type="http://schemas.openxmlformats.org/officeDocument/2006/relationships/image" Target="media/image147.jpeg"/><Relationship Id="rId151" Type="http://schemas.openxmlformats.org/officeDocument/2006/relationships/image" Target="media/image148.jpeg"/><Relationship Id="rId152" Type="http://schemas.openxmlformats.org/officeDocument/2006/relationships/image" Target="media/image149.jpeg"/><Relationship Id="rId153" Type="http://schemas.openxmlformats.org/officeDocument/2006/relationships/image" Target="media/image150.jpeg"/><Relationship Id="rId154" Type="http://schemas.openxmlformats.org/officeDocument/2006/relationships/image" Target="media/image151.jpeg"/><Relationship Id="rId155" Type="http://schemas.openxmlformats.org/officeDocument/2006/relationships/image" Target="media/image152.jpeg"/><Relationship Id="rId156" Type="http://schemas.openxmlformats.org/officeDocument/2006/relationships/image" Target="media/image153.jpeg"/><Relationship Id="rId157" Type="http://schemas.openxmlformats.org/officeDocument/2006/relationships/image" Target="media/image154.jpeg"/><Relationship Id="rId158" Type="http://schemas.openxmlformats.org/officeDocument/2006/relationships/image" Target="media/image155.jpeg"/><Relationship Id="rId159" Type="http://schemas.openxmlformats.org/officeDocument/2006/relationships/image" Target="media/image156.jpeg"/><Relationship Id="rId160" Type="http://schemas.openxmlformats.org/officeDocument/2006/relationships/image" Target="media/image157.jpeg"/><Relationship Id="rId161" Type="http://schemas.openxmlformats.org/officeDocument/2006/relationships/image" Target="media/image158.jpeg"/><Relationship Id="rId162" Type="http://schemas.openxmlformats.org/officeDocument/2006/relationships/image" Target="media/image159.jpeg"/><Relationship Id="rId163" Type="http://schemas.openxmlformats.org/officeDocument/2006/relationships/image" Target="media/image160.jpeg"/><Relationship Id="rId164" Type="http://schemas.openxmlformats.org/officeDocument/2006/relationships/image" Target="media/image161.jpeg"/><Relationship Id="rId165" Type="http://schemas.openxmlformats.org/officeDocument/2006/relationships/image" Target="media/image162.jpeg"/><Relationship Id="rId166" Type="http://schemas.openxmlformats.org/officeDocument/2006/relationships/image" Target="media/image163.jpeg"/><Relationship Id="rId167" Type="http://schemas.openxmlformats.org/officeDocument/2006/relationships/image" Target="media/image164.jpeg"/><Relationship Id="rId168" Type="http://schemas.openxmlformats.org/officeDocument/2006/relationships/image" Target="media/image165.jpeg"/><Relationship Id="rId169" Type="http://schemas.openxmlformats.org/officeDocument/2006/relationships/image" Target="media/image166.jpeg"/><Relationship Id="rId170" Type="http://schemas.openxmlformats.org/officeDocument/2006/relationships/image" Target="media/image167.jpeg"/><Relationship Id="rId171" Type="http://schemas.openxmlformats.org/officeDocument/2006/relationships/image" Target="media/image168.jpeg"/><Relationship Id="rId172" Type="http://schemas.openxmlformats.org/officeDocument/2006/relationships/image" Target="media/image169.jpeg"/><Relationship Id="rId173" Type="http://schemas.openxmlformats.org/officeDocument/2006/relationships/image" Target="media/image170.jpeg"/><Relationship Id="rId174" Type="http://schemas.openxmlformats.org/officeDocument/2006/relationships/image" Target="media/image171.jpeg"/><Relationship Id="rId175" Type="http://schemas.openxmlformats.org/officeDocument/2006/relationships/image" Target="media/image172.jpeg"/><Relationship Id="rId176" Type="http://schemas.openxmlformats.org/officeDocument/2006/relationships/image" Target="media/image173.jpeg"/><Relationship Id="rId177" Type="http://schemas.openxmlformats.org/officeDocument/2006/relationships/image" Target="media/image174.jpeg"/><Relationship Id="rId178" Type="http://schemas.openxmlformats.org/officeDocument/2006/relationships/image" Target="media/image175.jpeg"/><Relationship Id="rId179" Type="http://schemas.openxmlformats.org/officeDocument/2006/relationships/image" Target="media/image176.jpeg"/><Relationship Id="rId180" Type="http://schemas.openxmlformats.org/officeDocument/2006/relationships/image" Target="media/image177.jpeg"/><Relationship Id="rId181" Type="http://schemas.openxmlformats.org/officeDocument/2006/relationships/image" Target="media/image178.jpeg"/><Relationship Id="rId182" Type="http://schemas.openxmlformats.org/officeDocument/2006/relationships/image" Target="media/image179.jpeg"/><Relationship Id="rId183" Type="http://schemas.openxmlformats.org/officeDocument/2006/relationships/image" Target="media/image180.jpeg"/><Relationship Id="rId184" Type="http://schemas.openxmlformats.org/officeDocument/2006/relationships/image" Target="media/image181.jpeg"/><Relationship Id="rId185" Type="http://schemas.openxmlformats.org/officeDocument/2006/relationships/image" Target="media/image182.jpeg"/><Relationship Id="rId186" Type="http://schemas.openxmlformats.org/officeDocument/2006/relationships/image" Target="media/image183.jpeg"/><Relationship Id="rId187" Type="http://schemas.openxmlformats.org/officeDocument/2006/relationships/image" Target="media/image184.jpeg"/><Relationship Id="rId188" Type="http://schemas.openxmlformats.org/officeDocument/2006/relationships/image" Target="media/image185.jpeg"/><Relationship Id="rId189" Type="http://schemas.openxmlformats.org/officeDocument/2006/relationships/image" Target="media/image186.jpeg"/><Relationship Id="rId190" Type="http://schemas.openxmlformats.org/officeDocument/2006/relationships/image" Target="media/image187.jpeg"/><Relationship Id="rId191" Type="http://schemas.openxmlformats.org/officeDocument/2006/relationships/image" Target="media/image188.jpeg"/><Relationship Id="rId192" Type="http://schemas.openxmlformats.org/officeDocument/2006/relationships/image" Target="media/image189.jpeg"/><Relationship Id="rId193" Type="http://schemas.openxmlformats.org/officeDocument/2006/relationships/image" Target="media/image190.jpeg"/><Relationship Id="rId194" Type="http://schemas.openxmlformats.org/officeDocument/2006/relationships/image" Target="media/image191.jpeg"/><Relationship Id="rId195" Type="http://schemas.openxmlformats.org/officeDocument/2006/relationships/image" Target="media/image192.jpeg"/><Relationship Id="rId196" Type="http://schemas.openxmlformats.org/officeDocument/2006/relationships/image" Target="media/image193.jpeg"/><Relationship Id="rId197" Type="http://schemas.openxmlformats.org/officeDocument/2006/relationships/image" Target="media/image194.jpeg"/><Relationship Id="rId198" Type="http://schemas.openxmlformats.org/officeDocument/2006/relationships/image" Target="media/image195.jpeg"/><Relationship Id="rId199" Type="http://schemas.openxmlformats.org/officeDocument/2006/relationships/image" Target="media/image196.jpeg"/><Relationship Id="rId200" Type="http://schemas.openxmlformats.org/officeDocument/2006/relationships/image" Target="media/image197.jpeg"/><Relationship Id="rId201" Type="http://schemas.openxmlformats.org/officeDocument/2006/relationships/image" Target="media/image198.jpeg"/><Relationship Id="rId202" Type="http://schemas.openxmlformats.org/officeDocument/2006/relationships/image" Target="media/image199.jpeg"/><Relationship Id="rId203" Type="http://schemas.openxmlformats.org/officeDocument/2006/relationships/image" Target="media/image200.jpeg"/><Relationship Id="rId204" Type="http://schemas.openxmlformats.org/officeDocument/2006/relationships/image" Target="media/image201.jpeg"/><Relationship Id="rId205" Type="http://schemas.openxmlformats.org/officeDocument/2006/relationships/image" Target="media/image202.jpeg"/><Relationship Id="rId206" Type="http://schemas.openxmlformats.org/officeDocument/2006/relationships/image" Target="media/image203.jpeg"/><Relationship Id="rId207" Type="http://schemas.openxmlformats.org/officeDocument/2006/relationships/image" Target="media/image204.jpeg"/><Relationship Id="rId208" Type="http://schemas.openxmlformats.org/officeDocument/2006/relationships/image" Target="media/image205.jpeg"/><Relationship Id="rId209" Type="http://schemas.openxmlformats.org/officeDocument/2006/relationships/image" Target="media/image206.jpeg"/><Relationship Id="rId210" Type="http://schemas.openxmlformats.org/officeDocument/2006/relationships/image" Target="media/image207.jpeg"/><Relationship Id="rId211" Type="http://schemas.openxmlformats.org/officeDocument/2006/relationships/image" Target="media/image208.jpeg"/><Relationship Id="rId212" Type="http://schemas.openxmlformats.org/officeDocument/2006/relationships/image" Target="media/image209.jpeg"/><Relationship Id="rId213" Type="http://schemas.openxmlformats.org/officeDocument/2006/relationships/image" Target="media/image210.jpeg"/><Relationship Id="rId214" Type="http://schemas.openxmlformats.org/officeDocument/2006/relationships/image" Target="media/image211.jpeg"/><Relationship Id="rId215" Type="http://schemas.openxmlformats.org/officeDocument/2006/relationships/image" Target="media/image212.jpeg"/><Relationship Id="rId216" Type="http://schemas.openxmlformats.org/officeDocument/2006/relationships/image" Target="media/image213.jpeg"/><Relationship Id="rId217" Type="http://schemas.openxmlformats.org/officeDocument/2006/relationships/image" Target="media/image214.jpeg"/><Relationship Id="rId218" Type="http://schemas.openxmlformats.org/officeDocument/2006/relationships/image" Target="media/image215.jpeg"/><Relationship Id="rId219" Type="http://schemas.openxmlformats.org/officeDocument/2006/relationships/image" Target="media/image216.jpeg"/><Relationship Id="rId220" Type="http://schemas.openxmlformats.org/officeDocument/2006/relationships/image" Target="media/image217.jpeg"/><Relationship Id="rId221" Type="http://schemas.openxmlformats.org/officeDocument/2006/relationships/image" Target="media/image218.jpeg"/><Relationship Id="rId222" Type="http://schemas.openxmlformats.org/officeDocument/2006/relationships/image" Target="media/image219.jpeg"/><Relationship Id="rId223" Type="http://schemas.openxmlformats.org/officeDocument/2006/relationships/image" Target="media/image220.jpeg"/><Relationship Id="rId224" Type="http://schemas.openxmlformats.org/officeDocument/2006/relationships/image" Target="media/image221.jpeg"/><Relationship Id="rId225" Type="http://schemas.openxmlformats.org/officeDocument/2006/relationships/image" Target="media/image222.jpeg"/><Relationship Id="rId226" Type="http://schemas.openxmlformats.org/officeDocument/2006/relationships/image" Target="media/image223.jpeg"/><Relationship Id="rId227" Type="http://schemas.openxmlformats.org/officeDocument/2006/relationships/image" Target="media/image224.jpeg"/><Relationship Id="rId228" Type="http://schemas.openxmlformats.org/officeDocument/2006/relationships/image" Target="media/image225.jpeg"/><Relationship Id="rId229" Type="http://schemas.openxmlformats.org/officeDocument/2006/relationships/image" Target="media/image226.jpeg"/><Relationship Id="rId230" Type="http://schemas.openxmlformats.org/officeDocument/2006/relationships/image" Target="media/image227.jpeg"/><Relationship Id="rId231" Type="http://schemas.openxmlformats.org/officeDocument/2006/relationships/image" Target="media/image228.jpeg"/><Relationship Id="rId232" Type="http://schemas.openxmlformats.org/officeDocument/2006/relationships/image" Target="media/image229.jpeg"/><Relationship Id="rId233" Type="http://schemas.openxmlformats.org/officeDocument/2006/relationships/image" Target="media/image230.jpeg"/><Relationship Id="rId234" Type="http://schemas.openxmlformats.org/officeDocument/2006/relationships/image" Target="media/image231.jpeg"/><Relationship Id="rId235" Type="http://schemas.openxmlformats.org/officeDocument/2006/relationships/image" Target="media/image232.jpeg"/><Relationship Id="rId236" Type="http://schemas.openxmlformats.org/officeDocument/2006/relationships/image" Target="media/image233.jpeg"/><Relationship Id="rId237" Type="http://schemas.openxmlformats.org/officeDocument/2006/relationships/image" Target="media/image234.jpeg"/><Relationship Id="rId238" Type="http://schemas.openxmlformats.org/officeDocument/2006/relationships/image" Target="media/image235.jpeg"/><Relationship Id="rId239" Type="http://schemas.openxmlformats.org/officeDocument/2006/relationships/image" Target="media/image236.jpeg"/><Relationship Id="rId240" Type="http://schemas.openxmlformats.org/officeDocument/2006/relationships/image" Target="media/image237.jpeg"/><Relationship Id="rId241" Type="http://schemas.openxmlformats.org/officeDocument/2006/relationships/image" Target="media/image238.jpeg"/><Relationship Id="rId242" Type="http://schemas.openxmlformats.org/officeDocument/2006/relationships/image" Target="media/image239.jpeg"/><Relationship Id="rId243" Type="http://schemas.openxmlformats.org/officeDocument/2006/relationships/image" Target="media/image240.jpeg"/><Relationship Id="rId244" Type="http://schemas.openxmlformats.org/officeDocument/2006/relationships/image" Target="media/image241.jpeg"/><Relationship Id="rId245" Type="http://schemas.openxmlformats.org/officeDocument/2006/relationships/image" Target="media/image242.jpeg"/><Relationship Id="rId246" Type="http://schemas.openxmlformats.org/officeDocument/2006/relationships/image" Target="media/image243.jpeg"/><Relationship Id="rId247" Type="http://schemas.openxmlformats.org/officeDocument/2006/relationships/image" Target="media/image244.jpeg"/><Relationship Id="rId248" Type="http://schemas.openxmlformats.org/officeDocument/2006/relationships/image" Target="media/image245.jpeg"/><Relationship Id="rId249" Type="http://schemas.openxmlformats.org/officeDocument/2006/relationships/image" Target="media/image246.jpeg"/><Relationship Id="rId250" Type="http://schemas.openxmlformats.org/officeDocument/2006/relationships/image" Target="media/image247.jpeg"/><Relationship Id="rId251" Type="http://schemas.openxmlformats.org/officeDocument/2006/relationships/image" Target="media/image248.jpeg"/><Relationship Id="rId252" Type="http://schemas.openxmlformats.org/officeDocument/2006/relationships/image" Target="media/image249.jpeg"/><Relationship Id="rId253" Type="http://schemas.openxmlformats.org/officeDocument/2006/relationships/image" Target="media/image250.jpeg"/><Relationship Id="rId254" Type="http://schemas.openxmlformats.org/officeDocument/2006/relationships/image" Target="media/image251.jpeg"/><Relationship Id="rId255" Type="http://schemas.openxmlformats.org/officeDocument/2006/relationships/image" Target="media/image252.jpeg"/><Relationship Id="rId256" Type="http://schemas.openxmlformats.org/officeDocument/2006/relationships/image" Target="media/image253.jpeg"/><Relationship Id="rId257" Type="http://schemas.openxmlformats.org/officeDocument/2006/relationships/image" Target="media/image254.jpeg"/><Relationship Id="rId258" Type="http://schemas.openxmlformats.org/officeDocument/2006/relationships/image" Target="media/image255.jpeg"/><Relationship Id="rId259" Type="http://schemas.openxmlformats.org/officeDocument/2006/relationships/image" Target="media/image256.jpeg"/><Relationship Id="rId260" Type="http://schemas.openxmlformats.org/officeDocument/2006/relationships/image" Target="media/image257.jpeg"/><Relationship Id="rId261" Type="http://schemas.openxmlformats.org/officeDocument/2006/relationships/image" Target="media/image258.jpeg"/><Relationship Id="rId262" Type="http://schemas.openxmlformats.org/officeDocument/2006/relationships/image" Target="media/image259.jpeg"/><Relationship Id="rId263" Type="http://schemas.openxmlformats.org/officeDocument/2006/relationships/image" Target="media/image260.jpeg"/><Relationship Id="rId264" Type="http://schemas.openxmlformats.org/officeDocument/2006/relationships/image" Target="media/image261.jpeg"/><Relationship Id="rId265" Type="http://schemas.openxmlformats.org/officeDocument/2006/relationships/image" Target="media/image262.jpeg"/><Relationship Id="rId266" Type="http://schemas.openxmlformats.org/officeDocument/2006/relationships/image" Target="media/image263.jpeg"/><Relationship Id="rId267" Type="http://schemas.openxmlformats.org/officeDocument/2006/relationships/image" Target="media/image264.jpeg"/><Relationship Id="rId268" Type="http://schemas.openxmlformats.org/officeDocument/2006/relationships/image" Target="media/image265.jpeg"/><Relationship Id="rId269" Type="http://schemas.openxmlformats.org/officeDocument/2006/relationships/image" Target="media/image266.jpeg"/><Relationship Id="rId270" Type="http://schemas.openxmlformats.org/officeDocument/2006/relationships/image" Target="media/image267.jpeg"/><Relationship Id="rId271" Type="http://schemas.openxmlformats.org/officeDocument/2006/relationships/fontTable" Target="fontTable.xml"/><Relationship Id="rId2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182428</Words>
  <Characters>988000</Characters>
  <CharactersWithSpaces>1168599</CharactersWithSpaces>
  <Paragraphs>7905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exhibit103q325</dc:title>
</cp:coreProperties>
</file>