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right="4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-229870</wp:posOffset>
            </wp:positionV>
            <wp:extent cx="124460" cy="124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460" cy="124460"/>
                    </a:xfrm>
                    <a:prstGeom prst="rect">
                      <a:avLst/>
                    </a:prstGeom>
                    <a:noFill/>
                  </pic:spPr>
                </pic:pic>
              </a:graphicData>
            </a:graphic>
          </wp:anchor>
        </w:drawing>
      </w:r>
    </w:p>
    <w:p>
      <w:pPr>
        <w:spacing w:after="0" w:line="219"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-669290</wp:posOffset>
            </wp:positionV>
            <wp:extent cx="124460" cy="124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460" cy="1244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7"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5277485</wp:posOffset>
            </wp:positionH>
            <wp:positionV relativeFrom="paragraph">
              <wp:posOffset>-634365</wp:posOffset>
            </wp:positionV>
            <wp:extent cx="58420" cy="647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7700"/>
                    </a:xfrm>
                    <a:prstGeom prst="rect">
                      <a:avLst/>
                    </a:prstGeom>
                    <a:noFill/>
                  </pic:spPr>
                </pic:pic>
              </a:graphicData>
            </a:graphic>
          </wp:anchor>
        </w:drawing>
        <w:drawing>
          <wp:anchor simplePos="0" relativeHeight="251657728" behindDoc="1" locked="0" layoutInCell="0" allowOverlap="1">
            <wp:simplePos x="0" y="0"/>
            <wp:positionH relativeFrom="column">
              <wp:posOffset>4000500</wp:posOffset>
            </wp:positionH>
            <wp:positionV relativeFrom="paragraph">
              <wp:posOffset>-634365</wp:posOffset>
            </wp:positionV>
            <wp:extent cx="58420" cy="647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770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754380</wp:posOffset>
            </wp:positionV>
            <wp:extent cx="7045960" cy="6038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038215"/>
                    </a:xfrm>
                    <a:prstGeom prst="rect">
                      <a:avLst/>
                    </a:prstGeom>
                    <a:noFill/>
                  </pic:spPr>
                </pic:pic>
              </a:graphicData>
            </a:graphic>
          </wp:anchor>
        </w:drawing>
      </w:r>
    </w:p>
    <w:p>
      <w:pPr>
        <w:spacing w:after="0" w:line="1263" w:lineRule="exact"/>
        <w:rPr>
          <w:sz w:val="24"/>
          <w:szCs w:val="24"/>
          <w:color w:val="auto"/>
        </w:rPr>
      </w:pPr>
    </w:p>
    <w:p>
      <w:pPr>
        <w:sectPr>
          <w:pgSz w:w="11900" w:h="16878" w:orient="portrait"/>
          <w:cols w:equalWidth="0" w:num="2">
            <w:col w:w="2320" w:space="220"/>
            <w:col w:w="854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Fairclough Brett</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VIRTU FINANCIAL, INC.</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1633 BROADWAY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Virtu Financial,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VIRT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4"/>
          <w:szCs w:val="24"/>
          <w:color w:val="auto"/>
        </w:rPr>
      </w:pPr>
      <w:r>
        <w:rPr>
          <w:sz w:val="24"/>
          <w:szCs w:val="24"/>
          <w:color w:val="auto"/>
        </w:rPr>
        <w:br w:type="column"/>
      </w:r>
    </w:p>
    <w:p>
      <w:pPr>
        <w:ind w:left="4" w:right="600" w:hanging="4"/>
        <w:spacing w:after="0" w:line="262"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5" w:lineRule="exact"/>
        <w:rPr>
          <w:sz w:val="24"/>
          <w:szCs w:val="24"/>
          <w:color w:val="auto"/>
        </w:rPr>
      </w:pPr>
    </w:p>
    <w:p>
      <w:pPr>
        <w:ind w:left="724"/>
        <w:spacing w:after="0"/>
        <w:rPr>
          <w:sz w:val="20"/>
          <w:szCs w:val="20"/>
          <w:color w:val="auto"/>
        </w:rPr>
      </w:pPr>
      <w:r>
        <w:rPr>
          <w:rFonts w:ascii="Times New Roman" w:cs="Times New Roman" w:eastAsia="Times New Roman" w:hAnsi="Times New Roman"/>
          <w:sz w:val="17"/>
          <w:szCs w:val="17"/>
          <w:color w:val="0000FF"/>
        </w:rPr>
        <w:t>Co-President &amp; Co-COO</w:t>
      </w:r>
    </w:p>
    <w:p>
      <w:pPr>
        <w:spacing w:after="0" w:line="404" w:lineRule="exact"/>
        <w:rPr>
          <w:sz w:val="24"/>
          <w:szCs w:val="24"/>
          <w:color w:val="auto"/>
        </w:rPr>
      </w:pPr>
    </w:p>
    <w:p>
      <w:pPr>
        <w:sectPr>
          <w:pgSz w:w="11900" w:h="16878" w:orient="portrait"/>
          <w:cols w:equalWidth="0" w:num="3">
            <w:col w:w="3180" w:space="720"/>
            <w:col w:w="3116" w:space="720"/>
            <w:col w:w="3344"/>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52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800" w:type="dxa"/>
            <w:vAlign w:val="bottom"/>
            <w:gridSpan w:val="9"/>
          </w:tcPr>
          <w:p>
            <w:pPr>
              <w:ind w:left="4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gridSpan w:val="2"/>
          </w:tcPr>
          <w:p>
            <w:pPr>
              <w:ind w:left="46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10019</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7"/>
                <w:szCs w:val="7"/>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5620" w:type="dxa"/>
            <w:vAlign w:val="bottom"/>
            <w:tcBorders>
              <w:bottom w:val="single" w:sz="8" w:color="2C2C2C"/>
            </w:tcBorders>
            <w:gridSpan w:val="11"/>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820" w:type="dxa"/>
            <w:vAlign w:val="bottom"/>
            <w:tcBorders>
              <w:top w:val="single" w:sz="8" w:color="2C2C2C"/>
            </w:tcBorders>
            <w:gridSpan w:val="13"/>
          </w:tcPr>
          <w:p>
            <w:pPr>
              <w:ind w:left="7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500"/>
              <w:spacing w:after="0" w:line="130"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10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ind w:left="500"/>
              <w:spacing w:after="0" w:line="131"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ind w:left="600"/>
              <w:spacing w:after="0"/>
              <w:rPr>
                <w:sz w:val="20"/>
                <w:szCs w:val="20"/>
                <w:color w:val="auto"/>
              </w:rPr>
            </w:pPr>
            <w:r>
              <w:rPr>
                <w:rFonts w:ascii="Times New Roman" w:cs="Times New Roman" w:eastAsia="Times New Roman" w:hAnsi="Times New Roman"/>
                <w:sz w:val="17"/>
                <w:szCs w:val="17"/>
                <w:color w:val="0000FF"/>
              </w:rPr>
              <w:t>05/08/2026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14,632</w:t>
            </w:r>
          </w:p>
        </w:tc>
        <w:tc>
          <w:tcPr>
            <w:tcW w:w="5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4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49.822</w:t>
            </w:r>
            <w:r>
              <w:rPr>
                <w:rFonts w:ascii="Times New Roman" w:cs="Times New Roman" w:eastAsia="Times New Roman" w:hAnsi="Times New Roman"/>
                <w:sz w:val="21"/>
                <w:szCs w:val="21"/>
                <w:color w:val="008000"/>
                <w:w w:val="99"/>
                <w:vertAlign w:val="superscript"/>
              </w:rPr>
              <w:t>(1)</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57,841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ind w:left="600"/>
              <w:spacing w:after="0"/>
              <w:rPr>
                <w:sz w:val="20"/>
                <w:szCs w:val="20"/>
                <w:color w:val="auto"/>
              </w:rPr>
            </w:pPr>
            <w:r>
              <w:rPr>
                <w:rFonts w:ascii="Times New Roman" w:cs="Times New Roman" w:eastAsia="Times New Roman" w:hAnsi="Times New Roman"/>
                <w:sz w:val="17"/>
                <w:szCs w:val="17"/>
                <w:color w:val="0000FF"/>
              </w:rPr>
              <w:t>05/08/2026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15,368</w:t>
            </w:r>
          </w:p>
        </w:tc>
        <w:tc>
          <w:tcPr>
            <w:tcW w:w="5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50.2901</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42,473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2"/>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0" w:type="dxa"/>
            <w:vAlign w:val="bottom"/>
            <w:gridSpan w:val="9"/>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22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1"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1"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5"/>
              </w:rPr>
              <w:t>Expiration</w:t>
            </w:r>
          </w:p>
        </w:tc>
        <w:tc>
          <w:tcPr>
            <w:tcW w:w="540" w:type="dxa"/>
            <w:vAlign w:val="bottom"/>
          </w:tcPr>
          <w:p>
            <w:pPr>
              <w:spacing w:after="0"/>
              <w:rPr>
                <w:sz w:val="11"/>
                <w:szCs w:val="11"/>
                <w:color w:val="auto"/>
              </w:rPr>
            </w:pPr>
          </w:p>
        </w:tc>
        <w:tc>
          <w:tcPr>
            <w:tcW w:w="6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5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86,346</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6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restart"/>
          </w:tcPr>
          <w:p>
            <w:pPr>
              <w:ind w:left="220"/>
              <w:spacing w:after="0" w:line="144" w:lineRule="exact"/>
              <w:rPr>
                <w:sz w:val="20"/>
                <w:szCs w:val="20"/>
                <w:color w:val="auto"/>
              </w:rPr>
            </w:pPr>
            <w:r>
              <w:rPr>
                <w:rFonts w:ascii="Times New Roman" w:cs="Times New Roman" w:eastAsia="Times New Roman" w:hAnsi="Times New Roman"/>
                <w:sz w:val="13"/>
                <w:szCs w:val="13"/>
                <w:color w:val="0000FF"/>
              </w:rPr>
              <w:t>86,346</w:t>
            </w:r>
          </w:p>
        </w:tc>
        <w:tc>
          <w:tcPr>
            <w:tcW w:w="26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5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3"/>
                <w:szCs w:val="13"/>
                <w:color w:val="0000FF"/>
              </w:rPr>
              <w:t>voting</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31" w:lineRule="exact"/>
              <w:rPr>
                <w:sz w:val="20"/>
                <w:szCs w:val="20"/>
                <w:color w:val="auto"/>
              </w:rPr>
            </w:pPr>
            <w:r>
              <w:rPr>
                <w:rFonts w:ascii="Times New Roman" w:cs="Times New Roman" w:eastAsia="Times New Roman" w:hAnsi="Times New Roman"/>
                <w:sz w:val="13"/>
                <w:szCs w:val="13"/>
                <w:color w:val="0000FF"/>
              </w:rPr>
              <w:t>interest</w:t>
            </w:r>
          </w:p>
        </w:tc>
        <w:tc>
          <w:tcPr>
            <w:tcW w:w="5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54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10,930</w:t>
            </w: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10,930</w:t>
            </w:r>
          </w:p>
        </w:tc>
        <w:tc>
          <w:tcPr>
            <w:tcW w:w="260" w:type="dxa"/>
            <w:vAlign w:val="bottom"/>
          </w:tcPr>
          <w:p>
            <w:pPr>
              <w:spacing w:after="0"/>
              <w:rPr>
                <w:sz w:val="5"/>
                <w:szCs w:val="5"/>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tcPr>
          <w:p>
            <w:pPr>
              <w:ind w:left="60"/>
              <w:spacing w:after="0" w:line="66" w:lineRule="exact"/>
              <w:rPr>
                <w:sz w:val="20"/>
                <w:szCs w:val="20"/>
                <w:color w:val="auto"/>
              </w:rPr>
            </w:pPr>
            <w:r>
              <w:rPr>
                <w:rFonts w:ascii="Times New Roman" w:cs="Times New Roman" w:eastAsia="Times New Roman" w:hAnsi="Times New Roman"/>
                <w:sz w:val="7"/>
                <w:szCs w:val="7"/>
                <w:color w:val="0000FF"/>
              </w:rPr>
              <w:t>units of</w:t>
            </w: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20" w:type="dxa"/>
            <w:vAlign w:val="bottom"/>
            <w:gridSpan w:val="3"/>
          </w:tcPr>
          <w:p>
            <w:pPr>
              <w:ind w:left="120"/>
              <w:spacing w:after="0" w:line="66" w:lineRule="exact"/>
              <w:rPr>
                <w:sz w:val="20"/>
                <w:szCs w:val="20"/>
                <w:color w:val="auto"/>
              </w:rPr>
            </w:pPr>
            <w:r>
              <w:rPr>
                <w:rFonts w:ascii="Times New Roman" w:cs="Times New Roman" w:eastAsia="Times New Roman" w:hAnsi="Times New Roman"/>
                <w:sz w:val="6"/>
                <w:szCs w:val="6"/>
                <w:color w:val="0000FF"/>
              </w:rPr>
              <w:t>footnote</w:t>
            </w:r>
            <w:r>
              <w:rPr>
                <w:rFonts w:ascii="Times New Roman" w:cs="Times New Roman" w:eastAsia="Times New Roman" w:hAnsi="Times New Roman"/>
                <w:sz w:val="7"/>
                <w:szCs w:val="7"/>
                <w:color w:val="008000"/>
                <w:vertAlign w:val="superscript"/>
              </w:rPr>
              <w:t>(6)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366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Virtu</w:t>
            </w:r>
          </w:p>
        </w:tc>
        <w:tc>
          <w:tcPr>
            <w:tcW w:w="3440" w:type="dxa"/>
            <w:vAlign w:val="bottom"/>
          </w:tcPr>
          <w:p>
            <w:pPr>
              <w:ind w:left="3160"/>
              <w:spacing w:after="0"/>
              <w:rPr>
                <w:sz w:val="20"/>
                <w:szCs w:val="20"/>
                <w:color w:val="auto"/>
              </w:rPr>
            </w:pPr>
            <w:r>
              <w:rPr>
                <w:rFonts w:ascii="Times New Roman" w:cs="Times New Roman" w:eastAsia="Times New Roman" w:hAnsi="Times New Roman"/>
                <w:sz w:val="13"/>
                <w:szCs w:val="13"/>
                <w:color w:val="0000FF"/>
                <w:w w:val="94"/>
              </w:rPr>
              <w:t>stock</w:t>
            </w:r>
          </w:p>
        </w:tc>
        <w:tc>
          <w:tcPr>
            <w:tcW w:w="0" w:type="dxa"/>
            <w:vAlign w:val="bottom"/>
          </w:tcPr>
          <w:p>
            <w:pPr>
              <w:spacing w:after="0"/>
              <w:rPr>
                <w:sz w:val="1"/>
                <w:szCs w:val="1"/>
                <w:color w:val="auto"/>
              </w:rPr>
            </w:pPr>
          </w:p>
        </w:tc>
      </w:tr>
      <w:tr>
        <w:trPr>
          <w:trHeight w:val="40"/>
        </w:trPr>
        <w:tc>
          <w:tcPr>
            <w:tcW w:w="3660" w:type="dxa"/>
            <w:vAlign w:val="bottom"/>
            <w:vMerge w:val="continue"/>
          </w:tcPr>
          <w:p>
            <w:pPr>
              <w:spacing w:after="0"/>
              <w:rPr>
                <w:sz w:val="3"/>
                <w:szCs w:val="3"/>
                <w:color w:val="auto"/>
              </w:rPr>
            </w:pPr>
          </w:p>
        </w:tc>
        <w:tc>
          <w:tcPr>
            <w:tcW w:w="3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660" w:type="dxa"/>
            <w:vAlign w:val="bottom"/>
          </w:tcPr>
          <w:p>
            <w:pPr>
              <w:spacing w:after="0" w:line="144" w:lineRule="exact"/>
              <w:rPr>
                <w:sz w:val="20"/>
                <w:szCs w:val="20"/>
                <w:color w:val="auto"/>
              </w:rPr>
            </w:pPr>
            <w:r>
              <w:rPr>
                <w:rFonts w:ascii="Times New Roman" w:cs="Times New Roman" w:eastAsia="Times New Roman" w:hAnsi="Times New Roman"/>
                <w:sz w:val="13"/>
                <w:szCs w:val="13"/>
                <w:color w:val="0000FF"/>
              </w:rPr>
              <w:t>Financial</w:t>
            </w:r>
          </w:p>
        </w:tc>
        <w:tc>
          <w:tcPr>
            <w:tcW w:w="3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660" w:type="dxa"/>
            <w:vAlign w:val="bottom"/>
          </w:tcPr>
          <w:p>
            <w:pPr>
              <w:spacing w:after="0"/>
              <w:rPr>
                <w:sz w:val="20"/>
                <w:szCs w:val="20"/>
                <w:color w:val="auto"/>
              </w:rPr>
            </w:pPr>
            <w:r>
              <w:rPr>
                <w:rFonts w:ascii="Times New Roman" w:cs="Times New Roman" w:eastAsia="Times New Roman" w:hAnsi="Times New Roman"/>
                <w:sz w:val="13"/>
                <w:szCs w:val="13"/>
                <w:color w:val="0000FF"/>
              </w:rPr>
              <w:t>LLC</w:t>
            </w:r>
          </w:p>
        </w:tc>
        <w:tc>
          <w:tcPr>
            <w:tcW w:w="3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200" w:firstLine="4"/>
        <w:spacing w:after="0" w:line="245" w:lineRule="auto"/>
        <w:tabs>
          <w:tab w:leader="none" w:pos="17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$49.60 to $49.885, inclusive. The reporting person undertakes to provide to the staff of the Securities and Exchange Commission, to any security holder of Virtu Financial, Inc., or to Virtu Financial, Inc., upon request, full information regarding the number of shares sold at each separate price within the range set forth above.</w:t>
      </w:r>
    </w:p>
    <w:p>
      <w:pPr>
        <w:spacing w:after="0" w:line="25" w:lineRule="exact"/>
        <w:rPr>
          <w:rFonts w:ascii="Times New Roman" w:cs="Times New Roman" w:eastAsia="Times New Roman" w:hAnsi="Times New Roman"/>
          <w:sz w:val="13"/>
          <w:szCs w:val="13"/>
          <w:color w:val="008000"/>
        </w:rPr>
      </w:pPr>
    </w:p>
    <w:p>
      <w:pPr>
        <w:ind w:left="40" w:right="200" w:firstLine="4"/>
        <w:spacing w:after="0" w:line="245" w:lineRule="auto"/>
        <w:tabs>
          <w:tab w:leader="none" w:pos="17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$49.89 to $50.605, inclusive. The reporting person undertakes to provide to the staff of the Securities and Exchange Commission, to any security holder of Virtu Financial, Inc., or to Virtu Financial, Inc., upon request, full information regarding the number of shares sold at each separate price within the range set forth above.</w:t>
      </w:r>
    </w:p>
    <w:p>
      <w:pPr>
        <w:spacing w:after="0" w:line="25" w:lineRule="exact"/>
        <w:rPr>
          <w:rFonts w:ascii="Times New Roman" w:cs="Times New Roman" w:eastAsia="Times New Roman" w:hAnsi="Times New Roman"/>
          <w:sz w:val="13"/>
          <w:szCs w:val="13"/>
          <w:color w:val="008000"/>
        </w:rPr>
      </w:pPr>
    </w:p>
    <w:p>
      <w:pPr>
        <w:ind w:left="180" w:hanging="136"/>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is granted under the Issuer's Second Amended and Restated 2015 Management Incentive Plan and represents a contingent right to receive one share of Class A common stock of the Issuer.</w:t>
      </w:r>
    </w:p>
    <w:p>
      <w:pPr>
        <w:spacing w:after="0" w:line="46" w:lineRule="exact"/>
        <w:rPr>
          <w:rFonts w:ascii="Times New Roman" w:cs="Times New Roman" w:eastAsia="Times New Roman" w:hAnsi="Times New Roman"/>
          <w:sz w:val="13"/>
          <w:szCs w:val="13"/>
          <w:color w:val="008000"/>
        </w:rPr>
      </w:pPr>
    </w:p>
    <w:p>
      <w:pPr>
        <w:ind w:left="40" w:right="220" w:firstLine="4"/>
        <w:spacing w:after="0" w:line="260" w:lineRule="auto"/>
        <w:tabs>
          <w:tab w:leader="none" w:pos="17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37,500 of the RSUs vest on January 31, 2027, 11,192 of the RSUs vest on February 2, 2027, 15,061 of the RSUs vest in two equal installments on February 4, 2027 and February 4, 2028, and 22,593 of the RSUs vest in three equal installments on February 4, 2027, February 4, 2028 and February 4, 2029.</w:t>
      </w:r>
    </w:p>
    <w:p>
      <w:pPr>
        <w:spacing w:after="0" w:line="15" w:lineRule="exact"/>
        <w:rPr>
          <w:rFonts w:ascii="Times New Roman" w:cs="Times New Roman" w:eastAsia="Times New Roman" w:hAnsi="Times New Roman"/>
          <w:sz w:val="13"/>
          <w:szCs w:val="13"/>
          <w:color w:val="008000"/>
        </w:rPr>
      </w:pPr>
    </w:p>
    <w:p>
      <w:pPr>
        <w:ind w:left="40" w:right="260" w:firstLine="4"/>
        <w:spacing w:after="0" w:line="245" w:lineRule="auto"/>
        <w:tabs>
          <w:tab w:leader="none" w:pos="17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Exchange Agreement, effective as of April 15, 2015, by and among the Issuer, Virtu Financial LLC and the equityholders of Virtu Financial LLC (the "Exchange Agreement"), Virtu Financial Units, together with a corresponding number of shares of Class C Common Stock, may be exchanged for shares of Class A common stock of the Issuer, which have one vote per share and economic rights (including rights to dividends and distributions upon liquidation), on a one-for-one basis at the discretion of the holder. The exchange rights under the Exchange Agreement do not expire.</w:t>
      </w:r>
    </w:p>
    <w:p>
      <w:pPr>
        <w:spacing w:after="0" w:line="25" w:lineRule="exact"/>
        <w:rPr>
          <w:rFonts w:ascii="Times New Roman" w:cs="Times New Roman" w:eastAsia="Times New Roman" w:hAnsi="Times New Roman"/>
          <w:sz w:val="13"/>
          <w:szCs w:val="13"/>
          <w:color w:val="008000"/>
        </w:rPr>
      </w:pPr>
    </w:p>
    <w:p>
      <w:pPr>
        <w:ind w:left="40" w:right="180" w:firstLine="4"/>
        <w:spacing w:after="0" w:line="260" w:lineRule="auto"/>
        <w:tabs>
          <w:tab w:leader="none" w:pos="17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Virtu Employee Holdco LLC, a holding vehicle through which employees and directors of the Issuer hold vested and unvested Virtu Financial Units and shares of Class C Common Stock. The reporting person disclaims beneficial ownership in such Virtu Financial Units and shares held by Virtu Employee Holdco LLC except to the extent of his pecuniary interest therein.</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8" w:lineRule="exact"/>
        <w:rPr>
          <w:sz w:val="24"/>
          <w:szCs w:val="24"/>
          <w:color w:val="auto"/>
        </w:rPr>
      </w:pPr>
    </w:p>
    <w:tbl>
      <w:tblPr>
        <w:tblLayout w:type="fixed"/>
        <w:tblInd w:w="40" w:type="dxa"/>
        <w:tblCellMar>
          <w:top w:w="0" w:type="dxa"/>
          <w:left w:w="0" w:type="dxa"/>
          <w:bottom w:w="0" w:type="dxa"/>
          <w:right w:w="0" w:type="dxa"/>
        </w:tblCellMar>
      </w:tblPr>
      <w:tr>
        <w:trPr>
          <w:trHeight w:val="215"/>
        </w:trPr>
        <w:tc>
          <w:tcPr>
            <w:tcW w:w="6560" w:type="dxa"/>
            <w:vAlign w:val="bottom"/>
          </w:tcPr>
          <w:p>
            <w:pPr>
              <w:spacing w:after="0"/>
              <w:rPr>
                <w:sz w:val="18"/>
                <w:szCs w:val="18"/>
                <w:color w:val="auto"/>
              </w:rPr>
            </w:pPr>
          </w:p>
        </w:tc>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Justin Waldie, as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05/08/2026</w:t>
            </w:r>
          </w:p>
        </w:tc>
        <w:tc>
          <w:tcPr>
            <w:tcW w:w="0" w:type="dxa"/>
            <w:vAlign w:val="bottom"/>
          </w:tcPr>
          <w:p>
            <w:pPr>
              <w:spacing w:after="0"/>
              <w:rPr>
                <w:sz w:val="1"/>
                <w:szCs w:val="1"/>
                <w:color w:val="auto"/>
              </w:rPr>
            </w:pPr>
          </w:p>
        </w:tc>
      </w:tr>
      <w:tr>
        <w:trPr>
          <w:trHeight w:val="89"/>
        </w:trPr>
        <w:tc>
          <w:tcPr>
            <w:tcW w:w="6560" w:type="dxa"/>
            <w:vAlign w:val="bottom"/>
          </w:tcPr>
          <w:p>
            <w:pPr>
              <w:spacing w:after="0"/>
              <w:rPr>
                <w:sz w:val="7"/>
                <w:szCs w:val="7"/>
                <w:color w:val="auto"/>
              </w:rPr>
            </w:pPr>
          </w:p>
        </w:tc>
        <w:tc>
          <w:tcPr>
            <w:tcW w:w="30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5"/>
              </w:rPr>
              <w:t>Fact</w:t>
            </w:r>
          </w:p>
        </w:tc>
        <w:tc>
          <w:tcPr>
            <w:tcW w:w="19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6560" w:type="dxa"/>
            <w:vAlign w:val="bottom"/>
          </w:tcPr>
          <w:p>
            <w:pPr>
              <w:spacing w:after="0"/>
              <w:rPr>
                <w:sz w:val="7"/>
                <w:szCs w:val="7"/>
                <w:color w:val="auto"/>
              </w:rPr>
            </w:pPr>
          </w:p>
        </w:tc>
        <w:tc>
          <w:tcPr>
            <w:tcW w:w="30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6560" w:type="dxa"/>
            <w:vAlign w:val="bottom"/>
          </w:tcPr>
          <w:p>
            <w:pPr>
              <w:spacing w:after="0"/>
              <w:rPr>
                <w:sz w:val="20"/>
                <w:szCs w:val="20"/>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6"/>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7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0"/>
      </w:cols>
      <w:pgMar w:left="500" w:top="128" w:right="1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88170" TargetMode="External"/><Relationship Id="rId14" Type="http://schemas.openxmlformats.org/officeDocument/2006/relationships/hyperlink" Target="http://www.sec.gov/cgi-bin/browse-edgar?action=getcompany&amp;CIK=00015923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2026-05-08T20:53:36Z</dcterms:created>
  <dcterms:modified xsi:type="dcterms:W3CDTF">2026-05-08T20:53:36Z</dcterms:modified>
</cp:coreProperties>
</file>