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VIRTU FINANCIAL, INC.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900 Third Avenue</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New York, NY 10022</w:t>
      </w:r>
    </w:p>
    <w:p>
      <w:pPr>
        <w:spacing w:after="0" w:line="211" w:lineRule="exact"/>
        <w:rPr>
          <w:sz w:val="24"/>
          <w:szCs w:val="24"/>
          <w:color w:val="auto"/>
        </w:rPr>
      </w:pPr>
    </w:p>
    <w:p>
      <w:pPr>
        <w:ind w:left="5900"/>
        <w:spacing w:after="0"/>
        <w:rPr>
          <w:sz w:val="20"/>
          <w:szCs w:val="20"/>
          <w:color w:val="auto"/>
        </w:rPr>
      </w:pPr>
      <w:r>
        <w:rPr>
          <w:rFonts w:ascii="Arial" w:cs="Arial" w:eastAsia="Arial" w:hAnsi="Arial"/>
          <w:sz w:val="18"/>
          <w:szCs w:val="18"/>
          <w:color w:val="auto"/>
        </w:rPr>
        <w:t>April 13,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Suzanne Hayes</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Virtu Financial, Inc.</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Form S-1 (File No. 333-194473)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Hayes:</w:t>
      </w:r>
    </w:p>
    <w:p>
      <w:pPr>
        <w:spacing w:after="0" w:line="225" w:lineRule="exact"/>
        <w:rPr>
          <w:sz w:val="24"/>
          <w:szCs w:val="24"/>
          <w:color w:val="auto"/>
        </w:rPr>
      </w:pPr>
    </w:p>
    <w:p>
      <w:pPr>
        <w:ind w:right="300" w:firstLine="1297"/>
        <w:spacing w:after="0" w:line="259" w:lineRule="auto"/>
        <w:rPr>
          <w:sz w:val="20"/>
          <w:szCs w:val="20"/>
          <w:color w:val="auto"/>
        </w:rPr>
      </w:pPr>
      <w:r>
        <w:rPr>
          <w:rFonts w:ascii="Arial" w:cs="Arial" w:eastAsia="Arial" w:hAnsi="Arial"/>
          <w:sz w:val="18"/>
          <w:szCs w:val="18"/>
          <w:color w:val="auto"/>
        </w:rPr>
        <w:t>Pursuant to Rule 461 of the Securities Act of 1933, as amended, we hereby request that the effective date of the above-captioned Registration Statement on Form S-1 (the “S-1”) relating to the registration of 19,012,112 shares (including 2,479,840 shares to cover over-allotments) of Class A common stock, par value $0.00001 per share, of Virtu Financial, Inc. (the “Company”) be accelerated to April 15, 2015 at 3:00 p.m. E.S.T. or as soon thereafter as may be practicable.</w:t>
      </w:r>
    </w:p>
    <w:p>
      <w:pPr>
        <w:spacing w:after="0" w:line="187"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1700" w:hanging="395"/>
        <w:spacing w:after="0" w:line="264" w:lineRule="auto"/>
        <w:tabs>
          <w:tab w:leader="none" w:pos="1752"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of the Commission (the “Staff”), acting pursuant to delegated authority, declare the filing effective, it does not foreclose the Commission from taking any action with respect to the Registration Statement;</w:t>
      </w:r>
    </w:p>
    <w:p>
      <w:pPr>
        <w:spacing w:after="0" w:line="181" w:lineRule="exact"/>
        <w:rPr>
          <w:rFonts w:ascii="Arial" w:cs="Arial" w:eastAsia="Arial" w:hAnsi="Arial"/>
          <w:sz w:val="18"/>
          <w:szCs w:val="18"/>
          <w:color w:val="auto"/>
        </w:rPr>
      </w:pPr>
    </w:p>
    <w:p>
      <w:pPr>
        <w:ind w:left="1700" w:right="20" w:hanging="395"/>
        <w:spacing w:after="0" w:line="342" w:lineRule="auto"/>
        <w:tabs>
          <w:tab w:leader="none" w:pos="175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action of the Commission or the Staff, acting pursuant to delegated authority, in declaring the filing effective, does not relieve the Company from its full responsibility for the adequacy and accuracy of the disclosure in the Registration Statement; and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9" w:lineRule="exact"/>
        <w:rPr>
          <w:rFonts w:ascii="Arial" w:cs="Arial" w:eastAsia="Arial" w:hAnsi="Arial"/>
          <w:sz w:val="16"/>
          <w:szCs w:val="16"/>
          <w:color w:val="auto"/>
        </w:rPr>
      </w:pPr>
    </w:p>
    <w:p>
      <w:pPr>
        <w:ind w:left="1700" w:right="400" w:hanging="395"/>
        <w:spacing w:after="0" w:line="277" w:lineRule="auto"/>
        <w:tabs>
          <w:tab w:leader="none" w:pos="17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4"/>
          <w:szCs w:val="24"/>
          <w:color w:val="auto"/>
        </w:rPr>
      </w:pPr>
    </w:p>
    <w:p>
      <w:pPr>
        <w:ind w:right="280" w:firstLine="1297"/>
        <w:spacing w:after="0" w:line="286" w:lineRule="auto"/>
        <w:rPr>
          <w:sz w:val="20"/>
          <w:szCs w:val="20"/>
          <w:color w:val="auto"/>
        </w:rPr>
      </w:pPr>
      <w:r>
        <w:rPr>
          <w:rFonts w:ascii="Arial" w:cs="Arial" w:eastAsia="Arial" w:hAnsi="Arial"/>
          <w:sz w:val="17"/>
          <w:szCs w:val="17"/>
          <w:color w:val="auto"/>
        </w:rPr>
        <w:t>We understand that the Staff will consider this request as confirmation by the Company of its awareness of its responsibilities under the federal securities laws as they relate to the issuance of the securities covered by the Registration Statement. If you have any questions regarding the foregoing, please contact John C. Kennedy of Paul, Weiss, Rifkind, Wharton &amp; Garrison LLP at (212) 373-3025.</w:t>
      </w:r>
    </w:p>
    <w:p>
      <w:pPr>
        <w:spacing w:after="0" w:line="16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Justin Waldie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19" w:lineRule="exact"/>
        <w:rPr>
          <w:sz w:val="24"/>
          <w:szCs w:val="24"/>
          <w:color w:val="auto"/>
        </w:rPr>
      </w:pPr>
    </w:p>
    <w:p>
      <w:pPr>
        <w:ind w:left="6200"/>
        <w:spacing w:after="0"/>
        <w:rPr>
          <w:sz w:val="20"/>
          <w:szCs w:val="20"/>
          <w:color w:val="auto"/>
        </w:rPr>
      </w:pPr>
      <w:r>
        <w:rPr>
          <w:rFonts w:ascii="Arial" w:cs="Arial" w:eastAsia="Arial" w:hAnsi="Arial"/>
          <w:sz w:val="18"/>
          <w:szCs w:val="18"/>
          <w:color w:val="auto"/>
        </w:rPr>
        <w:t>Name:  Justin Waldie</w:t>
      </w:r>
    </w:p>
    <w:p>
      <w:pPr>
        <w:spacing w:after="0" w:line="23" w:lineRule="exact"/>
        <w:rPr>
          <w:sz w:val="24"/>
          <w:szCs w:val="24"/>
          <w:color w:val="auto"/>
        </w:rPr>
      </w:pPr>
    </w:p>
    <w:p>
      <w:pPr>
        <w:ind w:left="6200"/>
        <w:spacing w:after="0"/>
        <w:tabs>
          <w:tab w:leader="none" w:pos="6780" w:val="left"/>
        </w:tabs>
        <w:rPr>
          <w:sz w:val="20"/>
          <w:szCs w:val="20"/>
          <w:color w:val="auto"/>
        </w:rPr>
      </w:pPr>
      <w:r>
        <w:rPr>
          <w:rFonts w:ascii="Arial" w:cs="Arial" w:eastAsia="Arial" w:hAnsi="Arial"/>
          <w:sz w:val="18"/>
          <w:szCs w:val="18"/>
          <w:color w:val="auto"/>
        </w:rPr>
        <w:t>Title:</w:t>
        <w:tab/>
        <w:t>Senior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April 13,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340"/>
          </w:cols>
          <w:pgMar w:left="240" w:top="449" w:right="319" w:bottom="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Virtu Financial,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Registration Statement on</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Form S-1 (File No. 333-194473)</w:t>
      </w:r>
    </w:p>
    <w:p>
      <w:pPr>
        <w:spacing w:after="0" w:line="200" w:lineRule="exact"/>
        <w:rPr>
          <w:sz w:val="24"/>
          <w:szCs w:val="24"/>
          <w:color w:val="auto"/>
        </w:rPr>
      </w:pPr>
    </w:p>
    <w:p>
      <w:pPr>
        <w:sectPr>
          <w:pgSz w:w="11900" w:h="16838" w:orient="portrait"/>
          <w:cols w:equalWidth="0" w:num="2">
            <w:col w:w="260" w:space="620"/>
            <w:col w:w="10460"/>
          </w:cols>
          <w:pgMar w:left="240" w:top="449" w:right="31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Dear Ladies and Gentlemen:</w:t>
      </w:r>
    </w:p>
    <w:p>
      <w:pPr>
        <w:sectPr>
          <w:pgSz w:w="11900" w:h="16838" w:orient="portrait"/>
          <w:cols w:equalWidth="0" w:num="1">
            <w:col w:w="11340"/>
          </w:cols>
          <w:pgMar w:left="240" w:top="449" w:right="319" w:bottom="0" w:gutter="0" w:footer="0" w:header="0"/>
          <w:type w:val="continuous"/>
        </w:sectPr>
      </w:pPr>
    </w:p>
    <w:bookmarkStart w:id="1" w:name="page2"/>
    <w:bookmarkEnd w:id="1"/>
    <w:p>
      <w:pPr>
        <w:spacing w:after="0" w:line="312" w:lineRule="auto"/>
        <w:rPr>
          <w:sz w:val="20"/>
          <w:szCs w:val="20"/>
          <w:color w:val="auto"/>
        </w:rPr>
      </w:pPr>
      <w:r>
        <w:rPr>
          <w:rFonts w:ascii="Arial" w:cs="Arial" w:eastAsia="Arial" w:hAnsi="Arial"/>
          <w:sz w:val="16"/>
          <w:szCs w:val="16"/>
          <w:color w:val="auto"/>
        </w:rPr>
        <w:t>In connection with the proposed offering of the securities under the above-captioned Registration Statement on Form S-1 (the “Registration Statement”), we wish to advise you that we, as representatives of the underwriters, hereby join with Virtu Financial, Inc.’s request that the effective date of the Registration Statement be accelerated so that the same will become effective on April 15, 2015 at 3:00 p.m. E.S.T., or as soon as practicable thereafter.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supplemental information supplied under Rule 418(a)(7) and Rule 460 under the Securities Act of 1933:</w:t>
      </w:r>
    </w:p>
    <w:p>
      <w:pPr>
        <w:spacing w:after="0" w:line="225" w:lineRule="exact"/>
        <w:rPr>
          <w:sz w:val="20"/>
          <w:szCs w:val="20"/>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 of preliminary prospectus: April 6, 2015</w:t>
      </w:r>
    </w:p>
    <w:p>
      <w:pPr>
        <w:spacing w:after="0" w:line="23" w:lineRule="exact"/>
        <w:rPr>
          <w:rFonts w:ascii="Arial" w:cs="Arial" w:eastAsia="Arial" w:hAnsi="Arial"/>
          <w:sz w:val="18"/>
          <w:szCs w:val="18"/>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Dates of distribution: April 6, 2015 - April 15, 2015</w:t>
      </w:r>
    </w:p>
    <w:p>
      <w:pPr>
        <w:spacing w:after="0" w:line="9" w:lineRule="exact"/>
        <w:rPr>
          <w:rFonts w:ascii="Arial" w:cs="Arial" w:eastAsia="Arial" w:hAnsi="Arial"/>
          <w:sz w:val="18"/>
          <w:szCs w:val="18"/>
          <w:color w:val="auto"/>
        </w:rPr>
      </w:pPr>
    </w:p>
    <w:p>
      <w:pPr>
        <w:ind w:left="880" w:hanging="872"/>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Number of preliminary prospectuses distributed to prospective underwriters, institutional investors, dealers and others: 4,590</w:t>
      </w:r>
    </w:p>
    <w:p>
      <w:pPr>
        <w:spacing w:after="0" w:line="9" w:lineRule="exact"/>
        <w:rPr>
          <w:rFonts w:ascii="Arial" w:cs="Arial" w:eastAsia="Arial" w:hAnsi="Arial"/>
          <w:sz w:val="18"/>
          <w:szCs w:val="18"/>
          <w:color w:val="auto"/>
        </w:rPr>
      </w:pPr>
    </w:p>
    <w:p>
      <w:pPr>
        <w:ind w:left="880" w:hanging="872"/>
        <w:spacing w:after="0" w:line="261"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complied and will comply, and have been informed by the participating underwriters that they have complied and will comply with the requirements of Rule 15c2-8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Matt Leavitt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Matt Leavitt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Drummond S. Rice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Drummond S.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SANDLER O’NEILL &amp; PARTNERS, L.P.</w:t>
      </w:r>
    </w:p>
    <w:p>
      <w:pPr>
        <w:spacing w:after="0" w:line="22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Sandler O’Neill &amp; Partners Corp.,</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general partner</w:t>
      </w:r>
    </w:p>
    <w:p>
      <w:pPr>
        <w:spacing w:after="0" w:line="21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Robert A. Kleinert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Robert A. Kleinert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An Officer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 behalf of each of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60"/>
      </w:cols>
      <w:pgMar w:left="240" w:top="12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Ÿ"/>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2019-12-09T03:42:21Z</dcterms:created>
  <dcterms:modified xsi:type="dcterms:W3CDTF">2019-12-09T03:42:21Z</dcterms:modified>
</cp:coreProperties>
</file>